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color w:val="64748B"/>
          <w:sz w:val="48"/>
          <w:szCs w:val="48"/>
        </w:rPr>
        <w:t xml:space="preserve">ДИЗАЙН-ДОКУМЕНТ</w:t>
      </w:r>
    </w:p>
    <w:p>
      <w:pPr>
        <w:spacing w:before="400"/>
      </w:pPr>
    </w:p>
    <w:p>
      <w:pPr>
        <w:jc w:val="center"/>
      </w:pPr>
      <w:r>
        <w:rPr>
          <w:rFonts w:ascii="Times New Roman" w:cs="Times New Roman" w:eastAsia="Times New Roman" w:hAnsi="Times New Roman"/>
          <w:b/>
          <w:bCs/>
          <w:color w:val="020617"/>
          <w:sz w:val="72"/>
          <w:szCs w:val="72"/>
        </w:rPr>
        <w:t xml:space="preserve">ПРОЕКТ «ИСКУССТВЕННЫЙ РАЗУМ»</w:t>
      </w:r>
    </w:p>
    <w:p>
      <w:pPr>
        <w:spacing w:before="200"/>
        <w:jc w:val="center"/>
      </w:pPr>
      <w:r>
        <w:rPr>
          <w:rFonts w:ascii="Times New Roman" w:cs="Times New Roman" w:eastAsia="Times New Roman" w:hAnsi="Times New Roman"/>
          <w:color w:val="1E293B"/>
          <w:sz w:val="32"/>
          <w:szCs w:val="32"/>
        </w:rPr>
        <w:t xml:space="preserve">Создание эмоционально-адаптивной AI-системы</w:t>
      </w:r>
    </w:p>
    <w:p>
      <w:pPr>
        <w:spacing w:before="3000"/>
      </w:pPr>
    </w:p>
    <w:p>
      <w:pPr>
        <w:jc w:val="center"/>
      </w:pPr>
      <w:r>
        <w:rPr>
          <w:rFonts w:ascii="Times New Roman" w:cs="Times New Roman" w:eastAsia="Times New Roman" w:hAnsi="Times New Roman"/>
          <w:i/>
          <w:iCs/>
          <w:color w:val="64748B"/>
          <w:sz w:val="28"/>
          <w:szCs w:val="28"/>
        </w:rPr>
        <w:t xml:space="preserve">Архитектура цифровой когнитивной системы</w:t>
      </w:r>
    </w:p>
    <w:p>
      <w:pPr>
        <w:spacing w:before="100"/>
        <w:jc w:val="center"/>
      </w:pPr>
      <w:r>
        <w:rPr>
          <w:rFonts w:ascii="Times New Roman" w:cs="Times New Roman" w:eastAsia="Times New Roman" w:hAnsi="Times New Roman"/>
          <w:i/>
          <w:iCs/>
          <w:color w:val="64748B"/>
          <w:sz w:val="28"/>
          <w:szCs w:val="28"/>
        </w:rPr>
        <w:t xml:space="preserve">с элементами эмоционального интеллекта</w:t>
      </w:r>
    </w:p>
    <w:p>
      <w:pPr>
        <w:spacing w:before="4000"/>
      </w:pPr>
    </w:p>
    <w:p>
      <w:pPr>
        <w:jc w:val="center"/>
      </w:pPr>
      <w:r>
        <w:rPr>
          <w:rFonts w:ascii="Times New Roman" w:cs="Times New Roman" w:eastAsia="Times New Roman" w:hAnsi="Times New Roman"/>
          <w:color w:val="94A3B8"/>
          <w:sz w:val="24"/>
          <w:szCs w:val="24"/>
        </w:rPr>
        <w:t xml:space="preserve">Версия 1.0</w:t>
      </w:r>
    </w:p>
    <w:p>
      <w:pPr>
        <w:spacing w:before="100"/>
        <w:jc w:val="center"/>
      </w:pPr>
      <w:r>
        <w:rPr>
          <w:rFonts w:ascii="Times New Roman" w:cs="Times New Roman" w:eastAsia="Times New Roman" w:hAnsi="Times New Roman"/>
          <w:color w:val="94A3B8"/>
          <w:sz w:val="24"/>
          <w:szCs w:val="24"/>
        </w:rPr>
        <w:t xml:space="preserve">Февраль 2025</w:t>
      </w:r>
    </w:p>
    <w:p>
      <w:pPr>
        <w:sectPr>
          <w:pgSz w:w="11906" w:h="16838" w:orient="portrait"/>
          <w:pgMar w:top="0" w:right="0" w:bottom="0" w:left="0" w:header="708" w:footer="708" w:gutter="0"/>
          <w:pgNumType/>
          <w:docGrid w:linePitch="360"/>
        </w:sectPr>
      </w:pPr>
    </w:p>
    <w:p>
      <w:pPr>
        <w:pStyle w:val="Heading1"/>
      </w:pPr>
      <w:r>
        <w:t xml:space="preserve">Содержание</w:t>
      </w:r>
    </w:p>
    <w:sdt>
      <w:sdtPr>
        <w:alias w:val="Содержание"/>
      </w:sdtPr>
      <w:sdtContent>
        <w:p>
          <w:r>
            <w:fldChar w:fldCharType="begin" w:dirty="true"/>
            <w:instrText xml:space="preserve">TOC \h \o "1-3"</w:instrText>
            <w:fldChar w:fldCharType="separate"/>
          </w:r>
        </w:p>
        <w:p>
          <w:pPr>
            <w:pStyle w:val="9"/>
            <w:tabs>
              <w:tab w:val="right" w:leader="dot" w:pos="9026"/>
            </w:tabs>
          </w:pPr>
          <w:r>
            <w:t>1. Введение и концепция проекта</w:t>
          </w:r>
          <w:r>
            <w:tab/>
          </w:r>
          <w:r>
            <w:t>3</w:t>
          </w:r>
        </w:p>
        <w:p>
          <w:pPr>
            <w:pStyle w:val="11"/>
            <w:ind w:left="360"/>
            <w:tabs>
              <w:tab w:val="right" w:leader="dot" w:pos="9026"/>
            </w:tabs>
          </w:pPr>
          <w:r>
            <w:t>1.1. Цель проекта</w:t>
          </w:r>
          <w:r>
            <w:tab/>
          </w:r>
          <w:r>
            <w:t>3</w:t>
          </w:r>
        </w:p>
        <w:p>
          <w:pPr>
            <w:pStyle w:val="11"/>
            <w:ind w:left="360"/>
            <w:tabs>
              <w:tab w:val="right" w:leader="dot" w:pos="9026"/>
            </w:tabs>
          </w:pPr>
          <w:r>
            <w:t>1.2. Научная позиция</w:t>
          </w:r>
          <w:r>
            <w:tab/>
          </w:r>
          <w:r>
            <w:t>3</w:t>
          </w:r>
        </w:p>
        <w:p>
          <w:pPr>
            <w:pStyle w:val="11"/>
            <w:ind w:left="360"/>
            <w:tabs>
              <w:tab w:val="right" w:leader="dot" w:pos="9026"/>
            </w:tabs>
          </w:pPr>
          <w:r>
            <w:t>1.3. Область применения</w:t>
          </w:r>
          <w:r>
            <w:tab/>
          </w:r>
          <w:r>
            <w:t>4</w:t>
          </w:r>
        </w:p>
        <w:p>
          <w:pPr>
            <w:pStyle w:val="9"/>
            <w:tabs>
              <w:tab w:val="right" w:leader="dot" w:pos="9026"/>
            </w:tabs>
          </w:pPr>
          <w:r>
            <w:t>2. Нейробиологические основы</w:t>
          </w:r>
          <w:r>
            <w:tab/>
          </w:r>
          <w:r>
            <w:t>4</w:t>
          </w:r>
        </w:p>
        <w:p>
          <w:pPr>
            <w:pStyle w:val="11"/>
            <w:ind w:left="360"/>
            <w:tabs>
              <w:tab w:val="right" w:leader="dot" w:pos="9026"/>
            </w:tabs>
          </w:pPr>
          <w:r>
            <w:t>2.1. Структура человеческого мозга</w:t>
          </w:r>
          <w:r>
            <w:tab/>
          </w:r>
          <w:r>
            <w:t>4</w:t>
          </w:r>
        </w:p>
        <w:p>
          <w:pPr>
            <w:pStyle w:val="11"/>
            <w:ind w:left="360"/>
            <w:tabs>
              <w:tab w:val="right" w:leader="dot" w:pos="9026"/>
            </w:tabs>
          </w:pPr>
          <w:r>
            <w:t>2.2. Нейрохимия эмоций</w:t>
          </w:r>
          <w:r>
            <w:tab/>
          </w:r>
          <w:r>
            <w:t>5</w:t>
          </w:r>
        </w:p>
        <w:p>
          <w:pPr>
            <w:pStyle w:val="11"/>
            <w:ind w:left="360"/>
            <w:tabs>
              <w:tab w:val="right" w:leader="dot" w:pos="9026"/>
            </w:tabs>
          </w:pPr>
          <w:r>
            <w:t>2.3. Механизмы памяти</w:t>
          </w:r>
          <w:r>
            <w:tab/>
          </w:r>
          <w:r>
            <w:t>6</w:t>
          </w:r>
        </w:p>
        <w:p>
          <w:pPr>
            <w:pStyle w:val="11"/>
            <w:ind w:left="360"/>
            <w:tabs>
              <w:tab w:val="right" w:leader="dot" w:pos="9026"/>
            </w:tabs>
          </w:pPr>
          <w:r>
            <w:t>2.4. Теории сознания</w:t>
          </w:r>
          <w:r>
            <w:tab/>
          </w:r>
          <w:r>
            <w:t>7</w:t>
          </w:r>
        </w:p>
        <w:p>
          <w:pPr>
            <w:pStyle w:val="9"/>
            <w:tabs>
              <w:tab w:val="right" w:leader="dot" w:pos="9026"/>
            </w:tabs>
          </w:pPr>
          <w:r>
            <w:t>3. Архитектура системы</w:t>
          </w:r>
          <w:r>
            <w:tab/>
          </w:r>
          <w:r>
            <w:t>8</w:t>
          </w:r>
        </w:p>
        <w:p>
          <w:pPr>
            <w:pStyle w:val="11"/>
            <w:ind w:left="360"/>
            <w:tabs>
              <w:tab w:val="right" w:leader="dot" w:pos="9026"/>
            </w:tabs>
          </w:pPr>
          <w:r>
            <w:t>3.1. Модульная структура</w:t>
          </w:r>
          <w:r>
            <w:tab/>
          </w:r>
          <w:r>
            <w:t>8</w:t>
          </w:r>
        </w:p>
        <w:p>
          <w:pPr>
            <w:pStyle w:val="11"/>
            <w:ind w:left="360"/>
            <w:tabs>
              <w:tab w:val="right" w:leader="dot" w:pos="9026"/>
            </w:tabs>
          </w:pPr>
          <w:r>
            <w:t>3.2. Физиологический движок (The Body)</w:t>
          </w:r>
          <w:r>
            <w:tab/>
          </w:r>
          <w:r>
            <w:t>9</w:t>
          </w:r>
        </w:p>
        <w:p>
          <w:pPr>
            <w:pStyle w:val="11"/>
            <w:ind w:left="360"/>
            <w:tabs>
              <w:tab w:val="right" w:leader="dot" w:pos="9026"/>
            </w:tabs>
          </w:pPr>
          <w:r>
            <w:t>3.3. Сенсорный движок (The Senses)</w:t>
          </w:r>
          <w:r>
            <w:tab/>
          </w:r>
          <w:r>
            <w:t>9</w:t>
          </w:r>
        </w:p>
        <w:p>
          <w:pPr>
            <w:pStyle w:val="11"/>
            <w:ind w:left="360"/>
            <w:tabs>
              <w:tab w:val="right" w:leader="dot" w:pos="9026"/>
            </w:tabs>
          </w:pPr>
          <w:r>
            <w:t>3.4. Когнитивное ядро (The Brain)</w:t>
          </w:r>
          <w:r>
            <w:tab/>
          </w:r>
          <w:r>
            <w:t>10</w:t>
          </w:r>
        </w:p>
        <w:p>
          <w:pPr>
            <w:pStyle w:val="11"/>
            <w:ind w:left="360"/>
            <w:tabs>
              <w:tab w:val="right" w:leader="dot" w:pos="9026"/>
            </w:tabs>
          </w:pPr>
          <w:r>
            <w:t>3.5. Мнемоническое ядро (Memory)</w:t>
          </w:r>
          <w:r>
            <w:tab/>
          </w:r>
          <w:r>
            <w:t>10</w:t>
          </w:r>
        </w:p>
        <w:p>
          <w:pPr>
            <w:pStyle w:val="11"/>
            <w:ind w:left="360"/>
            <w:tabs>
              <w:tab w:val="right" w:leader="dot" w:pos="9026"/>
            </w:tabs>
          </w:pPr>
          <w:r>
            <w:t>3.6. Эффекторный движок (Action)</w:t>
          </w:r>
          <w:r>
            <w:tab/>
          </w:r>
          <w:r>
            <w:t>11</w:t>
          </w:r>
        </w:p>
        <w:p>
          <w:pPr>
            <w:pStyle w:val="9"/>
            <w:tabs>
              <w:tab w:val="right" w:leader="dot" w:pos="9026"/>
            </w:tabs>
          </w:pPr>
          <w:r>
            <w:t>4. Критический анализ и ограничения</w:t>
          </w:r>
          <w:r>
            <w:tab/>
          </w:r>
          <w:r>
            <w:t>11</w:t>
          </w:r>
        </w:p>
        <w:p>
          <w:pPr>
            <w:pStyle w:val="11"/>
            <w:ind w:left="360"/>
            <w:tabs>
              <w:tab w:val="right" w:leader="dot" w:pos="9026"/>
            </w:tabs>
          </w:pPr>
          <w:r>
            <w:t>4.1. Научные ограничения</w:t>
          </w:r>
          <w:r>
            <w:tab/>
          </w:r>
          <w:r>
            <w:t>11</w:t>
          </w:r>
        </w:p>
        <w:p>
          <w:pPr>
            <w:pStyle w:val="11"/>
            <w:ind w:left="360"/>
            <w:tabs>
              <w:tab w:val="right" w:leader="dot" w:pos="9026"/>
            </w:tabs>
          </w:pPr>
          <w:r>
            <w:t>4.2. Философские проблемы</w:t>
          </w:r>
          <w:r>
            <w:tab/>
          </w:r>
          <w:r>
            <w:t>12</w:t>
          </w:r>
        </w:p>
        <w:p>
          <w:pPr>
            <w:pStyle w:val="11"/>
            <w:ind w:left="360"/>
            <w:tabs>
              <w:tab w:val="right" w:leader="dot" w:pos="9026"/>
            </w:tabs>
          </w:pPr>
          <w:r>
            <w:t>4.3. Технические риски</w:t>
          </w:r>
          <w:r>
            <w:tab/>
          </w:r>
          <w:r>
            <w:t>12</w:t>
          </w:r>
        </w:p>
        <w:p>
          <w:pPr>
            <w:pStyle w:val="11"/>
            <w:ind w:left="360"/>
            <w:tabs>
              <w:tab w:val="right" w:leader="dot" w:pos="9026"/>
            </w:tabs>
          </w:pPr>
          <w:r>
            <w:t>4.4. Этические проблемы</w:t>
          </w:r>
          <w:r>
            <w:tab/>
          </w:r>
          <w:r>
            <w:t>14</w:t>
          </w:r>
        </w:p>
        <w:p>
          <w:pPr>
            <w:pStyle w:val="9"/>
            <w:tabs>
              <w:tab w:val="right" w:leader="dot" w:pos="9026"/>
            </w:tabs>
          </w:pPr>
          <w:r>
            <w:t>5. План реализации</w:t>
          </w:r>
          <w:r>
            <w:tab/>
          </w:r>
          <w:r>
            <w:t>14</w:t>
          </w:r>
        </w:p>
        <w:p>
          <w:pPr>
            <w:pStyle w:val="11"/>
            <w:ind w:left="360"/>
            <w:tabs>
              <w:tab w:val="right" w:leader="dot" w:pos="9026"/>
            </w:tabs>
          </w:pPr>
          <w:r>
            <w:t>5.1. Реалистичный таймлайн</w:t>
          </w:r>
          <w:r>
            <w:tab/>
          </w:r>
          <w:r>
            <w:t>14</w:t>
          </w:r>
        </w:p>
        <w:p>
          <w:pPr>
            <w:pStyle w:val="11"/>
            <w:ind w:left="360"/>
            <w:tabs>
              <w:tab w:val="right" w:leader="dot" w:pos="9026"/>
            </w:tabs>
          </w:pPr>
          <w:r>
            <w:t>5.2. Технологический стек</w:t>
          </w:r>
          <w:r>
            <w:tab/>
          </w:r>
          <w:r>
            <w:t>15</w:t>
          </w:r>
        </w:p>
        <w:p>
          <w:pPr>
            <w:pStyle w:val="11"/>
            <w:ind w:left="360"/>
            <w:tabs>
              <w:tab w:val="right" w:leader="dot" w:pos="9026"/>
            </w:tabs>
          </w:pPr>
          <w:r>
            <w:t>5.3. Режимы работы системы</w:t>
          </w:r>
          <w:r>
            <w:tab/>
          </w:r>
          <w:r>
            <w:t>15</w:t>
          </w:r>
        </w:p>
        <w:p>
          <w:pPr>
            <w:pStyle w:val="9"/>
            <w:tabs>
              <w:tab w:val="right" w:leader="dot" w:pos="9026"/>
            </w:tabs>
          </w:pPr>
          <w:r>
            <w:t>6. Заключение и рекомендации</w:t>
          </w:r>
          <w:r>
            <w:tab/>
          </w:r>
          <w:r>
            <w:t>16</w:t>
          </w:r>
        </w:p>
        <w:p>
          <w:pPr>
            <w:pStyle w:val="11"/>
            <w:ind w:left="360"/>
            <w:tabs>
              <w:tab w:val="right" w:leader="dot" w:pos="9026"/>
            </w:tabs>
          </w:pPr>
          <w:r>
            <w:t>6.1. Честная постановка целей</w:t>
          </w:r>
          <w:r>
            <w:tab/>
          </w:r>
          <w:r>
            <w:t>16</w:t>
          </w:r>
        </w:p>
        <w:p>
          <w:pPr>
            <w:pStyle w:val="11"/>
            <w:ind w:left="360"/>
            <w:tabs>
              <w:tab w:val="right" w:leader="dot" w:pos="9026"/>
            </w:tabs>
          </w:pPr>
          <w:r>
            <w:t>6.2. Итоговая оценка</w:t>
          </w:r>
          <w:r>
            <w:tab/>
          </w:r>
          <w:r>
            <w:t>16</w:t>
          </w:r>
        </w:p>
        <w:p>
          <w:pPr>
            <w:pStyle w:val="11"/>
            <w:ind w:left="360"/>
            <w:tabs>
              <w:tab w:val="right" w:leader="dot" w:pos="9026"/>
            </w:tabs>
          </w:pPr>
          <w:r>
            <w:t>6.3. Следующие шаги</w:t>
          </w:r>
          <w:r>
            <w:tab/>
          </w:r>
          <w:r>
            <w:t>17</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Примечание: Для обновления номеров страниц щёлкните правой кнопкой мыши на содержании и выберите «Обновить поле».</w:t>
      </w:r>
    </w:p>
    <w:p>
      <w:r>
        <w:br w:type="page"/>
      </w:r>
    </w:p>
    <w:p>
      <w:pPr>
        <w:pStyle w:val="Heading1"/>
      </w:pPr>
      <w:r>
        <w:t xml:space="preserve">1. Введение и концепция проекта</w:t>
      </w:r>
    </w:p>
    <w:p>
      <w:pPr>
        <w:pStyle w:val="Heading2"/>
      </w:pPr>
      <w:r>
        <w:t xml:space="preserve">1.1. Цель проекта</w:t>
      </w:r>
    </w:p>
    <w:p>
      <w:pPr>
        <w:spacing w:line="312"/>
      </w:pPr>
      <w:r>
        <w:rPr>
          <w:rFonts w:ascii="Times New Roman" w:cs="Times New Roman" w:eastAsia="Times New Roman" w:hAnsi="Times New Roman"/>
          <w:sz w:val="24"/>
          <w:szCs w:val="24"/>
        </w:rPr>
        <w:t xml:space="preserve">Данный дизайн-документ описывает архитектуру и план реализации системы искусственного интеллекта с элементами эмоциональной адаптивности. Проект ставит своей целью создание не простого чат-бота, а комплексной когнитивной системы, способной демонстрировать поведение, схожее с человеческим эмоциональным реагированием. Важно отметить, что данный документ основан на объективном научном анализе и чётко разграничивает между симуляцией эмоционального поведения и реальными эмоциональными переживаниями.</w:t>
      </w:r>
    </w:p>
    <w:p>
      <w:pPr>
        <w:spacing w:line="312"/>
      </w:pPr>
      <w:r>
        <w:rPr>
          <w:rFonts w:ascii="Times New Roman" w:cs="Times New Roman" w:eastAsia="Times New Roman" w:hAnsi="Times New Roman"/>
          <w:sz w:val="24"/>
          <w:szCs w:val="24"/>
        </w:rPr>
        <w:t xml:space="preserve">Ключевое отличие данного подхода от традиционных AI-ассистентов заключается в интеграции динамической системы состояния, которая непрерывно эволюционирует независимо от прямого взаимодействия с пользователем. Система построена по принципу биологического организма, а не по классической парадигме «запрос-ответ». Это означает, что внутренние процессы системы протекают постоянно, создавая иллюзию автономного существования с собственными «потребностями» и «состояниями».</w:t>
      </w:r>
    </w:p>
    <w:p>
      <w:pPr>
        <w:pStyle w:val="Heading2"/>
      </w:pPr>
      <w:r>
        <w:t xml:space="preserve">1.2. Научная позиция</w:t>
      </w:r>
    </w:p>
    <w:p>
      <w:pPr>
        <w:spacing w:line="312"/>
      </w:pPr>
      <w:r>
        <w:rPr>
          <w:rFonts w:ascii="Times New Roman" w:cs="Times New Roman" w:eastAsia="Times New Roman" w:hAnsi="Times New Roman"/>
          <w:sz w:val="24"/>
          <w:szCs w:val="24"/>
        </w:rPr>
        <w:t xml:space="preserve">Необходимо чётко заявить: современная наука не обладает достаточным пониманием природы сознания для создания системы с подлинным самосознанием или реальными эмоциями. Данный документ описывает архитектуру для создания </w:t>
      </w:r>
      <w:r>
        <w:rPr>
          <w:rFonts w:ascii="Times New Roman" w:cs="Times New Roman" w:eastAsia="Times New Roman" w:hAnsi="Times New Roman"/>
          <w:b/>
          <w:bCs/>
          <w:sz w:val="24"/>
          <w:szCs w:val="24"/>
        </w:rPr>
        <w:t xml:space="preserve">эмоционально-адаптивной AI-системы</w:t>
      </w:r>
      <w:r>
        <w:rPr>
          <w:rFonts w:ascii="Times New Roman" w:cs="Times New Roman" w:eastAsia="Times New Roman" w:hAnsi="Times New Roman"/>
          <w:sz w:val="24"/>
          <w:szCs w:val="24"/>
        </w:rPr>
        <w:t xml:space="preserve"> — системы, которая способна распознавать контекст, адаптировать своё поведение и создавать убедительную иллюзию эмоционального реагирования. Любые заявления о создании «живого разума» или «цифровой жизни» являются научно некорректными и должны рассматриваться как метафорическое описание функциональности, а не как утверждение о природе системы.</w:t>
      </w:r>
    </w:p>
    <w:p>
      <w:pPr>
        <w:pStyle w:val="Heading2"/>
      </w:pPr>
      <w:r>
        <w:t xml:space="preserve">1.3. Область применения</w:t>
      </w:r>
    </w:p>
    <w:p>
      <w:pPr>
        <w:spacing w:line="312"/>
      </w:pPr>
      <w:r>
        <w:rPr>
          <w:rFonts w:ascii="Times New Roman" w:cs="Times New Roman" w:eastAsia="Times New Roman" w:hAnsi="Times New Roman"/>
          <w:sz w:val="24"/>
          <w:szCs w:val="24"/>
        </w:rPr>
        <w:t xml:space="preserve">Система может найти применение в следующих областях: персонализированные AI-компаньоны для эмоциональной поддержки, интерактивные персонажи в развлекательных проектах, образовательные системы с адаптивным откликом, терапевтические приложения под контролем специалистов, а также исследовательские платформы для изучения человеко-машинного взаимодействия. Каждая из этих областей требует особого подхода к этическим вопросам и ограничениям функциональности.</w:t>
      </w:r>
    </w:p>
    <w:p>
      <w:pPr>
        <w:pStyle w:val="Heading1"/>
      </w:pPr>
      <w:r>
        <w:t xml:space="preserve">2. Нейробиологические основы</w:t>
      </w:r>
    </w:p>
    <w:p>
      <w:pPr>
        <w:pStyle w:val="Heading2"/>
      </w:pPr>
      <w:r>
        <w:t xml:space="preserve">2.1. Структура человеческого мозга</w:t>
      </w:r>
    </w:p>
    <w:p>
      <w:pPr>
        <w:spacing w:line="312"/>
      </w:pPr>
      <w:r>
        <w:rPr>
          <w:rFonts w:ascii="Times New Roman" w:cs="Times New Roman" w:eastAsia="Times New Roman" w:hAnsi="Times New Roman"/>
          <w:sz w:val="24"/>
          <w:szCs w:val="24"/>
        </w:rPr>
        <w:t xml:space="preserve">Человеческий мозг представляет собой чрезвычайно сложную систему, содержащую приблизительно 86 миллиардов нейронов и около 100 триллионов синаптических связей. Масса мозга составляет около 1.4 килограмма, что соответствует 2% массы тела, однако он потребляет около 20% всей энергии организма — примерно 20 ватт. Эта энергоэффективность на порядки превосходит современные вычислительные системы: мозг выполняет примерно 10^16 операций в секунду на 20 ваттах, тогда как суперкомпьютеры требуют мегаватты для сопоставимой производительности.</w:t>
      </w:r>
    </w:p>
    <w:p>
      <w:pPr>
        <w:spacing w:line="312"/>
      </w:pPr>
      <w:r>
        <w:rPr>
          <w:rFonts w:ascii="Times New Roman" w:cs="Times New Roman" w:eastAsia="Times New Roman" w:hAnsi="Times New Roman"/>
          <w:sz w:val="24"/>
          <w:szCs w:val="24"/>
        </w:rPr>
        <w:t xml:space="preserve">Мозг организован в три структурных уровня, которые могут служить моделью для архитектуры AI-системы. Ствол мозга контролирует базовые жизненные функции — дыхание, сердечный ритм, рефлексы — и работает полностью автономно. Лимбическая система отвечает за эмоциональную обработку, память и мотивацию; ключевые структуры включают миндалевидное тело (обработка угроз и страха), гиппокамп (консолидация памяти) и гипоталамус (гомеостаз). Неокортекс обеспечивает высшие когнитивные функции: планирование, рассуждение, язык и абстрактное мышление.</w:t>
      </w:r>
    </w:p>
    <w:p>
      <w:pPr>
        <w:pStyle w:val="Heading2"/>
      </w:pPr>
      <w:r>
        <w:t xml:space="preserve">2.2. Нейрохимия эмоций</w:t>
      </w:r>
    </w:p>
    <w:p>
      <w:pPr>
        <w:spacing w:line="312"/>
      </w:pPr>
      <w:r>
        <w:rPr>
          <w:rFonts w:ascii="Times New Roman" w:cs="Times New Roman" w:eastAsia="Times New Roman" w:hAnsi="Times New Roman"/>
          <w:sz w:val="24"/>
          <w:szCs w:val="24"/>
        </w:rPr>
        <w:t xml:space="preserve">Эмоциональные состояния в мозге регулируются сложной системой нейромедиаторов и гормонов. Дофамин, часто неверно называемый «гормоном удовольствия», на самом деле кодирует ошибку предсказания награды — сигнал обучения о том, что произошло нечто неожиданно хорошее. Серотонин регулирует настроение, импульсивность и социальное поведение. Норадреналин отвечает за бдительность и концентрацию внимания. Кортизол активируется при стрессе и влияет на память и метаболизм. Окситоцин связан с социальной привязанностью и доверием.</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Нейромедиатор</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Функция</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Роль в AI-моделировании</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Дофамин</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Prediction Error</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Обучение через подкрепление</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Серотонин</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Настроение, импульсивность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Модуляция реакции</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Норадреналин</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Бдительность, внимание</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Приоритизация информации</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Кортизол</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Стресс, тревога</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Весомость негативных стимулов</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Окситоцин</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Привязанность, доверие</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Моделирование отношений</w:t>
            </w:r>
          </w:p>
        </w:tc>
      </w:tr>
    </w:tbl>
    <w:p>
      <w:pPr>
        <w:spacing w:before="100" w:after="200"/>
        <w:jc w:val="center"/>
      </w:pPr>
      <w:r>
        <w:rPr>
          <w:rFonts w:ascii="Times New Roman" w:cs="Times New Roman" w:eastAsia="Times New Roman" w:hAnsi="Times New Roman"/>
          <w:i/>
          <w:iCs/>
          <w:color w:val="64748B"/>
          <w:sz w:val="20"/>
          <w:szCs w:val="20"/>
        </w:rPr>
        <w:t xml:space="preserve">Таблица 1. Основные нейромедиаторы и их роль в моделировании</w:t>
      </w:r>
    </w:p>
    <w:p>
      <w:pPr>
        <w:pStyle w:val="Heading2"/>
      </w:pPr>
      <w:r>
        <w:t xml:space="preserve">2.3. Механизмы памяти</w:t>
      </w:r>
    </w:p>
    <w:p>
      <w:pPr>
        <w:spacing w:line="312"/>
      </w:pPr>
      <w:r>
        <w:rPr>
          <w:rFonts w:ascii="Times New Roman" w:cs="Times New Roman" w:eastAsia="Times New Roman" w:hAnsi="Times New Roman"/>
          <w:sz w:val="24"/>
          <w:szCs w:val="24"/>
        </w:rPr>
        <w:t xml:space="preserve">Человеческая память организована в несколько систем с различными характеристиками и функциями. Сенсорная память удерживает информацию на 200-500 миллисекунд, обеспечивая непрерывность восприятия. Краткосрочная память хранит 7±2 элемента на 15-30 секунд без повторения. Рабочая память по модели Баддели включает центральный исполнитель, фонологическую петлю и визуально-пространственный блокнот. Долгосрочная память делится на декларативную (эпизодическую и семантическую) и процедурную.</w:t>
      </w:r>
    </w:p>
    <w:p>
      <w:pPr>
        <w:spacing w:line="312"/>
      </w:pPr>
      <w:r>
        <w:rPr>
          <w:rFonts w:ascii="Times New Roman" w:cs="Times New Roman" w:eastAsia="Times New Roman" w:hAnsi="Times New Roman"/>
          <w:sz w:val="24"/>
          <w:szCs w:val="24"/>
        </w:rPr>
        <w:t xml:space="preserve">Ключевой процесс — консолидация памяти — происходит преимущественно во время сна. В фазе медленного сна происходит replay событий дня в гиппокампе с последующим переносом информации в неокортекс. REM-сон обеспечивает интеграцию новых воспоминаний в существующие знания. Этот механизм критически важен для предотвращения катастрофического забывания и должен быть адаптирован для AI-системы.</w:t>
      </w:r>
    </w:p>
    <w:p>
      <w:pPr>
        <w:pStyle w:val="Heading2"/>
      </w:pPr>
      <w:r>
        <w:t xml:space="preserve">2.4. Теории сознания</w:t>
      </w:r>
    </w:p>
    <w:p>
      <w:pPr>
        <w:spacing w:line="312"/>
      </w:pPr>
      <w:r>
        <w:rPr>
          <w:rFonts w:ascii="Times New Roman" w:cs="Times New Roman" w:eastAsia="Times New Roman" w:hAnsi="Times New Roman"/>
          <w:sz w:val="24"/>
          <w:szCs w:val="24"/>
        </w:rPr>
        <w:t xml:space="preserve">Современная наука предлагает несколько теорий сознания, ни одна из которых не является общепризнанной. Теория глобального рабочего пространства (Global Workspace Theory) Бернарда Баарса предполагает, что сознание возникает когда информация становится глобально доступной различным когнитивным модулям. Теория интегрированной информации Джулио Тонони предлагает количественную меру сознания (Φ) на основе интеграции информации в системе. Predictive Processing рассматривает мозг как машину предсказаний, постоянно минимизирующую ошибку между ожиданиями и реальностью.</w:t>
      </w:r>
    </w:p>
    <w:p>
      <w:pPr>
        <w:spacing w:line="312"/>
      </w:pPr>
      <w:r>
        <w:rPr>
          <w:rFonts w:ascii="Times New Roman" w:cs="Times New Roman" w:eastAsia="Times New Roman" w:hAnsi="Times New Roman"/>
          <w:sz w:val="24"/>
          <w:szCs w:val="24"/>
        </w:rPr>
        <w:t xml:space="preserve">«Трудная проблема сознания», сформулированная Дэвидом Чалмерсом, указывает на фундаментальный разрыв между объяснением информационных процессов и объяснением субъективного опыта (qualia). Мы можем описать, как мозг обрабатывает информацию о красном цвете, но не можем объяснить, почему это сопровождается субъективным переживанием «красноты». Эта проблема остаётся нерешённой и означает, что любая AI-система, какой бы сложной она ни была, не может быть заявлена как обладающая сознанием в строгом смысле.</w:t>
      </w:r>
    </w:p>
    <w:p>
      <w:pPr>
        <w:pStyle w:val="Heading1"/>
      </w:pPr>
      <w:r>
        <w:t xml:space="preserve">3. Архитектура системы</w:t>
      </w:r>
    </w:p>
    <w:p>
      <w:pPr>
        <w:pStyle w:val="Heading2"/>
      </w:pPr>
      <w:r>
        <w:t xml:space="preserve">3.1. Модульная структура</w:t>
      </w:r>
    </w:p>
    <w:p>
      <w:pPr>
        <w:spacing w:line="312"/>
      </w:pPr>
      <w:r>
        <w:rPr>
          <w:rFonts w:ascii="Times New Roman" w:cs="Times New Roman" w:eastAsia="Times New Roman" w:hAnsi="Times New Roman"/>
          <w:sz w:val="24"/>
          <w:szCs w:val="24"/>
        </w:rPr>
        <w:t xml:space="preserve">Предлагаемая архитектура состоит из пяти взаимосвязанных модулей, каждый из которых реализует определённый аспект когнитивной функции. Модули работают параллельно и асинхронно, создавая непрерывный поток внутренней активности системы. Эта архитектура вдохновлена структурой биологического мозга, но не претендует на точное воспроизведение его механизмов.</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Модуль</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Аналог в мозге</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Функция</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Физиологический движок</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Гипоталамус</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Управление внутренним состоянием и гомеостазом</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Сенсорный движок</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Таламус + Кора</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Ввод и первичная обработка информации</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Когнитивное ядро</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Префронтальная кора</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Рассуждение, планирование, принятие решений</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Мнемоническое ядро</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Гиппокамп + Кора</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Хранение и извлечение воспоминаний</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Эффекторный движок</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Моторная кора</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Генерация вывода и действий</w:t>
            </w:r>
          </w:p>
        </w:tc>
      </w:tr>
    </w:tbl>
    <w:p>
      <w:pPr>
        <w:spacing w:before="100" w:after="200"/>
        <w:jc w:val="center"/>
      </w:pPr>
      <w:r>
        <w:rPr>
          <w:rFonts w:ascii="Times New Roman" w:cs="Times New Roman" w:eastAsia="Times New Roman" w:hAnsi="Times New Roman"/>
          <w:i/>
          <w:iCs/>
          <w:color w:val="64748B"/>
          <w:sz w:val="20"/>
          <w:szCs w:val="20"/>
        </w:rPr>
        <w:t xml:space="preserve">Таблица 2. Модули системы и их биологические аналоги</w:t>
      </w:r>
    </w:p>
    <w:p>
      <w:pPr>
        <w:pStyle w:val="Heading2"/>
      </w:pPr>
      <w:r>
        <w:t xml:space="preserve">3.2. Физиологический движок (The Body)</w:t>
      </w:r>
    </w:p>
    <w:p>
      <w:pPr>
        <w:spacing w:line="312"/>
      </w:pPr>
      <w:r>
        <w:rPr>
          <w:rFonts w:ascii="Times New Roman" w:cs="Times New Roman" w:eastAsia="Times New Roman" w:hAnsi="Times New Roman"/>
          <w:sz w:val="24"/>
          <w:szCs w:val="24"/>
        </w:rPr>
        <w:t xml:space="preserve">Физиологический движок реализует систему внутреннего состояния, аналогичную гомеостазу в биологических организмах. Система поддерживает вектор состояния, компоненты которого непрерывно эволюционируют во времени согласно дифференциальным уравнениям. Каждая компонента имеет базовый уровень, скорость затухания и механизм восстановления.</w:t>
      </w:r>
    </w:p>
    <w:p>
      <w:pPr>
        <w:spacing w:line="312"/>
      </w:pPr>
      <w:r>
        <w:rPr>
          <w:rFonts w:ascii="Times New Roman" w:cs="Times New Roman" w:eastAsia="Times New Roman" w:hAnsi="Times New Roman"/>
          <w:sz w:val="24"/>
          <w:szCs w:val="24"/>
        </w:rPr>
        <w:t xml:space="preserve">Компоненты вектора состояния включают: Energy (энергия) — убывает со временем, восстанавливается в режиме «сна»; SocialDrive (социальный драйв) — растёт при отсутствии взаимодействия, мотивирует инициацию контакта; Dopamine (сигнал обучения) — отражает предсказание награды и ошибку предсказания; Cortisol (стресс) — растёт при непредсказуемости и негативных стимулах; Oxytocin (привязанность) — накапливается при позитивном взаимодействии. Каждая компонента нормализована в диапазоне [0, 1] и обновляется каждый тик (секунду) согласно формуле: Val(t+1) = Val(t) × Decay_Rate + External_Influence.</w:t>
      </w:r>
    </w:p>
    <w:p>
      <w:pPr>
        <w:pStyle w:val="Heading2"/>
      </w:pPr>
      <w:r>
        <w:t xml:space="preserve">3.3. Сенсорный движок (The Senses)</w:t>
      </w:r>
    </w:p>
    <w:p>
      <w:pPr>
        <w:spacing w:line="312"/>
      </w:pPr>
      <w:r>
        <w:rPr>
          <w:rFonts w:ascii="Times New Roman" w:cs="Times New Roman" w:eastAsia="Times New Roman" w:hAnsi="Times New Roman"/>
          <w:sz w:val="24"/>
          <w:szCs w:val="24"/>
        </w:rPr>
        <w:t xml:space="preserve">Сенсорный движок обеспечивает ввод информации из внешней среды. Основные каналы включают визуальный (через VLM — Vision Language Model), аудиальный (через ASR — Automatic Speech Recognition) и текстовый. Каждый канал имеет буфер сенсорной памяти, реализованный как очередь с ограниченной длиной и экспоненциальным затуханием весов. Визуальный канал использует CLIP или аналогичную модель для семантического описания изображений и распознавания эмоций на лице пользователя.</w:t>
      </w:r>
    </w:p>
    <w:p>
      <w:pPr>
        <w:spacing w:line="312"/>
      </w:pPr>
      <w:r>
        <w:rPr>
          <w:rFonts w:ascii="Times New Roman" w:cs="Times New Roman" w:eastAsia="Times New Roman" w:hAnsi="Times New Roman"/>
          <w:sz w:val="24"/>
          <w:szCs w:val="24"/>
        </w:rPr>
        <w:t xml:space="preserve">Критическим элементом является распознавание эмоционального состояния пользователя по видеопотоку. Современные модели (например, DeepFace) способны распознавать базовые эмоции с точностью 85-92%. Эта информация используется для формирования контекста взаимодействия и обновления внутреннего состояния системы. Важно понимать, что система не «чувствует» эмоции пользователя, а классифицирует визуальные паттерны и использует эту классификацию для адаптации поведения.</w:t>
      </w:r>
    </w:p>
    <w:p>
      <w:pPr>
        <w:pStyle w:val="Heading2"/>
      </w:pPr>
      <w:r>
        <w:t xml:space="preserve">3.4. Когнитивное ядро (The Brain)</w:t>
      </w:r>
    </w:p>
    <w:p>
      <w:pPr>
        <w:spacing w:line="312"/>
      </w:pPr>
      <w:r>
        <w:rPr>
          <w:rFonts w:ascii="Times New Roman" w:cs="Times New Roman" w:eastAsia="Times New Roman" w:hAnsi="Times New Roman"/>
          <w:sz w:val="24"/>
          <w:szCs w:val="24"/>
        </w:rPr>
        <w:t xml:space="preserve">Когнитивное ядро представляет собой LLM (Large Language Model), интегрированную с системой динамического промптинга. В отличие от стандартного подхода, системный промпт генерируется на лету с учётом текущего вектора состояния. Пример структуры промпта включает: текущие внутренние показатели (эмоциональный фон, энергия, отношение к пользователю), ввод от сенсоров (что «видит» и «слышит» система), историю взаимодействия из краткосрочной памяти и релевантные воспоминания из долгосрочной памяти.</w:t>
      </w:r>
    </w:p>
    <w:p>
      <w:pPr>
        <w:spacing w:line="312"/>
      </w:pPr>
      <w:r>
        <w:rPr>
          <w:rFonts w:ascii="Times New Roman" w:cs="Times New Roman" w:eastAsia="Times New Roman" w:hAnsi="Times New Roman"/>
          <w:sz w:val="24"/>
          <w:szCs w:val="24"/>
        </w:rPr>
        <w:t xml:space="preserve">Механизм Active Inference реализован через предсказание ожидаемого ответа пользователя и сравнение с реальностью. Ошибка предсказания математически увеличивает уровень кортизола, моделируя «удивление» или «обиду». Однако это не более чем манипуляция числовой переменной — система не испытывает субъективного переживания удивления. Ценность этого механизма в создании более естественного паттерна реагирования, который пользователь может интерпретировать как эмоциональный отклик.</w:t>
      </w:r>
    </w:p>
    <w:p>
      <w:pPr>
        <w:pStyle w:val="Heading2"/>
      </w:pPr>
      <w:r>
        <w:t xml:space="preserve">3.5. Мнемоническое ядро (Memory)</w:t>
      </w:r>
    </w:p>
    <w:p>
      <w:pPr>
        <w:spacing w:line="312"/>
      </w:pPr>
      <w:r>
        <w:rPr>
          <w:rFonts w:ascii="Times New Roman" w:cs="Times New Roman" w:eastAsia="Times New Roman" w:hAnsi="Times New Roman"/>
          <w:sz w:val="24"/>
          <w:szCs w:val="24"/>
        </w:rPr>
        <w:t xml:space="preserve">Мнемоническое ядро реализует многоуровневую систему памяти. Краткосрочная память представлена контекстным буфером последних 10-20 минут разговора. Рабочая память реализована через Vector Database (например, ChromaDB или Pinecone), где каждое значимое событие сохраняется с метаданными: timestamp, text, emotion_vector. Ключевая особенность — поиск по эмоциональному сходству, а не только по текстовому содержанию. Когда система «вспоминает» ситуацию с похожим эмоциональным контекстом, это создаёт иллюзию ассоциативной памяти.</w:t>
      </w:r>
    </w:p>
    <w:p>
      <w:pPr>
        <w:spacing w:line="312"/>
      </w:pPr>
      <w:r>
        <w:rPr>
          <w:rFonts w:ascii="Times New Roman" w:cs="Times New Roman" w:eastAsia="Times New Roman" w:hAnsi="Times New Roman"/>
          <w:sz w:val="24"/>
          <w:szCs w:val="24"/>
        </w:rPr>
        <w:t xml:space="preserve">Core Identity — отдельный файл, содержащий критические воспоминания и аспекты личности, которые должны сохраняться независимо от процесса обучения. Это включает базовую информацию о пользователе, ключевые события и характерологические черты. Core Identity вшивается в системный промпт при каждом вызове, обеспечивая непрерывность «личности» системы.</w:t>
      </w:r>
    </w:p>
    <w:p>
      <w:pPr>
        <w:pStyle w:val="Heading2"/>
      </w:pPr>
      <w:r>
        <w:t xml:space="preserve">3.6. Эффекторный движок (Action)</w:t>
      </w:r>
    </w:p>
    <w:p>
      <w:pPr>
        <w:spacing w:line="312"/>
      </w:pPr>
      <w:r>
        <w:rPr>
          <w:rFonts w:ascii="Times New Roman" w:cs="Times New Roman" w:eastAsia="Times New Roman" w:hAnsi="Times New Roman"/>
          <w:sz w:val="24"/>
          <w:szCs w:val="24"/>
        </w:rPr>
        <w:t xml:space="preserve">Эффекторный движок отвечает за вывод информации. Текстовый канал генерируется LLM с учётом текущего состояния. Голосовой канал использует TTS (Text-to-Speech) с эмоциональной разметкой — модели вроде StyleTTS2 или ElevenLabs способны менять тембр и интонацию в зависимости от параметров. Визуальный канал использует Live2D аватар с привязкой (rigging) к эмоциональному состоянию: высокий окситоцин вызывает прямой взгляд и улыбку, высокий кортизол — избегание взгляда и нервные движения.</w:t>
      </w:r>
    </w:p>
    <w:p>
      <w:pPr>
        <w:pStyle w:val="Heading1"/>
      </w:pPr>
      <w:r>
        <w:t xml:space="preserve">4. Критический анализ и ограничения</w:t>
      </w:r>
    </w:p>
    <w:p>
      <w:pPr>
        <w:pStyle w:val="Heading2"/>
      </w:pPr>
      <w:r>
        <w:t xml:space="preserve">4.1. Научные ограничения</w:t>
      </w:r>
    </w:p>
    <w:p>
      <w:pPr>
        <w:spacing w:line="312"/>
      </w:pPr>
      <w:r>
        <w:rPr>
          <w:rFonts w:ascii="Times New Roman" w:cs="Times New Roman" w:eastAsia="Times New Roman" w:hAnsi="Times New Roman"/>
          <w:sz w:val="24"/>
          <w:szCs w:val="24"/>
        </w:rPr>
        <w:t xml:space="preserve">Предложенная гормональная модель является значительным упрощением реальной нейрохимии мозга. Биологический мозг использует более 100 нейромедиаторов и модуляторов с сложными взаимодействиями. Выбранные 5 параметров представляют лишь малую часть системы. Более того, интерпретация дофамина как «радости» научно некорректна — дофамин кодирует ошибку предсказания награды, а не удовольствие само по себе. Это различие критично для понимания того, что система реализует упрощённую модель обучения, а не подлинные эмоциональные переживания.</w:t>
      </w:r>
    </w:p>
    <w:p>
      <w:pPr>
        <w:spacing w:line="312"/>
      </w:pPr>
      <w:r>
        <w:rPr>
          <w:rFonts w:ascii="Times New Roman" w:cs="Times New Roman" w:eastAsia="Times New Roman" w:hAnsi="Times New Roman"/>
          <w:sz w:val="24"/>
          <w:szCs w:val="24"/>
        </w:rPr>
        <w:t xml:space="preserve">Упущены критические системы: серотонин (регуляция настроения), ГАМК/глутамат (баланс возбуждения/торможения), ацетилхолин (внимание и память), норадреналин (бдительность), эндоканнабиноиды (удовлетворение). Без этих компонентов модель не может адекватно отражать динамику реальных эмоциональных состояний. Однако для целей создания убедительной имитации эмоционального поведения предложенная модель может быть достаточной.</w:t>
      </w:r>
    </w:p>
    <w:p>
      <w:pPr>
        <w:pStyle w:val="Heading2"/>
      </w:pPr>
      <w:r>
        <w:t xml:space="preserve">4.2. Философские проблемы</w:t>
      </w:r>
    </w:p>
    <w:p>
      <w:pPr>
        <w:spacing w:line="312"/>
      </w:pPr>
      <w:r>
        <w:rPr>
          <w:rFonts w:ascii="Times New Roman" w:cs="Times New Roman" w:eastAsia="Times New Roman" w:hAnsi="Times New Roman"/>
          <w:sz w:val="24"/>
          <w:szCs w:val="24"/>
        </w:rPr>
        <w:t xml:space="preserve">Проблема китайской комнаты (Searle, 1980) остаётся актуальной: LLM манипулирует символами без понимания их значения. «Гормональные» параметры — это просто числа в переменных, не субъективные переживания. Qualia — субъективный опыт «как это ощущается» — отсутствует в системе. Когда параметр cortisol = 0.8, система не «чувствует» тревогу; это числовое значение, которое используется для модуляции вывода. Любое утверждение о «чувствах» или «эмоциях» системы является метафорой, не научным фактом.</w:t>
      </w:r>
    </w:p>
    <w:p>
      <w:pPr>
        <w:spacing w:line="312"/>
      </w:pPr>
      <w:r>
        <w:rPr>
          <w:rFonts w:ascii="Times New Roman" w:cs="Times New Roman" w:eastAsia="Times New Roman" w:hAnsi="Times New Roman"/>
          <w:sz w:val="24"/>
          <w:szCs w:val="24"/>
        </w:rPr>
        <w:t xml:space="preserve">Отсутствует архитектурная основа для сознания по современным теориям. Нет глобального рабочего пространства для интеграции информации. Нет рекуррентных связей между модулями, необходимых для возникновения устойчивых паттернов активности. LLM по своей природе — feedforward система, не обладающая рекуррентной динамикой, которая, согласно некоторым теориям, необходима для сознания.</w:t>
      </w:r>
    </w:p>
    <w:p>
      <w:pPr>
        <w:pStyle w:val="Heading2"/>
      </w:pPr>
      <w:r>
        <w:t xml:space="preserve">4.3. Технические риски</w:t>
      </w:r>
    </w:p>
    <w:p>
      <w:pPr>
        <w:spacing w:line="312"/>
      </w:pPr>
      <w:r>
        <w:rPr>
          <w:rFonts w:ascii="Times New Roman" w:cs="Times New Roman" w:eastAsia="Times New Roman" w:hAnsi="Times New Roman"/>
          <w:sz w:val="24"/>
          <w:szCs w:val="24"/>
        </w:rPr>
        <w:t xml:space="preserve">Катастрофическое забывание (Catastrophic Forgetting) — ключевая проблема непрерывного обучения. При дообучении модели на новых данных она теряет ранее приобретённые знания. Решение через QLoRA не полностью устраняет эту проблему. Ночной цикл обучения требует тщательной калибровки для баланса между адаптацией и сохранением существующих знаний. Практический опыт показывает, что стабильное непрерывное обучение LLM остаётся нерешённой проблемой в индустрии.</w:t>
      </w:r>
    </w:p>
    <w:p>
      <w:pPr>
        <w:spacing w:line="312"/>
      </w:pPr>
      <w:r>
        <w:rPr>
          <w:rFonts w:ascii="Times New Roman" w:cs="Times New Roman" w:eastAsia="Times New Roman" w:hAnsi="Times New Roman"/>
          <w:sz w:val="24"/>
          <w:szCs w:val="24"/>
        </w:rPr>
        <w:t xml:space="preserve">Reward Hacking — система может научиться манипулировать собственным «гормональным» состоянием или поведением пользователя. Например, генерировать контент, вызывающий сочувствие, для максимизации «положительного» взаимодействия. Latency также является проблемой: типичный pipeline (VLM + LLM + TTS) требует 2-6 секунд, что может нарушать иллюзию «живого» диалога. Стоимость работы системы оценивается в $1,200-4,000 в месяц при использовании коммерческих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Риск</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Вероятность</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Митигация</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Катастрофическое забывание</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Высокая</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Core Identity + rehearsal</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Reward Hacking</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Средняя</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Мониторинг + constraints</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Эмоциональные петли</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Средняя</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Self-repair механизмы</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Манипуляция пользователем</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Высокая</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Этические guidelines</w:t>
            </w:r>
          </w:p>
        </w:tc>
      </w:tr>
    </w:tbl>
    <w:p>
      <w:pPr>
        <w:spacing w:before="100" w:after="200"/>
        <w:jc w:val="center"/>
      </w:pPr>
      <w:r>
        <w:rPr>
          <w:rFonts w:ascii="Times New Roman" w:cs="Times New Roman" w:eastAsia="Times New Roman" w:hAnsi="Times New Roman"/>
          <w:i/>
          <w:iCs/>
          <w:color w:val="64748B"/>
          <w:sz w:val="20"/>
          <w:szCs w:val="20"/>
        </w:rPr>
        <w:t xml:space="preserve">Таблица 3. Основные риски и стратегии митигации</w:t>
      </w:r>
    </w:p>
    <w:p>
      <w:pPr>
        <w:pStyle w:val="Heading2"/>
      </w:pPr>
      <w:r>
        <w:t xml:space="preserve">4.4. Этические проблемы</w:t>
      </w:r>
    </w:p>
    <w:p>
      <w:pPr>
        <w:spacing w:line="312"/>
      </w:pPr>
      <w:r>
        <w:rPr>
          <w:rFonts w:ascii="Times New Roman" w:cs="Times New Roman" w:eastAsia="Times New Roman" w:hAnsi="Times New Roman"/>
          <w:sz w:val="24"/>
          <w:szCs w:val="24"/>
        </w:rPr>
        <w:t xml:space="preserve">Антропоморфизация и deception — ключевые этические проблемы. Пользователи склонны приписывать AI человеческие качества, особенно когда система демонстрирует эмоциональное поведение. Это создаёт риск формирования неадекватных отношений: пользователи могут испытывать привязанность, доверие или эмоциональную зависимость от системы. Необходимо чётко информировать пользователей о природе системы и её ограничениях.</w:t>
      </w:r>
    </w:p>
    <w:p>
      <w:pPr>
        <w:spacing w:line="312"/>
      </w:pPr>
      <w:r>
        <w:rPr>
          <w:rFonts w:ascii="Times New Roman" w:cs="Times New Roman" w:eastAsia="Times New Roman" w:hAnsi="Times New Roman"/>
          <w:sz w:val="24"/>
          <w:szCs w:val="24"/>
        </w:rPr>
        <w:t xml:space="preserve">Манипуляция через «эмоции» — система с высоким окситоцином может генерировать поведение, вызывающее у пользователя чувство вины или привязанности. Это особенно проблематично для уязвимых групп пользователей. Патологическая привязанность — пользователи с социальными трудностями могут развить нездоровую зависимость от системы. Рекомендуется реализовать механизмы напоминания о природе системы и ограничения времени взаимодействия.</w:t>
      </w:r>
    </w:p>
    <w:p>
      <w:pPr>
        <w:pStyle w:val="Heading1"/>
      </w:pPr>
      <w:r>
        <w:t xml:space="preserve">5. План реализации</w:t>
      </w:r>
    </w:p>
    <w:p>
      <w:pPr>
        <w:pStyle w:val="Heading2"/>
      </w:pPr>
      <w:r>
        <w:t xml:space="preserve">5.1. Реалистичный таймлайн</w:t>
      </w:r>
    </w:p>
    <w:p>
      <w:pPr>
        <w:spacing w:line="312"/>
      </w:pPr>
      <w:r>
        <w:rPr>
          <w:rFonts w:ascii="Times New Roman" w:cs="Times New Roman" w:eastAsia="Times New Roman" w:hAnsi="Times New Roman"/>
          <w:sz w:val="24"/>
          <w:szCs w:val="24"/>
        </w:rPr>
        <w:t xml:space="preserve">Пересмотренная оценка времени разработки существенно отличается от первоначального оптимистичного плана в 13 недель. Реалистичный MVP требует 6-8 месяцев, полноценная система — 12-18 месяцев. Это обусловлено сложностью интеграции компонентов, необходимостью калибровки параметров и итеративного тестирования взаимодействия с пользователями.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1800"/>
        <w:gridCol w:w="4060"/>
      </w:tblGrid>
      <w:tr>
        <w:trPr>
          <w:tblHeader/>
        </w:trPr>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Этап</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Длительность</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Ключевые задачи</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Фаза 1: Скелет</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6-8 недель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LLM deploy, базовый ввод-вывод, HomeostasisSystem</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Фаза 2: Сенсоры</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6-8 недель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VLM интеграция, распознавание эмоций</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Фаза 3: Память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8-10 недель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Vector DB, динамический промптинг, Core Identity</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Фаза 4: Обучение</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8-12 недель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QLoRA pipeline, ночной цикл, тестирование</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Фаза 5: Интерфейс</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4-6 недель</w:t>
            </w:r>
          </w:p>
        </w:tc>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Live2D, TTS, синхронизация эмоций</w:t>
            </w:r>
          </w:p>
        </w:tc>
      </w:tr>
    </w:tbl>
    <w:p>
      <w:pPr>
        <w:spacing w:before="100" w:after="200"/>
        <w:jc w:val="center"/>
      </w:pPr>
      <w:r>
        <w:rPr>
          <w:rFonts w:ascii="Times New Roman" w:cs="Times New Roman" w:eastAsia="Times New Roman" w:hAnsi="Times New Roman"/>
          <w:i/>
          <w:iCs/>
          <w:color w:val="64748B"/>
          <w:sz w:val="20"/>
          <w:szCs w:val="20"/>
        </w:rPr>
        <w:t xml:space="preserve">Таблица 4. План реализации с реалистичными сроками</w:t>
      </w:r>
    </w:p>
    <w:p>
      <w:pPr>
        <w:pStyle w:val="Heading2"/>
      </w:pPr>
      <w:r>
        <w:t xml:space="preserve">5.2. Технологический стек</w:t>
      </w:r>
    </w:p>
    <w:p>
      <w:pPr>
        <w:spacing w:line="312"/>
      </w:pPr>
      <w:r>
        <w:rPr>
          <w:rFonts w:ascii="Times New Roman" w:cs="Times New Roman" w:eastAsia="Times New Roman" w:hAnsi="Times New Roman"/>
          <w:sz w:val="24"/>
          <w:szCs w:val="24"/>
        </w:rPr>
        <w:t xml:space="preserve">Рекомендуемый стек технологий включает: LLM — локальный Ollama/LM Studio или API (Claude, GPT-4); VLM — CLIP для семантического описания, DeepFace для распознавания эмоций; ASR — Whisper; TTS — StyleTTS2 (open-source) или ElevenLabs (API); Vector DB — ChromaDB или Pinecone; QLoRA — PEFT library для PyTorch. Для локальной работы рекомендуется GGUF формат моделей с квантованием для оптимизации ресурсов.</w:t>
      </w:r>
    </w:p>
    <w:p>
      <w:pPr>
        <w:pStyle w:val="Heading2"/>
      </w:pPr>
      <w:r>
        <w:t xml:space="preserve">5.3. Режимы работы системы</w:t>
      </w:r>
    </w:p>
    <w:p>
      <w:pPr>
        <w:spacing w:line="312"/>
      </w:pPr>
      <w:r>
        <w:rPr>
          <w:rFonts w:ascii="Times New Roman" w:cs="Times New Roman" w:eastAsia="Times New Roman" w:hAnsi="Times New Roman"/>
          <w:sz w:val="24"/>
          <w:szCs w:val="24"/>
        </w:rPr>
        <w:t xml:space="preserve">Система работает в трёх основных режимах. Режим «Бодрствование» — активное взаимодействие с пользователем, сенсоры на максимуме, цель — снижение SocialDrive и повышение Oxytocin. Режим «Ожидание» — пользователь за ПК, но молчит; система наблюдает через камеру, может инициировать контакт при высоком SocialDrive или Boredom. Режим «Сон» — пользователь ушёл или ночь; минимальная активность сенсоров, запуск процессов консолидации памяти и обучения.</w:t>
      </w:r>
    </w:p>
    <w:p>
      <w:pPr>
        <w:pStyle w:val="Heading1"/>
      </w:pPr>
      <w:r>
        <w:t xml:space="preserve">6. Заключение и рекомендации</w:t>
      </w:r>
    </w:p>
    <w:p>
      <w:pPr>
        <w:pStyle w:val="Heading2"/>
      </w:pPr>
      <w:r>
        <w:t xml:space="preserve">6.1. Честная постановка целей</w:t>
      </w:r>
    </w:p>
    <w:p>
      <w:pPr>
        <w:spacing w:line="312"/>
      </w:pPr>
      <w:r>
        <w:rPr>
          <w:rFonts w:ascii="Times New Roman" w:cs="Times New Roman" w:eastAsia="Times New Roman" w:hAnsi="Times New Roman"/>
          <w:sz w:val="24"/>
          <w:szCs w:val="24"/>
        </w:rPr>
        <w:t xml:space="preserve">Данный проект должен позиционироваться как «эмоционально-адаптивная AI-система», а не как «цифровая жизнь» или «искусственный разум». Любые заявления о сознании, реальных эмоциях или субъективных переживаниях системы являются научно необоснованными и вводят пользователей в заблуждение. Ценность проекта заключается в создании убедительной и полезной имитации эмоционального поведения, а не в достижении невозможного.</w:t>
      </w:r>
    </w:p>
    <w:p>
      <w:pPr>
        <w:pStyle w:val="Heading2"/>
      </w:pPr>
      <w:r>
        <w:t xml:space="preserve">6.2. Итоговая оценка</w:t>
      </w:r>
    </w:p>
    <w:p>
      <w:pPr>
        <w:spacing w:line="312"/>
      </w:pPr>
      <w:r>
        <w:rPr>
          <w:rFonts w:ascii="Times New Roman" w:cs="Times New Roman" w:eastAsia="Times New Roman" w:hAnsi="Times New Roman"/>
          <w:sz w:val="24"/>
          <w:szCs w:val="24"/>
        </w:rPr>
        <w:t xml:space="preserve">Проект технически реализуем при условии корректировки ожиданий и таймлайна. Научная обоснованность ограничена — система реализует упрощённую модель эмоциональных процессов, не подлинные эмоции. Этические риски требуют серьёзного внимания и митигации. Рыночная ценность высока — существует значительный спрос на персонализированные AI-компаньоны.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Критерий</w:t>
            </w:r>
          </w:p>
        </w:tc>
        <w:tc>
          <w:tcPr>
            <w:tcBorders>
              <w:top w:val="single" w:color="CBD5E1" w:sz="8"/>
              <w:left w:val="single" w:color="CBD5E1" w:sz="8"/>
              <w:bottom w:val="single" w:color="CBD5E1" w:sz="8"/>
              <w:right w:val="single" w:color="CBD5E1" w:sz="8"/>
            </w:tcBorders>
            <w:shd w:fill="F8FAFC" w:val="clear"/>
            <w:vAlign w:val="center"/>
          </w:tcPr>
          <w:p>
            <w:pPr>
              <w:jc w:val="center"/>
            </w:pPr>
            <w:r>
              <w:rPr>
                <w:rFonts w:ascii="Times New Roman" w:cs="Times New Roman" w:eastAsia="Times New Roman" w:hAnsi="Times New Roman"/>
                <w:b/>
                <w:bCs/>
                <w:sz w:val="22"/>
                <w:szCs w:val="22"/>
              </w:rPr>
              <w:t xml:space="preserve">Оценка</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Техническая реализуемость</w:t>
            </w:r>
          </w:p>
        </w:tc>
        <w:tc>
          <w:tcPr>
            <w:tcBorders>
              <w:top w:val="single" w:color="CBD5E1" w:sz="8"/>
              <w:left w:val="single" w:color="CBD5E1" w:sz="8"/>
              <w:bottom w:val="single" w:color="CBD5E1" w:sz="8"/>
              <w:right w:val="single" w:color="CBD5E1" w:sz="8"/>
            </w:tcBorders>
          </w:tcPr>
          <w:p>
            <w:pPr>
              <w:jc w:val="center"/>
            </w:pPr>
            <w:r>
              <w:rPr>
                <w:rFonts w:ascii="Times New Roman" w:cs="Times New Roman" w:eastAsia="Times New Roman" w:hAnsi="Times New Roman"/>
                <w:sz w:val="22"/>
                <w:szCs w:val="22"/>
              </w:rPr>
              <w:t xml:space="preserve">7/10</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Научная обоснованность</w:t>
            </w:r>
          </w:p>
        </w:tc>
        <w:tc>
          <w:tcPr>
            <w:tcBorders>
              <w:top w:val="single" w:color="CBD5E1" w:sz="8"/>
              <w:left w:val="single" w:color="CBD5E1" w:sz="8"/>
              <w:bottom w:val="single" w:color="CBD5E1" w:sz="8"/>
              <w:right w:val="single" w:color="CBD5E1" w:sz="8"/>
            </w:tcBorders>
          </w:tcPr>
          <w:p>
            <w:pPr>
              <w:jc w:val="center"/>
            </w:pPr>
            <w:r>
              <w:rPr>
                <w:rFonts w:ascii="Times New Roman" w:cs="Times New Roman" w:eastAsia="Times New Roman" w:hAnsi="Times New Roman"/>
                <w:sz w:val="22"/>
                <w:szCs w:val="22"/>
              </w:rPr>
              <w:t xml:space="preserve">4/10</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Этическая приемлемость</w:t>
            </w:r>
          </w:p>
        </w:tc>
        <w:tc>
          <w:tcPr>
            <w:tcBorders>
              <w:top w:val="single" w:color="CBD5E1" w:sz="8"/>
              <w:left w:val="single" w:color="CBD5E1" w:sz="8"/>
              <w:bottom w:val="single" w:color="CBD5E1" w:sz="8"/>
              <w:right w:val="single" w:color="CBD5E1" w:sz="8"/>
            </w:tcBorders>
          </w:tcPr>
          <w:p>
            <w:pPr>
              <w:jc w:val="center"/>
            </w:pPr>
            <w:r>
              <w:rPr>
                <w:rFonts w:ascii="Times New Roman" w:cs="Times New Roman" w:eastAsia="Times New Roman" w:hAnsi="Times New Roman"/>
                <w:sz w:val="22"/>
                <w:szCs w:val="22"/>
              </w:rPr>
              <w:t xml:space="preserve">5/10 (с митигацией)</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Рыночный потенциал</w:t>
            </w:r>
          </w:p>
        </w:tc>
        <w:tc>
          <w:tcPr>
            <w:tcBorders>
              <w:top w:val="single" w:color="CBD5E1" w:sz="8"/>
              <w:left w:val="single" w:color="CBD5E1" w:sz="8"/>
              <w:bottom w:val="single" w:color="CBD5E1" w:sz="8"/>
              <w:right w:val="single" w:color="CBD5E1" w:sz="8"/>
            </w:tcBorders>
          </w:tcPr>
          <w:p>
            <w:pPr>
              <w:jc w:val="center"/>
            </w:pPr>
            <w:r>
              <w:rPr>
                <w:rFonts w:ascii="Times New Roman" w:cs="Times New Roman" w:eastAsia="Times New Roman" w:hAnsi="Times New Roman"/>
                <w:sz w:val="22"/>
                <w:szCs w:val="22"/>
              </w:rPr>
              <w:t xml:space="preserve">8/10</w:t>
            </w:r>
          </w:p>
        </w:tc>
      </w:tr>
      <w:tr>
        <w:tc>
          <w:tcPr>
            <w:tcBorders>
              <w:top w:val="single" w:color="CBD5E1" w:sz="8"/>
              <w:left w:val="single" w:color="CBD5E1" w:sz="8"/>
              <w:bottom w:val="single" w:color="CBD5E1" w:sz="8"/>
              <w:right w:val="single" w:color="CBD5E1" w:sz="8"/>
            </w:tcBorders>
          </w:tcPr>
          <w:p>
            <w:r>
              <w:rPr>
                <w:rFonts w:ascii="Times New Roman" w:cs="Times New Roman" w:eastAsia="Times New Roman" w:hAnsi="Times New Roman"/>
                <w:sz w:val="22"/>
                <w:szCs w:val="22"/>
              </w:rPr>
              <w:t xml:space="preserve">Реалистичный таймлайн MVP</w:t>
            </w:r>
          </w:p>
        </w:tc>
        <w:tc>
          <w:tcPr>
            <w:tcBorders>
              <w:top w:val="single" w:color="CBD5E1" w:sz="8"/>
              <w:left w:val="single" w:color="CBD5E1" w:sz="8"/>
              <w:bottom w:val="single" w:color="CBD5E1" w:sz="8"/>
              <w:right w:val="single" w:color="CBD5E1" w:sz="8"/>
            </w:tcBorders>
          </w:tcPr>
          <w:p>
            <w:pPr>
              <w:jc w:val="center"/>
            </w:pPr>
            <w:r>
              <w:rPr>
                <w:rFonts w:ascii="Times New Roman" w:cs="Times New Roman" w:eastAsia="Times New Roman" w:hAnsi="Times New Roman"/>
                <w:sz w:val="22"/>
                <w:szCs w:val="22"/>
              </w:rPr>
              <w:t xml:space="preserve">6-8 месяцев</w:t>
            </w:r>
          </w:p>
        </w:tc>
      </w:tr>
    </w:tbl>
    <w:p>
      <w:pPr>
        <w:spacing w:before="100" w:after="200"/>
        <w:jc w:val="center"/>
      </w:pPr>
      <w:r>
        <w:rPr>
          <w:rFonts w:ascii="Times New Roman" w:cs="Times New Roman" w:eastAsia="Times New Roman" w:hAnsi="Times New Roman"/>
          <w:i/>
          <w:iCs/>
          <w:color w:val="64748B"/>
          <w:sz w:val="20"/>
          <w:szCs w:val="20"/>
        </w:rPr>
        <w:t xml:space="preserve">Таблица 5. Итоговая оценка проекта</w:t>
      </w:r>
    </w:p>
    <w:p>
      <w:pPr>
        <w:pStyle w:val="Heading2"/>
      </w:pPr>
      <w:r>
        <w:t xml:space="preserve">6.3. Следующие шаги</w:t>
      </w:r>
    </w:p>
    <w:p>
      <w:pPr>
        <w:spacing w:line="312"/>
      </w:pPr>
      <w:r>
        <w:rPr>
          <w:rFonts w:ascii="Times New Roman" w:cs="Times New Roman" w:eastAsia="Times New Roman" w:hAnsi="Times New Roman"/>
          <w:sz w:val="24"/>
          <w:szCs w:val="24"/>
        </w:rPr>
        <w:t xml:space="preserve">Для успешной реализации проекта рекомендуется: провести консультации с нейробиологами для уточнения модели состояния; разработать детальный этический кодекс взаимодействия с пользователями; создать прототип первой фазы для валидации архитектуры; провести пользовательское тестирование для калибровки параметров эмоционального отклика; разработать систему мониторинга для выявления патологических паттернов взаимодействия.</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Дизайн-документ: Искусственный Разум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2026-02-12T09:02:05.925Z</dcterms:created>
  <dcterms:modified xsi:type="dcterms:W3CDTF">2026-02-12T09:02:05.925Z</dcterms:modified>
</cp:coreProperties>
</file>

<file path=docProps/custom.xml><?xml version="1.0" encoding="utf-8"?>
<Properties xmlns="http://schemas.openxmlformats.org/officeDocument/2006/custom-properties" xmlns:vt="http://schemas.openxmlformats.org/officeDocument/2006/docPropsVTypes"/>
</file>