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color w:val="808080"/>
          <w:sz w:val="22"/>
          <w:szCs w:val="22"/>
        </w:rPr>
        <w:t xml:space="preserve">Java Spring Fundamentals</w:t>
      </w:r>
    </w:p>
    <w:p>
      <w:pPr>
        <w:pStyle w:val="Title"/>
        <w:spacing w:after="60"/>
        <w:jc w:val="center"/>
      </w:pPr>
      <w:r>
        <w:t xml:space="preserve">Atividade M1 — Integração de Sistemas</w:t>
      </w:r>
    </w:p>
    <w:p>
      <w:pPr>
        <w:spacing w:after="300"/>
        <w:jc w:val="center"/>
      </w:pPr>
      <w:r>
        <w:rPr>
          <w:i/>
          <w:iCs/>
          <w:color w:val="595959"/>
        </w:rPr>
        <w:t xml:space="preserve">Aula 4 · Integração com a API ViaCEP</w:t>
      </w:r>
    </w:p>
    <w:p>
      <w:pPr>
        <w:pStyle w:val="Heading1"/>
        <w:spacing w:after="140" w:before="280"/>
      </w:pPr>
      <w:r>
        <w:t xml:space="preserve">Descrição da atividade</w:t>
      </w:r>
    </w:p>
    <w:p>
      <w:pPr>
        <w:spacing w:after="140"/>
      </w:pPr>
      <w:r>
        <w:t xml:space="preserve">Crie um endpoint que integre com o serviço ViaCEP para verificar a disponibilidade de um produto em uma determinada cidade, recebendo como parâmetros o ID do produto e o CEP a ser consultado.</w:t>
      </w:r>
    </w:p>
    <w:p>
      <w:pPr>
        <w:spacing w:after="140"/>
      </w:pPr>
      <w:r>
        <w:t xml:space="preserve">O endpoint deve consultar a ViaCEP para descobrir a cidade correspondente ao CEP informado e aplicar uma lógica para determinar se essa cidade é a mesma associada ao produto.</w:t>
      </w:r>
    </w:p>
    <w:p>
      <w:pPr>
        <w:spacing w:after="140"/>
      </w:pPr>
      <w:r>
        <w:t xml:space="preserve">Esta atividade é cumulativa: além da integração com a ViaCEP, o projeto entregue deve manter funcionando tudo o que foi construído nas Aulas 1 a 3 (CRUD, validações, tratamento de exceções e os endpoints de consulta).</w:t>
      </w:r>
    </w:p>
    <w:p>
      <w:pPr>
        <w:pStyle w:val="Heading1"/>
        <w:spacing w:after="140" w:before="280"/>
      </w:pPr>
      <w:r>
        <w:t xml:space="preserve">Definition of Done</w:t>
      </w:r>
    </w:p>
    <w:p>
      <w:pPr>
        <w:pStyle w:val="ListParagraph"/>
        <w:numPr>
          <w:ilvl w:val="0"/>
          <w:numId w:val="2"/>
        </w:numPr>
      </w:pPr>
      <w:r>
        <w:t xml:space="preserve">Endpoint retornando corretamente a resposta esperada, testado via Postman.</w:t>
      </w:r>
    </w:p>
    <w:p>
      <w:pPr>
        <w:pStyle w:val="ListParagraph"/>
        <w:numPr>
          <w:ilvl w:val="0"/>
          <w:numId w:val="2"/>
        </w:numPr>
      </w:pPr>
      <w:r>
        <w:t xml:space="preserve">Projeto publicado no Git, incluindo a collection do Postman utilizada nos testes.</w:t>
      </w:r>
    </w:p>
    <w:p>
      <w:pPr>
        <w:pStyle w:val="ListParagraph"/>
        <w:numPr>
          <w:ilvl w:val="0"/>
          <w:numId w:val="2"/>
        </w:numPr>
      </w:pPr>
      <w:r>
        <w:t xml:space="preserve">Tudo o que foi desenvolvido nas Aulas 1 a 3 continua funcionando normalmente.</w:t>
      </w:r>
    </w:p>
    <w:p>
      <w:pPr>
        <w:pStyle w:val="Heading1"/>
        <w:spacing w:after="140" w:before="280"/>
      </w:pPr>
      <w:r>
        <w:t xml:space="preserve">Requisitos obrigatórios — Aulas 1 a 3</w:t>
      </w:r>
    </w:p>
    <w:p>
      <w:pPr>
        <w:spacing w:after="140"/>
      </w:pPr>
      <w:r>
        <w:rPr>
          <w:color w:val="595959"/>
        </w:rPr>
        <w:t xml:space="preserve">Antes de entregar, confira se o projeto ainda atende ao que foi construído nas aulas anteriores:</w:t>
      </w:r>
    </w:p>
    <w:p>
      <w:pPr>
        <w:pStyle w:val="ListParagraph"/>
        <w:numPr>
          <w:ilvl w:val="0"/>
          <w:numId w:val="2"/>
        </w:numPr>
      </w:pPr>
      <w:r>
        <w:t xml:space="preserve">Projeto Spring Boot configurado com PostgreSQL e migrations Flyway.</w:t>
      </w:r>
    </w:p>
    <w:p>
      <w:pPr>
        <w:pStyle w:val="ListParagraph"/>
        <w:numPr>
          <w:ilvl w:val="0"/>
          <w:numId w:val="2"/>
        </w:numPr>
      </w:pPr>
      <w:r>
        <w:t xml:space="preserve">CRUD completo de produtos: criar, listar, atualizar e inativar.</w:t>
      </w:r>
    </w:p>
    <w:p>
      <w:pPr>
        <w:pStyle w:val="ListParagraph"/>
        <w:numPr>
          <w:ilvl w:val="0"/>
          <w:numId w:val="2"/>
        </w:numPr>
      </w:pPr>
      <w:r>
        <w:t xml:space="preserve">Validação dos dados de entrada e tratamento de exceções (ex.: erro ao buscar um produto inexistente).</w:t>
      </w:r>
    </w:p>
    <w:p>
      <w:pPr>
        <w:pStyle w:val="ListParagraph"/>
        <w:numPr>
          <w:ilvl w:val="0"/>
          <w:numId w:val="2"/>
        </w:numPr>
      </w:pPr>
      <w:r>
        <w:t xml:space="preserve">Uso correto de Path Variable, Request Param, Request Header e Request Body.</w:t>
      </w:r>
    </w:p>
    <w:p>
      <w:pPr>
        <w:pStyle w:val="ListParagraph"/>
        <w:numPr>
          <w:ilvl w:val="0"/>
          <w:numId w:val="2"/>
        </w:numPr>
      </w:pPr>
      <w:r>
        <w:t xml:space="preserve">Endpoints de consulta/filtro: por categoria, por id e top 5 produtos por preço.</w:t>
      </w:r>
    </w:p>
    <w:p>
      <w:pPr>
        <w:pStyle w:val="Heading1"/>
        <w:spacing w:after="140" w:before="280"/>
      </w:pPr>
      <w:r>
        <w:t xml:space="preserve">Passo a passo — Aula 4</w:t>
      </w:r>
    </w:p>
    <w:p>
      <w:pPr>
        <w:spacing w:after="60" w:before="200"/>
      </w:pPr>
      <w:r>
        <w:rPr>
          <w:b/>
          <w:bCs/>
          <w:color w:val="1F4E79"/>
        </w:rPr>
        <w:t xml:space="preserve">1. </w:t>
      </w:r>
      <w:r>
        <w:rPr>
          <w:b/>
          <w:bCs/>
        </w:rPr>
        <w:t xml:space="preserve">Banco de dados</w:t>
      </w:r>
    </w:p>
    <w:p>
      <w:pPr>
        <w:spacing w:after="140"/>
      </w:pPr>
      <w:r>
        <w:t xml:space="preserve">Crie um script SQL, interpretado pelo Flyway, que adicione o campo distribution_center na tabela product. Defina manualmente o valor desse campo para os produtos já existentes, distribuindo-os de forma aleatória entre 3 valores possíveis: Mogi das Cruzes, Recife e Porto Alegre.</w:t>
      </w:r>
    </w:p>
    <w:p>
      <w:pPr>
        <w:spacing w:after="140"/>
      </w:pPr>
      <w:r>
        <w:rPr>
          <w:i/>
          <w:iCs/>
        </w:rPr>
        <w:t xml:space="preserve">Exemplo:</w:t>
      </w:r>
    </w:p>
    <w:p>
      <w:pPr>
        <w:pBdr>
          <w:left w:val="single" w:color="BFBFBF" w:sz="12"/>
        </w:pBdr>
        <w:spacing w:after="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SET distribution_center = 'Mogi das Cruzes'</w:t>
      </w:r>
    </w:p>
    <w:p>
      <w:pPr>
        <w:pBdr>
          <w:left w:val="single" w:color="BFBFBF" w:sz="12"/>
        </w:pBdr>
        <w:spacing w:after="14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WHERE id IN ('p1', 'p2', 'p3');</w:t>
      </w:r>
    </w:p>
    <w:p>
      <w:pPr>
        <w:spacing w:after="60" w:before="200"/>
      </w:pPr>
      <w:r>
        <w:rPr>
          <w:b/>
          <w:bCs/>
          <w:color w:val="1F4E79"/>
        </w:rPr>
        <w:t xml:space="preserve">2. </w:t>
      </w:r>
      <w:r>
        <w:rPr>
          <w:b/>
          <w:bCs/>
        </w:rPr>
        <w:t xml:space="preserve">Entidade</w:t>
      </w:r>
    </w:p>
    <w:p>
      <w:pPr>
        <w:spacing w:after="140"/>
      </w:pPr>
      <w:r>
        <w:t xml:space="preserve">Refatore as entidades necessárias para acomodar o novo campo distribution_center, garantindo que ele esteja corretamente mapeado na classe de modelo.</w:t>
      </w:r>
    </w:p>
    <w:p>
      <w:pPr>
        <w:spacing w:after="60" w:before="200"/>
      </w:pPr>
      <w:r>
        <w:rPr>
          <w:b/>
          <w:bCs/>
          <w:color w:val="1F4E79"/>
        </w:rPr>
        <w:t xml:space="preserve">3. </w:t>
      </w:r>
      <w:r>
        <w:rPr>
          <w:b/>
          <w:bCs/>
        </w:rPr>
        <w:t xml:space="preserve">Serviço de integração</w:t>
      </w:r>
    </w:p>
    <w:p>
      <w:pPr>
        <w:spacing w:after="140"/>
      </w:pPr>
      <w:r>
        <w:t xml:space="preserve">Crie uma classe de serviço (@Service) responsável pela integração com a ViaCEP, através de uma URL no formato:</w:t>
      </w:r>
    </w:p>
    <w:p>
      <w:pPr>
        <w:pBdr>
          <w:left w:val="single" w:color="BFBFBF" w:sz="12"/>
        </w:pBdr>
        <w:spacing w:after="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https://viacep.com.br/ws/{cep}/json/</w:t>
      </w:r>
    </w:p>
    <w:p>
      <w:pPr>
        <w:pBdr>
          <w:left w:val="single" w:color="BFBFBF" w:sz="12"/>
        </w:pBdr>
        <w:spacing w:after="14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ex: https://viacep.com.br/ws/08773380/json/</w:t>
      </w:r>
    </w:p>
    <w:p>
      <w:pPr>
        <w:spacing w:after="60" w:before="200"/>
      </w:pPr>
      <w:r>
        <w:rPr>
          <w:b/>
          <w:bCs/>
          <w:color w:val="1F4E79"/>
        </w:rPr>
        <w:t xml:space="preserve">4. </w:t>
      </w:r>
      <w:r>
        <w:rPr>
          <w:b/>
          <w:bCs/>
        </w:rPr>
        <w:t xml:space="preserve">Endpoint</w:t>
      </w:r>
    </w:p>
    <w:p>
      <w:pPr>
        <w:spacing w:after="140"/>
      </w:pPr>
      <w:r>
        <w:t xml:space="preserve">Crie um novo endpoint (método na controller) que receba o CEP e o ID do produto como parâmetros.</w:t>
      </w:r>
    </w:p>
    <w:p>
      <w:pPr>
        <w:spacing w:after="60" w:before="200"/>
      </w:pPr>
      <w:r>
        <w:rPr>
          <w:b/>
          <w:bCs/>
          <w:color w:val="1F4E79"/>
        </w:rPr>
        <w:t xml:space="preserve">5. </w:t>
      </w:r>
      <w:r>
        <w:rPr>
          <w:b/>
          <w:bCs/>
        </w:rPr>
        <w:t xml:space="preserve">Endpoint chama o serviço</w:t>
      </w:r>
    </w:p>
    <w:p>
      <w:pPr>
        <w:spacing w:after="140"/>
      </w:pPr>
      <w:r>
        <w:t xml:space="preserve">Faça o endpoint chamar a classe de serviço criada no passo 3.</w:t>
      </w:r>
    </w:p>
    <w:p>
      <w:pPr>
        <w:spacing w:after="60" w:before="200"/>
      </w:pPr>
      <w:r>
        <w:rPr>
          <w:b/>
          <w:bCs/>
          <w:color w:val="1F4E79"/>
        </w:rPr>
        <w:t xml:space="preserve">6. </w:t>
      </w:r>
      <w:r>
        <w:rPr>
          <w:b/>
          <w:bCs/>
        </w:rPr>
        <w:t xml:space="preserve">Lógica de comparação</w:t>
      </w:r>
    </w:p>
    <w:p>
      <w:pPr>
        <w:spacing w:after="140"/>
      </w:pPr>
      <w:r>
        <w:t xml:space="preserve">Implemente, dentro do serviço, a lógica que retorna um valor booleano, comparando a cidade obtida a partir do CEP com o distribution_center do produto. Caso sejam iguais, o retorno deve ser true; caso contrário, false.</w:t>
      </w:r>
    </w:p>
    <w:p>
      <w:pPr>
        <w:spacing w:after="60" w:before="200"/>
      </w:pPr>
      <w:r>
        <w:rPr>
          <w:b/>
          <w:bCs/>
          <w:color w:val="1F4E79"/>
        </w:rPr>
        <w:t xml:space="preserve">7. </w:t>
      </w:r>
      <w:r>
        <w:rPr>
          <w:b/>
          <w:bCs/>
        </w:rPr>
        <w:t xml:space="preserve">Postman</w:t>
      </w:r>
    </w:p>
    <w:p>
      <w:pPr>
        <w:spacing w:after="140"/>
      </w:pPr>
      <w:r>
        <w:t xml:space="preserve">Monte a chamada no Postman e salve a collection utilizada para testar o endpoint.</w:t>
      </w:r>
    </w:p>
    <w:p>
      <w:pPr>
        <w:spacing w:after="60" w:before="200"/>
      </w:pPr>
      <w:r>
        <w:rPr>
          <w:b/>
          <w:bCs/>
          <w:color w:val="1F4E79"/>
        </w:rPr>
        <w:t xml:space="preserve">8. </w:t>
      </w:r>
      <w:r>
        <w:rPr>
          <w:b/>
          <w:bCs/>
        </w:rPr>
        <w:t xml:space="preserve">Resiliência na integração</w:t>
      </w:r>
    </w:p>
    <w:p>
      <w:pPr>
        <w:spacing w:after="140"/>
      </w:pPr>
      <w:r>
        <w:t xml:space="preserve">O serviço da ViaCEP pode falhar: CEP mal formatado, CEP inexistente, ou o serviço indisponível no momento da chamada. Faça o endpoint se comportar de forma adequada nesses cenários, sem quebrar a aplicação.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Critérios de avaliação</w:t>
      </w:r>
    </w:p>
    <w:p>
      <w:pPr>
        <w:spacing w:after="140"/>
      </w:pPr>
      <w:r>
        <w:t xml:space="preserve">Nota de 0 a 10, cobrindo tanto os fundamentos das Aulas 1 a 3 quanto a integração da Aula 4: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6"/>
        <w:gridCol w:w="1800"/>
      </w:tblGrid>
      <w:tr>
        <w:trPr>
          <w:tblHeader/>
        </w:trPr>
        <w:tc>
          <w:tcPr>
            <w:tcW w:type="dxa" w:w="7226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Critério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Peso</w:t>
            </w:r>
          </w:p>
        </w:tc>
      </w:tr>
      <w:tr>
        <w:tc>
          <w:tcPr>
            <w:tcW w:type="dxa" w:w="9026"/>
            <w:gridSpan w:val="2"/>
            <w:shd w:fill="8EA9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Fundamentos (Aulas 1 a 3)</w:t>
            </w:r>
          </w:p>
        </w:tc>
      </w:tr>
      <w:tr>
        <w:tc>
          <w:tcPr>
            <w:tcW w:type="dxa" w:w="7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Projeto configurado corretamente (Spring Boot + PostgreSQL + Flyway sobem sem ajustes manuais)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0,20</w:t>
            </w:r>
          </w:p>
        </w:tc>
      </w:tr>
      <w:tr>
        <w:tc>
          <w:tcPr>
            <w:tcW w:type="dxa" w:w="72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CRUD completo de produtos funcionando (criar, listar, atualizar, inativar)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0,20</w:t>
            </w:r>
          </w:p>
        </w:tc>
      </w:tr>
      <w:tr>
        <w:tc>
          <w:tcPr>
            <w:tcW w:type="dxa" w:w="7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Validação dos dados de entrada e tratamento de exceções implementados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0,20</w:t>
            </w:r>
          </w:p>
        </w:tc>
      </w:tr>
      <w:tr>
        <w:tc>
          <w:tcPr>
            <w:tcW w:type="dxa" w:w="72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Uso correto de Path Variable, Request Param, Request Header e Request Body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0,20</w:t>
            </w:r>
          </w:p>
        </w:tc>
      </w:tr>
      <w:tr>
        <w:tc>
          <w:tcPr>
            <w:tcW w:type="dxa" w:w="7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Endpoints de consulta/filtro (por categoria, por id, top 5 por preço) funcionando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0,20</w:t>
            </w:r>
          </w:p>
        </w:tc>
      </w:tr>
      <w:tr>
        <w:tc>
          <w:tcPr>
            <w:tcW w:type="dxa" w:w="9026"/>
            <w:gridSpan w:val="2"/>
            <w:shd w:fill="8EA9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Integração com a ViaCEP (Aula 4)</w:t>
            </w:r>
          </w:p>
        </w:tc>
      </w:tr>
      <w:tr>
        <w:tc>
          <w:tcPr>
            <w:tcW w:type="dxa" w:w="7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Entidade Product refatorada, com os novos campos devidamente mapeados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1,5</w:t>
            </w:r>
          </w:p>
        </w:tc>
      </w:tr>
      <w:tr>
        <w:tc>
          <w:tcPr>
            <w:tcW w:type="dxa" w:w="72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Serviço integrando corretamente com a ViaCEP (tratamento de exceções, corner cases, etc.)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3,0</w:t>
            </w:r>
          </w:p>
        </w:tc>
      </w:tr>
      <w:tr>
        <w:tc>
          <w:tcPr>
            <w:tcW w:type="dxa" w:w="7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Endpoint novo, com a controller devidamente mapeada e utilizando os recursos corretos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1,5</w:t>
            </w:r>
          </w:p>
        </w:tc>
      </w:tr>
      <w:tr>
        <w:tc>
          <w:tcPr>
            <w:tcW w:type="dxa" w:w="72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Lógica de comparação (cidade × centro de distribuição)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1,5</w:t>
            </w:r>
          </w:p>
        </w:tc>
      </w:tr>
      <w:tr>
        <w:tc>
          <w:tcPr>
            <w:tcW w:type="dxa" w:w="7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Resiliência: tolerância a falhas externas da API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1,5</w:t>
            </w:r>
          </w:p>
        </w:tc>
      </w:tr>
      <w:tr>
        <w:tc>
          <w:tcPr>
            <w:tcW w:type="dxa" w:w="7226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8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10,0</w:t>
            </w:r>
          </w:p>
        </w:tc>
      </w:tr>
    </w:tbl>
    <w:p>
      <w:pPr>
        <w:spacing w:after="140"/>
      </w:pPr>
      <w:r>
        <w:rPr>
          <w:i/>
          <w:iCs/>
          <w:color w:val="595959"/>
        </w:rPr>
        <w:t xml:space="preserve">Pontos são deduzidos por código ilegível, desorganizado, sem padronização, commits sem sentido ou ausência do projeto no Git, etc.</w:t>
      </w:r>
    </w:p>
    <w:p>
      <w:pPr>
        <w:pStyle w:val="Heading1"/>
        <w:spacing w:after="140" w:before="280"/>
      </w:pPr>
      <w:r>
        <w:t xml:space="preserve">Entrega</w:t>
      </w:r>
    </w:p>
    <w:p>
      <w:pPr>
        <w:pStyle w:val="ListParagraph"/>
        <w:numPr>
          <w:ilvl w:val="0"/>
          <w:numId w:val="2"/>
        </w:numPr>
      </w:pPr>
      <w:r>
        <w:t xml:space="preserve">Prazo: [DEFINIR DATA]</w:t>
      </w:r>
    </w:p>
    <w:p>
      <w:pPr>
        <w:pStyle w:val="ListParagraph"/>
        <w:numPr>
          <w:ilvl w:val="0"/>
          <w:numId w:val="2"/>
        </w:numPr>
      </w:pPr>
      <w:r>
        <w:t xml:space="preserve">Link do repositório Git com o código-fonte</w:t>
      </w:r>
    </w:p>
    <w:p>
      <w:pPr>
        <w:pStyle w:val="ListParagraph"/>
        <w:numPr>
          <w:ilvl w:val="0"/>
          <w:numId w:val="2"/>
        </w:numPr>
      </w:pPr>
      <w:r>
        <w:t xml:space="preserve">Collection do Postman exportada e incluída no repositório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2026-09-12T20:23:19.571Z</dcterms:created>
  <dcterms:modified xsi:type="dcterms:W3CDTF">2026-09-12T20:23:19.582Z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