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05/04/2015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05/04/2015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ind w:left="350" w:right="50" w:hanging="300"/>
              <w:jc w:val="left"/>
            </w:pPr>
            <w:r>
              <w:rPr>
                <w:rFonts w:ascii="Arial"/>
                <w:b w:val="false"/>
                <w:sz w:val="16"/>
              </w:rPr>
              <w:t>Risk Severity: Mock for Risk_Categories, hashCode: 17128997</w:t>
            </w:r>
          </w:p>
        </w:tc>
        <w:tc>
          <w:tcPr>
            <w:gridSpan w:val="3"/>
          </w:tcPr>
          <w:p>
            <w:pPr>
              <w:spacing w:after="10"/>
              <w:ind w:left="350" w:right="50" w:hanging="300"/>
              <w:jc w:val="left"/>
            </w:pPr>
            <w:r>
              <w:rPr>
                <w:rFonts w:ascii="Arial"/>
                <w:b w:val="false"/>
                <w:sz w:val="16"/>
              </w:rPr>
              <w:t>Risk Likelihood: Mock for Risk_Likelihoods, hashCode: 11006663</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ind w:left="3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ind w:left="350" w:right="50" w:hanging="300"/>
              <w:jc w:val="left"/>
            </w:pPr>
            <w:r>
              <w:rPr>
                <w:rFonts w:ascii="Arial"/>
                <w:b w:val="false"/>
                <w:sz w:val="16"/>
              </w:rPr>
              <w:t>Risk Severity: Mock for Risk_Categories, hashCode: 17128997</w:t>
            </w:r>
          </w:p>
        </w:tc>
        <w:tc>
          <w:tcPr>
            <w:gridSpan w:val="3"/>
          </w:tcPr>
          <w:p>
            <w:pPr>
              <w:spacing w:after="10"/>
              <w:ind w:left="350" w:right="50" w:hanging="300"/>
              <w:jc w:val="left"/>
            </w:pPr>
            <w:r>
              <w:rPr>
                <w:rFonts w:ascii="Arial"/>
                <w:b w:val="false"/>
                <w:sz w:val="16"/>
              </w:rPr>
              <w:t>Risk Likelihood: Mock for Risk_Likelihoods, hashCode: 11006663</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ind w:left="3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ind w:left="350" w:right="50" w:hanging="300"/>
              <w:jc w:val="left"/>
            </w:pPr>
            <w:r>
              <w:rPr>
                <w:rFonts w:ascii="Arial"/>
                <w:b w:val="false"/>
                <w:sz w:val="16"/>
              </w:rPr>
              <w:t>Risk Severity: Mock for Risk_Categories, hashCode: 17128997</w:t>
            </w:r>
          </w:p>
        </w:tc>
        <w:tc>
          <w:tcPr>
            <w:gridSpan w:val="3"/>
          </w:tcPr>
          <w:p>
            <w:pPr>
              <w:spacing w:after="10"/>
              <w:ind w:left="350" w:right="50" w:hanging="300"/>
              <w:jc w:val="left"/>
            </w:pPr>
            <w:r>
              <w:rPr>
                <w:rFonts w:ascii="Arial"/>
                <w:b w:val="false"/>
                <w:sz w:val="16"/>
              </w:rPr>
              <w:t>Risk Likelihood: Mock for Risk_Likelihoods, hashCode: 11006663</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ind w:left="3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ind w:left="350" w:right="50" w:hanging="300"/>
              <w:jc w:val="left"/>
            </w:pPr>
            <w:r>
              <w:rPr>
                <w:rFonts w:ascii="Arial"/>
                <w:b w:val="true"/>
                <w:sz w:val="16"/>
              </w:rPr>
              <w:t>Cause 4 - Fuel supply pressure too low or too high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ind w:left="350" w:right="50" w:hanging="300"/>
              <w:jc w:val="left"/>
            </w:pPr>
            <w:r>
              <w:rPr>
                <w:rFonts w:ascii="Arial"/>
                <w:b w:val="false"/>
                <w:sz w:val="16"/>
              </w:rPr>
              <w:t>Risk Severity: Mock for Risk_Categories, hashCode: 17128997</w:t>
            </w:r>
          </w:p>
        </w:tc>
        <w:tc>
          <w:tcPr>
            <w:gridSpan w:val="3"/>
          </w:tcPr>
          <w:p>
            <w:pPr>
              <w:spacing w:after="10"/>
              <w:ind w:left="350" w:right="50" w:hanging="300"/>
              <w:jc w:val="left"/>
            </w:pPr>
            <w:r>
              <w:rPr>
                <w:rFonts w:ascii="Arial"/>
                <w:b w:val="false"/>
                <w:sz w:val="16"/>
              </w:rPr>
              <w:t>Risk Likelihood: Mock for Risk_Likelihoods, hashCode: 11006663</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ind w:left="350" w:right="50" w:hanging="300"/>
              <w:jc w:val="left"/>
            </w:pPr>
            <w:r>
              <w:rPr>
                <w:rFonts w:ascii="Arial"/>
                <w:b w:val="false"/>
                <w:sz w:val="16"/>
              </w:rPr>
              <w:t>A fuel supply pressure from vehicle that is too low could result in too-low of an FTP inducer inlet pressure leading to excessive cavitation, potentially unloading the pump and progressing to rotor overspeed, which may induce pump or turbine component failure (including component rotational burst). This could result in FTP structural disintegration.
A fuel supply pressure from vehicle that is too high could result in increased inducer inlet pressure, altering axial load on pump rotary components, but the balance piston will compensate for the alteration, and net axial thrust of the FTP will remain unchanged at zero.
FTP structural disintegration will cause turbopump loss of function and possibly the generation of shrapnel. The cumulative effect is uncontained USE damage, and possiblyfire, leading to loss of mission, and/or a loss of crew/vehicle. (from USE-E-01 cause O)</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ind w:left="350" w:right="50" w:hanging="300"/>
              <w:jc w:val="left"/>
            </w:pPr>
            <w:r>
              <w:rPr>
                <w:rFonts w:ascii="Arial"/>
                <w:b w:val="false"/>
                <w:sz w:val="16"/>
              </w:rPr>
              <w:t>Itching and burning.</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ind w:left="350" w:right="50" w:hanging="300"/>
              <w:jc w:val="left"/>
            </w:pPr>
            <w:r>
              <w:rPr>
                <w:rFonts w:ascii="Arial"/>
                <w:b w:val="false"/>
                <w:sz w:val="16"/>
              </w:rPr>
              <w:t>gold Bond Medical powder helps.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ind w:left="350" w:right="50" w:hanging="300"/>
              <w:jc w:val="left"/>
            </w:pPr>
            <w:r>
              <w:rPr>
                <w:rFonts w:ascii="Arial"/>
                <w:b w:val="true"/>
                <w:sz w:val="16"/>
              </w:rPr>
              <w:t>Cause 5 -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ind w:left="350" w:right="50" w:hanging="300"/>
              <w:jc w:val="left"/>
            </w:pPr>
            <w:r>
              <w:rPr>
                <w:rFonts w:ascii="Arial"/>
                <w:b w:val="false"/>
                <w:sz w:val="16"/>
              </w:rPr>
              <w:t>Risk Severity: Mock for Risk_Categories, hashCode: 17128997</w:t>
            </w:r>
          </w:p>
        </w:tc>
        <w:tc>
          <w:tcPr>
            <w:gridSpan w:val="3"/>
          </w:tcPr>
          <w:p>
            <w:pPr>
              <w:spacing w:after="10"/>
              <w:ind w:left="350" w:right="50" w:hanging="300"/>
              <w:jc w:val="left"/>
            </w:pPr>
            <w:r>
              <w:rPr>
                <w:rFonts w:ascii="Arial"/>
                <w:b w:val="false"/>
                <w:sz w:val="16"/>
              </w:rPr>
              <w:t>Risk Likelihood: Mock for Risk_Likelihoods, hashCode: 11006663</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ind w:left="350" w:right="50" w:hanging="300"/>
              <w:jc w:val="left"/>
            </w:pPr>
            <w:r>
              <w:rPr>
                <w:rFonts w:ascii="Arial"/>
                <w:b w:val="false"/>
                <w:sz w:val="16"/>
              </w:rPr>
              <w:t>POGO loads would create excessive stress and pressure/ flow fluctuations that could lead to cavitation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ind w:left="350" w:right="50" w:hanging="300"/>
              <w:jc w:val="left"/>
            </w:pPr>
            <w:r>
              <w:rPr>
                <w:rFonts w:ascii="Arial"/>
                <w:b w:val="false"/>
                <w:sz w:val="16"/>
              </w:rPr>
              <w:t>Catastrohpic structure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ind w:left="350" w:right="50" w:hanging="300"/>
              <w:jc w:val="left"/>
            </w:pPr>
            <w:r>
              <w:rPr>
                <w:rFonts w:ascii="Arial"/>
                <w:b w:val="false"/>
                <w:sz w:val="16"/>
              </w:rPr>
              <w:t>MECO when POGO is detected.</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