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Probabilità</w:t>
      </w:r>
      <w:r>
        <w:t xml:space="preserve"> </w:t>
      </w:r>
      <w:r>
        <w:t xml:space="preserve">di</w:t>
      </w:r>
      <w:r>
        <w:t xml:space="preserve"> </w:t>
      </w:r>
      <w:r>
        <w:t xml:space="preserve">rialzo</w:t>
      </w:r>
      <w:r>
        <w:t xml:space="preserve"> </w:t>
      </w:r>
      <w:r>
        <w:t xml:space="preserve">a</w:t>
      </w:r>
      <w:r>
        <w:t xml:space="preserve"> </w:t>
      </w:r>
      <w:r>
        <w:t xml:space="preserve">12</w:t>
      </w:r>
      <w:r>
        <w:t xml:space="preserve"> </w:t>
      </w:r>
      <w:r>
        <w:t xml:space="preserve">mesi:</w:t>
      </w:r>
      <w:r>
        <w:t xml:space="preserve"> </w:t>
      </w:r>
      <w:r>
        <w:t xml:space="preserve">CHILLGUY,</w:t>
      </w:r>
      <w:r>
        <w:t xml:space="preserve"> </w:t>
      </w:r>
      <w:r>
        <w:t xml:space="preserve">CHILLHOUSE,</w:t>
      </w:r>
      <w:r>
        <w:t xml:space="preserve"> </w:t>
      </w:r>
      <w:r>
        <w:t xml:space="preserve">TROLL,</w:t>
      </w:r>
      <w:r>
        <w:t xml:space="preserve"> </w:t>
      </w:r>
      <w:r>
        <w:t xml:space="preserve">TRIPLE</w:t>
      </w:r>
      <w:r>
        <w:t xml:space="preserve"> </w:t>
      </w:r>
      <w:r>
        <w:t xml:space="preserve">T,</w:t>
      </w:r>
      <w:r>
        <w:t xml:space="preserve"> </w:t>
      </w:r>
      <w:r>
        <w:t xml:space="preserve">CUPSEY,</w:t>
      </w:r>
      <w:r>
        <w:t xml:space="preserve"> </w:t>
      </w:r>
      <w:r>
        <w:t xml:space="preserve">WOJAK,</w:t>
      </w:r>
      <w:r>
        <w:t xml:space="preserve"> </w:t>
      </w:r>
      <w:r>
        <w:t xml:space="preserve">CASHCAT</w:t>
      </w:r>
      <w:r>
        <w:t xml:space="preserve"> </w:t>
      </w:r>
      <w:r>
        <w:t xml:space="preserve">e</w:t>
      </w:r>
      <w:r>
        <w:t xml:space="preserve"> </w:t>
      </w:r>
      <w:r>
        <w:t xml:space="preserve">PEPE</w:t>
      </w:r>
    </w:p>
    <w:bookmarkStart w:id="193" w:name="X91147da428787f43bc1a15044817deac9389a44"/>
    <w:p>
      <w:pPr>
        <w:pStyle w:val="Heading1"/>
      </w:pPr>
      <w:r>
        <w:t xml:space="preserve">PEPE segue ETH, CASHCAT segue Robinhood, le altre seguono poco</w:t>
      </w:r>
    </w:p>
    <w:p>
      <w:pPr>
        <w:pStyle w:val="FirstParagraph"/>
      </w:pPr>
      <w:r>
        <w:t xml:space="preserve">Nei dodici mesi tra l'8 ottobre 2026 e l'8 ottobre 2027, secondo il modello costruito in questa ricerca,</w:t>
      </w:r>
      <w:r>
        <w:t xml:space="preserve"> </w:t>
      </w:r>
      <w:r>
        <w:rPr>
          <w:bCs/>
          <w:b/>
        </w:rPr>
        <w:t xml:space="preserve">SOL ha circa 1 probabilità su 5 (20%) di chiudere almeno a +50% (≥ $165) e 1 su 8 (12,5%) di raddoppiare (≥ $220), ed ETH rispettivamente il 19,3% e l'11,9%</w:t>
      </w:r>
      <w:r>
        <w:t xml:space="preserve"> </w:t>
      </w:r>
      <w:r>
        <w:t xml:space="preserve">(≥ $3.900 e ≥ $5.200), mentre entrambi hanno circa 6 probabilità su 10 di valere meno di oggi ($109–110 per SOL, $2.500–2.600 per ETH). Applicando a questi scenari le evidenze storiche su come rispondono le memecoin consolidate,</w:t>
      </w:r>
      <w:r>
        <w:t xml:space="preserve"> </w:t>
      </w:r>
      <w:r>
        <w:rPr>
          <w:bCs/>
          <w:b/>
        </w:rPr>
        <w:t xml:space="preserve">la probabilità di raddoppio nei dodici mesi è del 7% per CHILLGUY, 6,5% per CHILLHOUSE, 17,5% per TROLL, 14% per TRIPLE T, 9% per CUPSEY, 12,5% per WOJAK, 14% per CASHCAT e 13,5% per PEPE</w:t>
      </w:r>
      <w:r>
        <w:t xml:space="preserve">; per sette token su otto l'esito singolo più probabile è una perdita di almeno la metà (55–72%), mentre PEPE, con 590.000 holder e listing su Binance, Coinbase, Kraken e Robinhood, è l'unico con meno di 1 probabilità su 2 di dimezzarsi (42,5%) e solo 1 su 8 di perdere l'80%. I due token nuovi sono gli estremi opposti del gruppo: PEPE è di fatto una scommessa a leva su ETH (se ETH raddoppia, la sua probabilità di raddoppio sale al 68–78%; se ETH chiude piatto o in calo, scende all'1%), CASHCAT è una scommessa sull'attenzione verso Robinhood Chain (la sua probabilità di raddoppio va dall'8% nello stato "Decadimento" della chain al 24% nello stato "Rilancio", mentre un raddoppio di ETH la porta solo al 30%). Un raddoppio di SOL cambia molto per TROLL (probabilità di 2x che sale al 52%) e CHILLGUY (26%), poco per TRIPLE T, CUPSEY e CHILLHOUSE (17–33%), perché nel 2026 queste ultime hanno fatto i loro massimi con la chain ferma e sono crollate mentre la chain saliva. Il motivo di fondo è documentato: nel rally di SOL del terzo trimestre 2026 (+39–60%) la categoria meme Solana è rimasta piatta a $3,3–3,9 mld, lo studio Coin Metrics di ottobre 2026 su 150 memecoin Solana trova che l'81% è a −90% o peggio dal massimo e solo il 3,3% è mai tornato al proprio ATH, e su Robinhood Chain, attiva dal 1° luglio 2026, le fee giornaliere sono scese del 97% e il volume delle coppie meme-azioni del 96% dal picco di inizio settembre. Il contesto macro dell'8–13 ottobre 2026 (Fed che ha alzato i tassi il 16 settembre, CLARITY Act bocciato al Senato il 15 settembre, deflussi dagli ETF su BTC, SOL ed ETH tra il 5 e il 12 ottobre, ETH sceso da $2.697 a $2.515 tra il 6 e il 12 ottobre) pesa sulle distribuzioni di SOL ed ETH, e i mercati predittivi (Kalshi 34% per SOL ≥ $150 a fine 2026, Polymarket 3–9% per un nuovo ATH di SOL nel 2026) sono coerenti con queste stime. I numeri dei sei token originali sono invariati rispetto al rapporto precedente e vengono riprodotti esattamente dal modello esteso.</w:t>
      </w:r>
      <w:r>
        <w:t xml:space="preserve"> </w:t>
      </w:r>
      <w:r>
        <w:rPr>
          <w:bCs/>
          <w:b/>
        </w:rPr>
        <w:t xml:space="preserve">Tutte le percentuali di questo rapporto sono stime di un modello illustrativo costruito su base rate storici e assunzioni esplicite, non previsioni e non dati di mercato; nulla di quanto segue è consulenza finanziaria.</w:t>
      </w:r>
    </w:p>
    <w:bookmarkStart w:id="32" w:name="Xe130c89472ccaed18de3811de4ca96de78617a8"/>
    <w:p>
      <w:pPr>
        <w:pStyle w:val="Heading2"/>
      </w:pPr>
      <w:r>
        <w:t xml:space="preserve">La risposta in una tabella: da 6,5% a 17,5% di probabilità di raddoppio</w:t>
      </w:r>
    </w:p>
    <w:p>
      <w:pPr>
        <w:pStyle w:val="FirstParagraph"/>
      </w:pPr>
      <w:r>
        <w:t xml:space="preserve">La tabella seguente è il risultato finale del modello (scenario SOL/ETH "Base", metodo delle tabelle di scenario, con il Monte Carlo come controllo): ogni cella è una</w:t>
      </w:r>
      <w:r>
        <w:t xml:space="preserve"> </w:t>
      </w:r>
      <w:r>
        <w:rPr>
          <w:bCs/>
          <w:b/>
        </w:rPr>
        <w:t xml:space="preserve">stima del modello</w:t>
      </w:r>
      <w:r>
        <w:t xml:space="preserve">, derivata dai passaggi spiegati nelle sezioni successive, non una quotazione o una statistica osservata. "Morta" significa chiudere i dodici mesi a −80% o peggio; "EV" è il multiplo atteso medio (con coda superiore limitata a 30×); la "mediana" è il multiplo del percorso tipico nel Monte Carlo; le ultime due colonne sono condizionate a un rialzo della chain di riferimento (SOL per le cinque coin Solana, ETH per WOJAK, PEPE e CASHCAT). I prezzi di partenza sono le capitalizzazioni di fine settembre–inizio ottobre 2026 ricostruite nei rapporti precedenti per i sei token originali (</w:t>
      </w:r>
      <w:hyperlink r:id="rId20">
        <w:r>
          <w:rPr>
            <w:rStyle w:val="Hyperlink"/>
          </w:rPr>
          <w:t xml:space="preserve">Bybit Global CHILLGUY</w:t>
        </w:r>
      </w:hyperlink>
      <w:r>
        <w:t xml:space="preserve">;</w:t>
      </w:r>
      <w:r>
        <w:t xml:space="preserve"> </w:t>
      </w:r>
      <w:hyperlink r:id="rId21">
        <w:r>
          <w:rPr>
            <w:rStyle w:val="Hyperlink"/>
          </w:rPr>
          <w:t xml:space="preserve">Coinbase CHILLHOUSE</w:t>
        </w:r>
      </w:hyperlink>
      <w:r>
        <w:t xml:space="preserve">;</w:t>
      </w:r>
      <w:r>
        <w:t xml:space="preserve"> </w:t>
      </w:r>
      <w:hyperlink r:id="rId22">
        <w:r>
          <w:rPr>
            <w:rStyle w:val="Hyperlink"/>
          </w:rPr>
          <w:t xml:space="preserve">Coinbase TROLL</w:t>
        </w:r>
      </w:hyperlink>
      <w:r>
        <w:t xml:space="preserve">;</w:t>
      </w:r>
      <w:r>
        <w:t xml:space="preserve"> </w:t>
      </w:r>
      <w:hyperlink r:id="rId23">
        <w:r>
          <w:rPr>
            <w:rStyle w:val="Hyperlink"/>
          </w:rPr>
          <w:t xml:space="preserve">OKX TRIPLET</w:t>
        </w:r>
      </w:hyperlink>
      <w:r>
        <w:t xml:space="preserve">;</w:t>
      </w:r>
      <w:r>
        <w:t xml:space="preserve"> </w:t>
      </w:r>
      <w:hyperlink r:id="rId24">
        <w:r>
          <w:rPr>
            <w:rStyle w:val="Hyperlink"/>
          </w:rPr>
          <w:t xml:space="preserve">Phantom CUPSEY</w:t>
        </w:r>
      </w:hyperlink>
      <w:r>
        <w:t xml:space="preserve">;</w:t>
      </w:r>
      <w:r>
        <w:t xml:space="preserve"> </w:t>
      </w:r>
      <w:hyperlink r:id="rId25">
        <w:r>
          <w:rPr>
            <w:rStyle w:val="Hyperlink"/>
          </w:rPr>
          <w:t xml:space="preserve">Kraken WOJAK</w:t>
        </w:r>
      </w:hyperlink>
      <w:r>
        <w:t xml:space="preserve">), la lettura dell'8 ottobre 2026 per CASHCAT ($0,115, circa $115 mln, da un comunicato stampa a bassa affidabilità, contro $168–175 mln dell'1–2 ottobre) (</w:t>
      </w:r>
      <w:hyperlink r:id="rId26">
        <w:r>
          <w:rPr>
            <w:rStyle w:val="Hyperlink"/>
          </w:rPr>
          <w:t xml:space="preserve">OpenPR</w:t>
        </w:r>
      </w:hyperlink>
      <w:r>
        <w:t xml:space="preserve">;</w:t>
      </w:r>
      <w:r>
        <w:t xml:space="preserve"> </w:t>
      </w:r>
      <w:hyperlink r:id="rId27">
        <w:r>
          <w:rPr>
            <w:rStyle w:val="Hyperlink"/>
          </w:rPr>
          <w:t xml:space="preserve">StealthEX</w:t>
        </w:r>
      </w:hyperlink>
      <w:r>
        <w:t xml:space="preserve">;</w:t>
      </w:r>
      <w:r>
        <w:t xml:space="preserve"> </w:t>
      </w:r>
      <w:hyperlink r:id="rId28">
        <w:r>
          <w:rPr>
            <w:rStyle w:val="Hyperlink"/>
          </w:rPr>
          <w:t xml:space="preserve">CryptoTicker</w:t>
        </w:r>
      </w:hyperlink>
      <w:r>
        <w:t xml:space="preserve">) e il consenso del 10–13 ottobre per PEPE ($0,0000041, circa $1,75 mld) (</w:t>
      </w:r>
      <w:hyperlink r:id="rId29">
        <w:r>
          <w:rPr>
            <w:rStyle w:val="Hyperlink"/>
          </w:rPr>
          <w:t xml:space="preserve">Coinbase</w:t>
        </w:r>
      </w:hyperlink>
      <w:r>
        <w:t xml:space="preserve">;</w:t>
      </w:r>
      <w:r>
        <w:t xml:space="preserve"> </w:t>
      </w:r>
      <w:hyperlink r:id="rId30">
        <w:r>
          <w:rPr>
            <w:rStyle w:val="Hyperlink"/>
          </w:rPr>
          <w:t xml:space="preserve">Kraken</w:t>
        </w:r>
      </w:hyperlink>
      <w:r>
        <w:t xml:space="preserve">;</w:t>
      </w:r>
      <w:r>
        <w:t xml:space="preserve"> </w:t>
      </w:r>
      <w:hyperlink r:id="rId31">
        <w:r>
          <w:rPr>
            <w:rStyle w:val="Hyperlink"/>
          </w:rPr>
          <w:t xml:space="preserve">Bybit</w:t>
        </w:r>
      </w:hyperlink>
      <w:r>
        <w:t xml:space="preserve">).</w:t>
      </w:r>
    </w:p>
    <w:tbl>
      <w:tblPr>
        <w:tblStyle w:val="Table"/>
        <w:tblW w:type="auto" w:w="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Token (chain)</w:t>
            </w:r>
          </w:p>
        </w:tc>
        <w:tc>
          <w:tcPr/>
          <w:p>
            <w:pPr>
              <w:pStyle w:val="Compact"/>
              <w:jc w:val="left"/>
            </w:pPr>
            <w:r>
              <w:t xml:space="preserve">Cap attuale</w:t>
            </w:r>
          </w:p>
        </w:tc>
        <w:tc>
          <w:tcPr/>
          <w:p>
            <w:pPr>
              <w:pStyle w:val="Compact"/>
              <w:jc w:val="left"/>
            </w:pPr>
            <w:r>
              <w:t xml:space="preserve">ATH a</w:t>
            </w:r>
          </w:p>
        </w:tc>
        <w:tc>
          <w:tcPr/>
          <w:p>
            <w:pPr>
              <w:pStyle w:val="Compact"/>
              <w:jc w:val="left"/>
            </w:pPr>
            <w:r>
              <w:t xml:space="preserve">P(≥ +50%)</w:t>
            </w:r>
          </w:p>
        </w:tc>
        <w:tc>
          <w:tcPr/>
          <w:p>
            <w:pPr>
              <w:pStyle w:val="Compact"/>
              <w:jc w:val="left"/>
            </w:pPr>
            <w:r>
              <w:t xml:space="preserve">P(≥ 2x)</w:t>
            </w:r>
          </w:p>
        </w:tc>
        <w:tc>
          <w:tcPr/>
          <w:p>
            <w:pPr>
              <w:pStyle w:val="Compact"/>
              <w:jc w:val="left"/>
            </w:pPr>
            <w:r>
              <w:t xml:space="preserve">P(≥ 5x)</w:t>
            </w:r>
          </w:p>
        </w:tc>
        <w:tc>
          <w:tcPr/>
          <w:p>
            <w:pPr>
              <w:pStyle w:val="Compact"/>
              <w:jc w:val="left"/>
            </w:pPr>
            <w:r>
              <w:t xml:space="preserve">P(nuovo ATH)</w:t>
            </w:r>
          </w:p>
        </w:tc>
        <w:tc>
          <w:tcPr/>
          <w:p>
            <w:pPr>
              <w:pStyle w:val="Compact"/>
              <w:jc w:val="left"/>
            </w:pPr>
            <w:r>
              <w:t xml:space="preserve">P(≤ −50%)</w:t>
            </w:r>
          </w:p>
        </w:tc>
        <w:tc>
          <w:tcPr/>
          <w:p>
            <w:pPr>
              <w:pStyle w:val="Compact"/>
              <w:jc w:val="left"/>
            </w:pPr>
            <w:r>
              <w:t xml:space="preserve">P(morta)</w:t>
            </w:r>
          </w:p>
        </w:tc>
        <w:tc>
          <w:tcPr/>
          <w:p>
            <w:pPr>
              <w:pStyle w:val="Compact"/>
              <w:jc w:val="left"/>
            </w:pPr>
            <w:r>
              <w:t xml:space="preserve">EV</w:t>
            </w:r>
          </w:p>
        </w:tc>
        <w:tc>
          <w:tcPr/>
          <w:p>
            <w:pPr>
              <w:pStyle w:val="Compact"/>
              <w:jc w:val="left"/>
            </w:pPr>
            <w:r>
              <w:t xml:space="preserve">Mediana (MC)</w:t>
            </w:r>
          </w:p>
        </w:tc>
        <w:tc>
          <w:tcPr/>
          <w:p>
            <w:pPr>
              <w:pStyle w:val="Compact"/>
              <w:jc w:val="left"/>
            </w:pPr>
            <w:r>
              <w:t xml:space="preserve">P(2x se chain ≥ +50%)</w:t>
            </w:r>
          </w:p>
        </w:tc>
        <w:tc>
          <w:tcPr/>
          <w:p>
            <w:pPr>
              <w:pStyle w:val="Compact"/>
              <w:jc w:val="left"/>
            </w:pPr>
            <w:r>
              <w:t xml:space="preserve">P(2x se chain ≥ +100%)</w:t>
            </w:r>
          </w:p>
        </w:tc>
      </w:tr>
      <w:tr>
        <w:tc>
          <w:tcPr/>
          <w:p>
            <w:pPr>
              <w:pStyle w:val="Compact"/>
              <w:jc w:val="left"/>
            </w:pPr>
            <w:r>
              <w:t xml:space="preserve">CHILLGUY (SOL)</w:t>
            </w:r>
          </w:p>
        </w:tc>
        <w:tc>
          <w:tcPr/>
          <w:p>
            <w:pPr>
              <w:pStyle w:val="Compact"/>
              <w:jc w:val="left"/>
            </w:pPr>
            <w:r>
              <w:t xml:space="preserve">$13,0 mln</w:t>
            </w:r>
          </w:p>
        </w:tc>
        <w:tc>
          <w:tcPr/>
          <w:p>
            <w:pPr>
              <w:pStyle w:val="Compact"/>
              <w:jc w:val="left"/>
            </w:pPr>
            <w:r>
              <w:t xml:space="preserve">53×</w:t>
            </w:r>
          </w:p>
        </w:tc>
        <w:tc>
          <w:tcPr/>
          <w:p>
            <w:pPr>
              <w:pStyle w:val="Compact"/>
              <w:jc w:val="left"/>
            </w:pPr>
            <w:r>
              <w:t xml:space="preserve">11,9%</w:t>
            </w:r>
          </w:p>
        </w:tc>
        <w:tc>
          <w:tcPr/>
          <w:p>
            <w:pPr>
              <w:pStyle w:val="Compact"/>
              <w:jc w:val="left"/>
            </w:pPr>
            <w:r>
              <w:t xml:space="preserve">7,3%</w:t>
            </w:r>
          </w:p>
        </w:tc>
        <w:tc>
          <w:tcPr/>
          <w:p>
            <w:pPr>
              <w:pStyle w:val="Compact"/>
              <w:jc w:val="left"/>
            </w:pPr>
            <w:r>
              <w:t xml:space="preserve">2,3%</w:t>
            </w:r>
          </w:p>
        </w:tc>
        <w:tc>
          <w:tcPr/>
          <w:p>
            <w:pPr>
              <w:pStyle w:val="Compact"/>
              <w:jc w:val="left"/>
            </w:pPr>
            <w:r>
              <w:t xml:space="preserve">0,1–0,4%</w:t>
            </w:r>
          </w:p>
        </w:tc>
        <w:tc>
          <w:tcPr/>
          <w:p>
            <w:pPr>
              <w:pStyle w:val="Compact"/>
              <w:jc w:val="left"/>
            </w:pPr>
            <w:r>
              <w:t xml:space="preserve">64,3%</w:t>
            </w:r>
          </w:p>
        </w:tc>
        <w:tc>
          <w:tcPr/>
          <w:p>
            <w:pPr>
              <w:pStyle w:val="Compact"/>
              <w:jc w:val="left"/>
            </w:pPr>
            <w:r>
              <w:t xml:space="preserve">39,5%</w:t>
            </w:r>
          </w:p>
        </w:tc>
        <w:tc>
          <w:tcPr/>
          <w:p>
            <w:pPr>
              <w:pStyle w:val="Compact"/>
              <w:jc w:val="left"/>
            </w:pPr>
            <w:r>
              <w:t xml:space="preserve">0,93×</w:t>
            </w:r>
          </w:p>
        </w:tc>
        <w:tc>
          <w:tcPr/>
          <w:p>
            <w:pPr>
              <w:pStyle w:val="Compact"/>
              <w:jc w:val="left"/>
            </w:pPr>
            <w:r>
              <w:t xml:space="preserve">0,33×</w:t>
            </w:r>
          </w:p>
        </w:tc>
        <w:tc>
          <w:tcPr/>
          <w:p>
            <w:pPr>
              <w:pStyle w:val="Compact"/>
              <w:jc w:val="left"/>
            </w:pPr>
            <w:r>
              <w:t xml:space="preserve">21,4%</w:t>
            </w:r>
          </w:p>
        </w:tc>
        <w:tc>
          <w:tcPr/>
          <w:p>
            <w:pPr>
              <w:pStyle w:val="Compact"/>
              <w:jc w:val="left"/>
            </w:pPr>
            <w:r>
              <w:t xml:space="preserve">26,2%</w:t>
            </w:r>
          </w:p>
        </w:tc>
      </w:tr>
      <w:tr>
        <w:tc>
          <w:tcPr/>
          <w:p>
            <w:pPr>
              <w:pStyle w:val="Compact"/>
              <w:jc w:val="left"/>
            </w:pPr>
            <w:r>
              <w:t xml:space="preserve">CHILLHOUSE (SOL)</w:t>
            </w:r>
          </w:p>
        </w:tc>
        <w:tc>
          <w:tcPr/>
          <w:p>
            <w:pPr>
              <w:pStyle w:val="Compact"/>
              <w:jc w:val="left"/>
            </w:pPr>
            <w:r>
              <w:t xml:space="preserve">$1,5 mln</w:t>
            </w:r>
          </w:p>
        </w:tc>
        <w:tc>
          <w:tcPr/>
          <w:p>
            <w:pPr>
              <w:pStyle w:val="Compact"/>
              <w:jc w:val="left"/>
            </w:pPr>
            <w:r>
              <w:t xml:space="preserve">19,5×</w:t>
            </w:r>
          </w:p>
        </w:tc>
        <w:tc>
          <w:tcPr/>
          <w:p>
            <w:pPr>
              <w:pStyle w:val="Compact"/>
              <w:jc w:val="left"/>
            </w:pPr>
            <w:r>
              <w:t xml:space="preserve">10,5%</w:t>
            </w:r>
          </w:p>
        </w:tc>
        <w:tc>
          <w:tcPr/>
          <w:p>
            <w:pPr>
              <w:pStyle w:val="Compact"/>
              <w:jc w:val="left"/>
            </w:pPr>
            <w:r>
              <w:t xml:space="preserve">6,5%</w:t>
            </w:r>
          </w:p>
        </w:tc>
        <w:tc>
          <w:tcPr/>
          <w:p>
            <w:pPr>
              <w:pStyle w:val="Compact"/>
              <w:jc w:val="left"/>
            </w:pPr>
            <w:r>
              <w:t xml:space="preserve">2,0%</w:t>
            </w:r>
          </w:p>
        </w:tc>
        <w:tc>
          <w:tcPr/>
          <w:p>
            <w:pPr>
              <w:pStyle w:val="Compact"/>
              <w:jc w:val="left"/>
            </w:pPr>
            <w:r>
              <w:t xml:space="preserve">0,3–1,3%</w:t>
            </w:r>
          </w:p>
        </w:tc>
        <w:tc>
          <w:tcPr/>
          <w:p>
            <w:pPr>
              <w:pStyle w:val="Compact"/>
              <w:jc w:val="left"/>
            </w:pPr>
            <w:r>
              <w:t xml:space="preserve">72,5%</w:t>
            </w:r>
          </w:p>
        </w:tc>
        <w:tc>
          <w:tcPr/>
          <w:p>
            <w:pPr>
              <w:pStyle w:val="Compact"/>
              <w:jc w:val="left"/>
            </w:pPr>
            <w:r>
              <w:t xml:space="preserve">48,7%</w:t>
            </w:r>
          </w:p>
        </w:tc>
        <w:tc>
          <w:tcPr/>
          <w:p>
            <w:pPr>
              <w:pStyle w:val="Compact"/>
              <w:jc w:val="left"/>
            </w:pPr>
            <w:r>
              <w:t xml:space="preserve">0,81×</w:t>
            </w:r>
          </w:p>
        </w:tc>
        <w:tc>
          <w:tcPr/>
          <w:p>
            <w:pPr>
              <w:pStyle w:val="Compact"/>
              <w:jc w:val="left"/>
            </w:pPr>
            <w:r>
              <w:t xml:space="preserve">0,23×</w:t>
            </w:r>
          </w:p>
        </w:tc>
        <w:tc>
          <w:tcPr/>
          <w:p>
            <w:pPr>
              <w:pStyle w:val="Compact"/>
              <w:jc w:val="left"/>
            </w:pPr>
            <w:r>
              <w:t xml:space="preserve">14,3%</w:t>
            </w:r>
          </w:p>
        </w:tc>
        <w:tc>
          <w:tcPr/>
          <w:p>
            <w:pPr>
              <w:pStyle w:val="Compact"/>
              <w:jc w:val="left"/>
            </w:pPr>
            <w:r>
              <w:t xml:space="preserve">16,9%</w:t>
            </w:r>
          </w:p>
        </w:tc>
      </w:tr>
      <w:tr>
        <w:tc>
          <w:tcPr/>
          <w:p>
            <w:pPr>
              <w:pStyle w:val="Compact"/>
              <w:jc w:val="left"/>
            </w:pPr>
            <w:r>
              <w:t xml:space="preserve">TROLL (SOL)</w:t>
            </w:r>
          </w:p>
        </w:tc>
        <w:tc>
          <w:tcPr/>
          <w:p>
            <w:pPr>
              <w:pStyle w:val="Compact"/>
              <w:jc w:val="left"/>
            </w:pPr>
            <w:r>
              <w:t xml:space="preserve">$50,0 mln</w:t>
            </w:r>
          </w:p>
        </w:tc>
        <w:tc>
          <w:tcPr/>
          <w:p>
            <w:pPr>
              <w:pStyle w:val="Compact"/>
              <w:jc w:val="left"/>
            </w:pPr>
            <w:r>
              <w:t xml:space="preserve">5,6×</w:t>
            </w:r>
          </w:p>
        </w:tc>
        <w:tc>
          <w:tcPr/>
          <w:p>
            <w:pPr>
              <w:pStyle w:val="Compact"/>
              <w:jc w:val="left"/>
            </w:pPr>
            <w:r>
              <w:t xml:space="preserve">25,9%</w:t>
            </w:r>
          </w:p>
        </w:tc>
        <w:tc>
          <w:tcPr/>
          <w:p>
            <w:pPr>
              <w:pStyle w:val="Compact"/>
              <w:jc w:val="left"/>
            </w:pPr>
            <w:r>
              <w:t xml:space="preserve">17,5%</w:t>
            </w:r>
          </w:p>
        </w:tc>
        <w:tc>
          <w:tcPr/>
          <w:p>
            <w:pPr>
              <w:pStyle w:val="Compact"/>
              <w:jc w:val="left"/>
            </w:pPr>
            <w:r>
              <w:t xml:space="preserve">6,3%</w:t>
            </w:r>
          </w:p>
        </w:tc>
        <w:tc>
          <w:tcPr/>
          <w:p>
            <w:pPr>
              <w:pStyle w:val="Compact"/>
              <w:jc w:val="left"/>
            </w:pPr>
            <w:r>
              <w:t xml:space="preserve">5,4–8,9%</w:t>
            </w:r>
          </w:p>
        </w:tc>
        <w:tc>
          <w:tcPr/>
          <w:p>
            <w:pPr>
              <w:pStyle w:val="Compact"/>
              <w:jc w:val="left"/>
            </w:pPr>
            <w:r>
              <w:t xml:space="preserve">54,5%</w:t>
            </w:r>
          </w:p>
        </w:tc>
        <w:tc>
          <w:tcPr/>
          <w:p>
            <w:pPr>
              <w:pStyle w:val="Compact"/>
              <w:jc w:val="left"/>
            </w:pPr>
            <w:r>
              <w:t xml:space="preserve">29,6%</w:t>
            </w:r>
          </w:p>
        </w:tc>
        <w:tc>
          <w:tcPr/>
          <w:p>
            <w:pPr>
              <w:pStyle w:val="Compact"/>
              <w:jc w:val="left"/>
            </w:pPr>
            <w:r>
              <w:t xml:space="preserve">1,79×</w:t>
            </w:r>
          </w:p>
        </w:tc>
        <w:tc>
          <w:tcPr/>
          <w:p>
            <w:pPr>
              <w:pStyle w:val="Compact"/>
              <w:jc w:val="left"/>
            </w:pPr>
            <w:r>
              <w:t xml:space="preserve">0,42×</w:t>
            </w:r>
          </w:p>
        </w:tc>
        <w:tc>
          <w:tcPr/>
          <w:p>
            <w:pPr>
              <w:pStyle w:val="Compact"/>
              <w:jc w:val="left"/>
            </w:pPr>
            <w:r>
              <w:t xml:space="preserve">44,8%</w:t>
            </w:r>
          </w:p>
        </w:tc>
        <w:tc>
          <w:tcPr/>
          <w:p>
            <w:pPr>
              <w:pStyle w:val="Compact"/>
              <w:jc w:val="left"/>
            </w:pPr>
            <w:r>
              <w:t xml:space="preserve">51,8%</w:t>
            </w:r>
          </w:p>
        </w:tc>
      </w:tr>
      <w:tr>
        <w:tc>
          <w:tcPr/>
          <w:p>
            <w:pPr>
              <w:pStyle w:val="Compact"/>
              <w:jc w:val="left"/>
            </w:pPr>
            <w:r>
              <w:t xml:space="preserve">TRIPLE T (SOL)</w:t>
            </w:r>
          </w:p>
        </w:tc>
        <w:tc>
          <w:tcPr/>
          <w:p>
            <w:pPr>
              <w:pStyle w:val="Compact"/>
              <w:jc w:val="left"/>
            </w:pPr>
            <w:r>
              <w:t xml:space="preserve">$8,0 mln</w:t>
            </w:r>
          </w:p>
        </w:tc>
        <w:tc>
          <w:tcPr/>
          <w:p>
            <w:pPr>
              <w:pStyle w:val="Compact"/>
              <w:jc w:val="left"/>
            </w:pPr>
            <w:r>
              <w:t xml:space="preserve">3,2×</w:t>
            </w:r>
          </w:p>
        </w:tc>
        <w:tc>
          <w:tcPr/>
          <w:p>
            <w:pPr>
              <w:pStyle w:val="Compact"/>
              <w:jc w:val="left"/>
            </w:pPr>
            <w:r>
              <w:t xml:space="preserve">21,0%</w:t>
            </w:r>
          </w:p>
        </w:tc>
        <w:tc>
          <w:tcPr/>
          <w:p>
            <w:pPr>
              <w:pStyle w:val="Compact"/>
              <w:jc w:val="left"/>
            </w:pPr>
            <w:r>
              <w:t xml:space="preserve">13,7%</w:t>
            </w:r>
          </w:p>
        </w:tc>
        <w:tc>
          <w:tcPr/>
          <w:p>
            <w:pPr>
              <w:pStyle w:val="Compact"/>
              <w:jc w:val="left"/>
            </w:pPr>
            <w:r>
              <w:t xml:space="preserve">4,7%</w:t>
            </w:r>
          </w:p>
        </w:tc>
        <w:tc>
          <w:tcPr/>
          <w:p>
            <w:pPr>
              <w:pStyle w:val="Compact"/>
              <w:jc w:val="left"/>
            </w:pPr>
            <w:r>
              <w:t xml:space="preserve">8,1–10,4%</w:t>
            </w:r>
          </w:p>
        </w:tc>
        <w:tc>
          <w:tcPr/>
          <w:p>
            <w:pPr>
              <w:pStyle w:val="Compact"/>
              <w:jc w:val="left"/>
            </w:pPr>
            <w:r>
              <w:t xml:space="preserve">56,6%</w:t>
            </w:r>
          </w:p>
        </w:tc>
        <w:tc>
          <w:tcPr/>
          <w:p>
            <w:pPr>
              <w:pStyle w:val="Compact"/>
              <w:jc w:val="left"/>
            </w:pPr>
            <w:r>
              <w:t xml:space="preserve">31,7%</w:t>
            </w:r>
          </w:p>
        </w:tc>
        <w:tc>
          <w:tcPr/>
          <w:p>
            <w:pPr>
              <w:pStyle w:val="Compact"/>
              <w:jc w:val="left"/>
            </w:pPr>
            <w:r>
              <w:t xml:space="preserve">1,46×</w:t>
            </w:r>
          </w:p>
        </w:tc>
        <w:tc>
          <w:tcPr/>
          <w:p>
            <w:pPr>
              <w:pStyle w:val="Compact"/>
              <w:jc w:val="left"/>
            </w:pPr>
            <w:r>
              <w:t xml:space="preserve">0,40×</w:t>
            </w:r>
          </w:p>
        </w:tc>
        <w:tc>
          <w:tcPr/>
          <w:p>
            <w:pPr>
              <w:pStyle w:val="Compact"/>
              <w:jc w:val="left"/>
            </w:pPr>
            <w:r>
              <w:t xml:space="preserve">28,3%</w:t>
            </w:r>
          </w:p>
        </w:tc>
        <w:tc>
          <w:tcPr/>
          <w:p>
            <w:pPr>
              <w:pStyle w:val="Compact"/>
              <w:jc w:val="left"/>
            </w:pPr>
            <w:r>
              <w:t xml:space="preserve">32,5%</w:t>
            </w:r>
          </w:p>
        </w:tc>
      </w:tr>
      <w:tr>
        <w:tc>
          <w:tcPr/>
          <w:p>
            <w:pPr>
              <w:pStyle w:val="Compact"/>
              <w:jc w:val="left"/>
            </w:pPr>
            <w:r>
              <w:t xml:space="preserve">CUPSEY (SOL)</w:t>
            </w:r>
          </w:p>
        </w:tc>
        <w:tc>
          <w:tcPr/>
          <w:p>
            <w:pPr>
              <w:pStyle w:val="Compact"/>
              <w:jc w:val="left"/>
            </w:pPr>
            <w:r>
              <w:t xml:space="preserve">$6,5 mln</w:t>
            </w:r>
          </w:p>
        </w:tc>
        <w:tc>
          <w:tcPr/>
          <w:p>
            <w:pPr>
              <w:pStyle w:val="Compact"/>
              <w:jc w:val="left"/>
            </w:pPr>
            <w:r>
              <w:t xml:space="preserve">3,2×</w:t>
            </w:r>
          </w:p>
        </w:tc>
        <w:tc>
          <w:tcPr/>
          <w:p>
            <w:pPr>
              <w:pStyle w:val="Compact"/>
              <w:jc w:val="left"/>
            </w:pPr>
            <w:r>
              <w:t xml:space="preserve">14,8%</w:t>
            </w:r>
          </w:p>
        </w:tc>
        <w:tc>
          <w:tcPr/>
          <w:p>
            <w:pPr>
              <w:pStyle w:val="Compact"/>
              <w:jc w:val="left"/>
            </w:pPr>
            <w:r>
              <w:t xml:space="preserve">9,4%</w:t>
            </w:r>
          </w:p>
        </w:tc>
        <w:tc>
          <w:tcPr/>
          <w:p>
            <w:pPr>
              <w:pStyle w:val="Compact"/>
              <w:jc w:val="left"/>
            </w:pPr>
            <w:r>
              <w:t xml:space="preserve">3,0%</w:t>
            </w:r>
          </w:p>
        </w:tc>
        <w:tc>
          <w:tcPr/>
          <w:p>
            <w:pPr>
              <w:pStyle w:val="Compact"/>
              <w:jc w:val="left"/>
            </w:pPr>
            <w:r>
              <w:t xml:space="preserve">5,3–6,6%</w:t>
            </w:r>
          </w:p>
        </w:tc>
        <w:tc>
          <w:tcPr/>
          <w:p>
            <w:pPr>
              <w:pStyle w:val="Compact"/>
              <w:jc w:val="left"/>
            </w:pPr>
            <w:r>
              <w:t xml:space="preserve">63,2%</w:t>
            </w:r>
          </w:p>
        </w:tc>
        <w:tc>
          <w:tcPr/>
          <w:p>
            <w:pPr>
              <w:pStyle w:val="Compact"/>
              <w:jc w:val="left"/>
            </w:pPr>
            <w:r>
              <w:t xml:space="preserve">38,0%</w:t>
            </w:r>
          </w:p>
        </w:tc>
        <w:tc>
          <w:tcPr/>
          <w:p>
            <w:pPr>
              <w:pStyle w:val="Compact"/>
              <w:jc w:val="left"/>
            </w:pPr>
            <w:r>
              <w:t xml:space="preserve">1,09×</w:t>
            </w:r>
          </w:p>
        </w:tc>
        <w:tc>
          <w:tcPr/>
          <w:p>
            <w:pPr>
              <w:pStyle w:val="Compact"/>
              <w:jc w:val="left"/>
            </w:pPr>
            <w:r>
              <w:t xml:space="preserve">0,33×</w:t>
            </w:r>
          </w:p>
        </w:tc>
        <w:tc>
          <w:tcPr/>
          <w:p>
            <w:pPr>
              <w:pStyle w:val="Compact"/>
              <w:jc w:val="left"/>
            </w:pPr>
            <w:r>
              <w:t xml:space="preserve">20,2%</w:t>
            </w:r>
          </w:p>
        </w:tc>
        <w:tc>
          <w:tcPr/>
          <w:p>
            <w:pPr>
              <w:pStyle w:val="Compact"/>
              <w:jc w:val="left"/>
            </w:pPr>
            <w:r>
              <w:t xml:space="preserve">23,5%</w:t>
            </w:r>
          </w:p>
        </w:tc>
      </w:tr>
      <w:tr>
        <w:tc>
          <w:tcPr/>
          <w:p>
            <w:pPr>
              <w:pStyle w:val="Compact"/>
              <w:jc w:val="left"/>
            </w:pPr>
            <w:r>
              <w:t xml:space="preserve">WOJAK (ETH)</w:t>
            </w:r>
          </w:p>
        </w:tc>
        <w:tc>
          <w:tcPr/>
          <w:p>
            <w:pPr>
              <w:pStyle w:val="Compact"/>
              <w:jc w:val="left"/>
            </w:pPr>
            <w:r>
              <w:t xml:space="preserve">$18,4 mln</w:t>
            </w:r>
          </w:p>
        </w:tc>
        <w:tc>
          <w:tcPr/>
          <w:p>
            <w:pPr>
              <w:pStyle w:val="Compact"/>
              <w:jc w:val="left"/>
            </w:pPr>
            <w:r>
              <w:t xml:space="preserve">2,9×</w:t>
            </w:r>
          </w:p>
        </w:tc>
        <w:tc>
          <w:tcPr/>
          <w:p>
            <w:pPr>
              <w:pStyle w:val="Compact"/>
              <w:jc w:val="left"/>
            </w:pPr>
            <w:r>
              <w:t xml:space="preserve">19,3%</w:t>
            </w:r>
          </w:p>
        </w:tc>
        <w:tc>
          <w:tcPr/>
          <w:p>
            <w:pPr>
              <w:pStyle w:val="Compact"/>
              <w:jc w:val="left"/>
            </w:pPr>
            <w:r>
              <w:t xml:space="preserve">12,5%</w:t>
            </w:r>
          </w:p>
        </w:tc>
        <w:tc>
          <w:tcPr/>
          <w:p>
            <w:pPr>
              <w:pStyle w:val="Compact"/>
              <w:jc w:val="left"/>
            </w:pPr>
            <w:r>
              <w:t xml:space="preserve">4,2%</w:t>
            </w:r>
          </w:p>
        </w:tc>
        <w:tc>
          <w:tcPr/>
          <w:p>
            <w:pPr>
              <w:pStyle w:val="Compact"/>
              <w:jc w:val="left"/>
            </w:pPr>
            <w:r>
              <w:t xml:space="preserve">8,0–10,0%</w:t>
            </w:r>
          </w:p>
        </w:tc>
        <w:tc>
          <w:tcPr/>
          <w:p>
            <w:pPr>
              <w:pStyle w:val="Compact"/>
              <w:jc w:val="left"/>
            </w:pPr>
            <w:r>
              <w:t xml:space="preserve">59,6%</w:t>
            </w:r>
          </w:p>
        </w:tc>
        <w:tc>
          <w:tcPr/>
          <w:p>
            <w:pPr>
              <w:pStyle w:val="Compact"/>
              <w:jc w:val="left"/>
            </w:pPr>
            <w:r>
              <w:t xml:space="preserve">34,3%</w:t>
            </w:r>
          </w:p>
        </w:tc>
        <w:tc>
          <w:tcPr/>
          <w:p>
            <w:pPr>
              <w:pStyle w:val="Compact"/>
              <w:jc w:val="left"/>
            </w:pPr>
            <w:r>
              <w:t xml:space="preserve">1,34×</w:t>
            </w:r>
          </w:p>
        </w:tc>
        <w:tc>
          <w:tcPr/>
          <w:p>
            <w:pPr>
              <w:pStyle w:val="Compact"/>
              <w:jc w:val="left"/>
            </w:pPr>
            <w:r>
              <w:t xml:space="preserve">0,36×</w:t>
            </w:r>
          </w:p>
        </w:tc>
        <w:tc>
          <w:tcPr/>
          <w:p>
            <w:pPr>
              <w:pStyle w:val="Compact"/>
              <w:jc w:val="left"/>
            </w:pPr>
            <w:r>
              <w:t xml:space="preserve">28,9%</w:t>
            </w:r>
          </w:p>
        </w:tc>
        <w:tc>
          <w:tcPr/>
          <w:p>
            <w:pPr>
              <w:pStyle w:val="Compact"/>
              <w:jc w:val="left"/>
            </w:pPr>
            <w:r>
              <w:t xml:space="preserve">33,8%</w:t>
            </w:r>
          </w:p>
        </w:tc>
      </w:tr>
      <w:tr>
        <w:tc>
          <w:tcPr/>
          <w:p>
            <w:pPr>
              <w:pStyle w:val="Compact"/>
              <w:jc w:val="left"/>
            </w:pPr>
            <w:r>
              <w:t xml:space="preserve">CASHCAT (Robinhood Chain, ETH)</w:t>
            </w:r>
          </w:p>
        </w:tc>
        <w:tc>
          <w:tcPr/>
          <w:p>
            <w:pPr>
              <w:pStyle w:val="Compact"/>
              <w:jc w:val="left"/>
            </w:pPr>
            <w:r>
              <w:t xml:space="preserve">$115 mln</w:t>
            </w:r>
          </w:p>
        </w:tc>
        <w:tc>
          <w:tcPr/>
          <w:p>
            <w:pPr>
              <w:pStyle w:val="Compact"/>
              <w:jc w:val="left"/>
            </w:pPr>
            <w:r>
              <w:t xml:space="preserve">2,7×</w:t>
            </w:r>
          </w:p>
        </w:tc>
        <w:tc>
          <w:tcPr/>
          <w:p>
            <w:pPr>
              <w:pStyle w:val="Compact"/>
              <w:jc w:val="left"/>
            </w:pPr>
            <w:r>
              <w:t xml:space="preserve">20,8%</w:t>
            </w:r>
          </w:p>
        </w:tc>
        <w:tc>
          <w:tcPr/>
          <w:p>
            <w:pPr>
              <w:pStyle w:val="Compact"/>
              <w:jc w:val="left"/>
            </w:pPr>
            <w:r>
              <w:t xml:space="preserve">13,7%</w:t>
            </w:r>
          </w:p>
        </w:tc>
        <w:tc>
          <w:tcPr/>
          <w:p>
            <w:pPr>
              <w:pStyle w:val="Compact"/>
              <w:jc w:val="left"/>
            </w:pPr>
            <w:r>
              <w:t xml:space="preserve">4,7%</w:t>
            </w:r>
          </w:p>
        </w:tc>
        <w:tc>
          <w:tcPr/>
          <w:p>
            <w:pPr>
              <w:pStyle w:val="Compact"/>
              <w:jc w:val="left"/>
            </w:pPr>
            <w:r>
              <w:t xml:space="preserve">9,8–13,0%</w:t>
            </w:r>
          </w:p>
        </w:tc>
        <w:tc>
          <w:tcPr/>
          <w:p>
            <w:pPr>
              <w:pStyle w:val="Compact"/>
              <w:jc w:val="left"/>
            </w:pPr>
            <w:r>
              <w:t xml:space="preserve">65,8%</w:t>
            </w:r>
          </w:p>
        </w:tc>
        <w:tc>
          <w:tcPr/>
          <w:p>
            <w:pPr>
              <w:pStyle w:val="Compact"/>
              <w:jc w:val="left"/>
            </w:pPr>
            <w:r>
              <w:t xml:space="preserve">41,3%</w:t>
            </w:r>
          </w:p>
        </w:tc>
        <w:tc>
          <w:tcPr/>
          <w:p>
            <w:pPr>
              <w:pStyle w:val="Compact"/>
              <w:jc w:val="left"/>
            </w:pPr>
            <w:r>
              <w:t xml:space="preserve">1,39×</w:t>
            </w:r>
          </w:p>
        </w:tc>
        <w:tc>
          <w:tcPr/>
          <w:p>
            <w:pPr>
              <w:pStyle w:val="Compact"/>
              <w:jc w:val="left"/>
            </w:pPr>
            <w:r>
              <w:t xml:space="preserve">0,22×</w:t>
            </w:r>
          </w:p>
        </w:tc>
        <w:tc>
          <w:tcPr/>
          <w:p>
            <w:pPr>
              <w:pStyle w:val="Compact"/>
              <w:jc w:val="left"/>
            </w:pPr>
            <w:r>
              <w:t xml:space="preserve">26,4%</w:t>
            </w:r>
          </w:p>
        </w:tc>
        <w:tc>
          <w:tcPr/>
          <w:p>
            <w:pPr>
              <w:pStyle w:val="Compact"/>
              <w:jc w:val="left"/>
            </w:pPr>
            <w:r>
              <w:t xml:space="preserve">30,1%</w:t>
            </w:r>
          </w:p>
        </w:tc>
      </w:tr>
      <w:tr>
        <w:tc>
          <w:tcPr/>
          <w:p>
            <w:pPr>
              <w:pStyle w:val="Compact"/>
              <w:jc w:val="left"/>
            </w:pPr>
            <w:r>
              <w:t xml:space="preserve">PEPE (ETH)</w:t>
            </w:r>
          </w:p>
        </w:tc>
        <w:tc>
          <w:tcPr/>
          <w:p>
            <w:pPr>
              <w:pStyle w:val="Compact"/>
              <w:jc w:val="left"/>
            </w:pPr>
            <w:r>
              <w:t xml:space="preserve">$1,75 mld</w:t>
            </w:r>
          </w:p>
        </w:tc>
        <w:tc>
          <w:tcPr/>
          <w:p>
            <w:pPr>
              <w:pStyle w:val="Compact"/>
              <w:jc w:val="left"/>
            </w:pPr>
            <w:r>
              <w:t xml:space="preserve">6,9×</w:t>
            </w:r>
          </w:p>
        </w:tc>
        <w:tc>
          <w:tcPr/>
          <w:p>
            <w:pPr>
              <w:pStyle w:val="Compact"/>
              <w:jc w:val="left"/>
            </w:pPr>
            <w:r>
              <w:t xml:space="preserve">21,8%</w:t>
            </w:r>
          </w:p>
        </w:tc>
        <w:tc>
          <w:tcPr/>
          <w:p>
            <w:pPr>
              <w:pStyle w:val="Compact"/>
              <w:jc w:val="left"/>
            </w:pPr>
            <w:r>
              <w:t xml:space="preserve">13,5%</w:t>
            </w:r>
          </w:p>
        </w:tc>
        <w:tc>
          <w:tcPr/>
          <w:p>
            <w:pPr>
              <w:pStyle w:val="Compact"/>
              <w:jc w:val="left"/>
            </w:pPr>
            <w:r>
              <w:t xml:space="preserve">3,0%</w:t>
            </w:r>
          </w:p>
        </w:tc>
        <w:tc>
          <w:tcPr/>
          <w:p>
            <w:pPr>
              <w:pStyle w:val="Compact"/>
              <w:jc w:val="left"/>
            </w:pPr>
            <w:r>
              <w:t xml:space="preserve">1,6–2,6%</w:t>
            </w:r>
          </w:p>
        </w:tc>
        <w:tc>
          <w:tcPr/>
          <w:p>
            <w:pPr>
              <w:pStyle w:val="Compact"/>
              <w:jc w:val="left"/>
            </w:pPr>
            <w:r>
              <w:t xml:space="preserve">42,5%</w:t>
            </w:r>
          </w:p>
        </w:tc>
        <w:tc>
          <w:tcPr/>
          <w:p>
            <w:pPr>
              <w:pStyle w:val="Compact"/>
              <w:jc w:val="left"/>
            </w:pPr>
            <w:r>
              <w:t xml:space="preserve">12,0%</w:t>
            </w:r>
          </w:p>
        </w:tc>
        <w:tc>
          <w:tcPr/>
          <w:p>
            <w:pPr>
              <w:pStyle w:val="Compact"/>
              <w:jc w:val="left"/>
            </w:pPr>
            <w:r>
              <w:t xml:space="preserve">1,22×</w:t>
            </w:r>
          </w:p>
        </w:tc>
        <w:tc>
          <w:tcPr/>
          <w:p>
            <w:pPr>
              <w:pStyle w:val="Compact"/>
              <w:jc w:val="left"/>
            </w:pPr>
            <w:r>
              <w:t xml:space="preserve">0,58×</w:t>
            </w:r>
          </w:p>
        </w:tc>
        <w:tc>
          <w:tcPr/>
          <w:p>
            <w:pPr>
              <w:pStyle w:val="Compact"/>
              <w:jc w:val="left"/>
            </w:pPr>
            <w:r>
              <w:t xml:space="preserve">53,7%</w:t>
            </w:r>
          </w:p>
        </w:tc>
        <w:tc>
          <w:tcPr/>
          <w:p>
            <w:pPr>
              <w:pStyle w:val="Compact"/>
              <w:jc w:val="left"/>
            </w:pPr>
            <w:r>
              <w:t xml:space="preserve">67,8%</w:t>
            </w:r>
          </w:p>
        </w:tc>
      </w:tr>
    </w:tbl>
    <w:p>
      <w:pPr>
        <w:pStyle w:val="BodyText"/>
      </w:pPr>
      <w:r>
        <w:t xml:space="preserve">Stime del modello (blend Base; intervalli per il nuovo ATH = metodo tabellare e Monte Carlo). Le sei righe originali sono identiche, cifra per cifra, a quelle del rapporto "Probabilità rialzo memecoin Solana 2027": il modello esteso le ricalcola con gli stessi parametri e la verifica automatica su 1.154 celle numeriche (distribuzione di SOL, tabella generica, risultati non condizionati, condizionati, per scenario, di sensibilità ed EV dei sei token) dà una differenza massima di 0,000000. Quattro letture immediate. Primo, nessun token ha più di 1 probabilità su 4 di essere semplicemente a +50% tra un anno, e TROLL è l'unico sopra il 20% insieme a PEPE, CASHCAT e TRIPLE T che gli stanno subito sotto (21–22%). Secondo, il valore atteso supera 1 per sei token su otto non perché l'esito tipico sia positivo (la mediana è 0,22–0,42× per sette token, cioè una perdita del 58–78%; 0,58× per PEPE) ma perché una coda sottile di percorsi a 10–30× tira su la media: è la matematica del biglietto della lotteria. Terzo, la colonna "P(morta)" dice che per CHILLHOUSE è quasi un testa o croce, per CASHCAT 4 casi su 10, per le altre cinque "piccole" tra 3 e 4 casi su 10, e solo per PEPE 1 su 8. Quarto, le due colonne condizionate mostrano i due estremi: PEPE guadagna più di chiunque da un rally della propria chain (dal 13,5% al 68% di raddoppio), CASHCAT meno di chiunque (dal 13,7% al 30%), perché il suo destino dipende da Robinhood Chain più che da ETH. La catena di ragionamento che produce questi numeri ha cinque passaggi, descritti di seguito.</w:t>
      </w:r>
    </w:p>
    <w:bookmarkEnd w:id="32"/>
    <w:bookmarkStart w:id="88" w:name="X9143b471262675556d948c8e1943c86e5691669"/>
    <w:p>
      <w:pPr>
        <w:pStyle w:val="Heading2"/>
      </w:pPr>
      <w:r>
        <w:t xml:space="preserve">Passo 1: SOL ed ETH hanno 1 probabilità su 5 di salire del 50% e 6 su 10 di scendere</w:t>
      </w:r>
    </w:p>
    <w:p>
      <w:pPr>
        <w:pStyle w:val="FirstParagraph"/>
      </w:pPr>
      <w:r>
        <w:t xml:space="preserve">Il punto di partenza è dove si trova SOL l'8–9 ottobre 2026 e quanto può muoversi in un anno. SOL quota</w:t>
      </w:r>
      <w:r>
        <w:t xml:space="preserve"> </w:t>
      </w:r>
      <w:r>
        <w:rPr>
          <w:bCs/>
          <w:b/>
        </w:rPr>
        <w:t xml:space="preserve">$109–110</w:t>
      </w:r>
      <w:r>
        <w:t xml:space="preserve">: Bybit mostra $110,39 il 9 ottobre con −4,72% in 24 ore, Investing.com una chiusura dell'8 ottobre a $109,57 dopo un −5,79% nella giornata, e i prezzi erano $118–122 tra l'1 e il 6 ottobre (</w:t>
      </w:r>
      <w:hyperlink r:id="rId33">
        <w:r>
          <w:rPr>
            <w:rStyle w:val="Hyperlink"/>
          </w:rPr>
          <w:t xml:space="preserve">Bybit</w:t>
        </w:r>
      </w:hyperlink>
      <w:r>
        <w:t xml:space="preserve">;</w:t>
      </w:r>
      <w:r>
        <w:t xml:space="preserve"> </w:t>
      </w:r>
      <w:hyperlink r:id="rId34">
        <w:r>
          <w:rPr>
            <w:rStyle w:val="Hyperlink"/>
          </w:rPr>
          <w:t xml:space="preserve">Investing.com</w:t>
        </w:r>
      </w:hyperlink>
      <w:r>
        <w:t xml:space="preserve">). Il calo dell'8 ottobre, da circa $113 a $107 in quattro ore con $5,84 mln di liquidazioni long, è avvenuto "in linea con l'indice CD20, sceso del 3,62%", cioè in una vendita generalizzata, non per un motivo specifico di Solana (</w:t>
      </w:r>
      <w:hyperlink r:id="rId35">
        <w:r>
          <w:rPr>
            <w:rStyle w:val="Hyperlink"/>
          </w:rPr>
          <w:t xml:space="preserve">CoinDesk</w:t>
        </w:r>
      </w:hyperlink>
      <w:r>
        <w:t xml:space="preserve">;</w:t>
      </w:r>
      <w:r>
        <w:t xml:space="preserve"> </w:t>
      </w:r>
      <w:hyperlink r:id="rId36">
        <w:r>
          <w:rPr>
            <w:rStyle w:val="Hyperlink"/>
          </w:rPr>
          <w:t xml:space="preserve">TokenPost</w:t>
        </w:r>
      </w:hyperlink>
      <w:r>
        <w:t xml:space="preserve">). SOL è quindi</w:t>
      </w:r>
      <w:r>
        <w:t xml:space="preserve"> </w:t>
      </w:r>
      <w:r>
        <w:rPr>
          <w:bCs/>
          <w:b/>
        </w:rPr>
        <w:t xml:space="preserve">circa il 63% sotto l'ATH di $294,85 del 19 gennaio 2025</w:t>
      </w:r>
      <w:r>
        <w:t xml:space="preserve">, ma anche circa il 50% sopra il minimo di $72,91 del 1° agosto 2026 (</w:t>
      </w:r>
      <w:hyperlink r:id="rId37">
        <w:r>
          <w:rPr>
            <w:rStyle w:val="Hyperlink"/>
          </w:rPr>
          <w:t xml:space="preserve">Coinbase</w:t>
        </w:r>
      </w:hyperlink>
      <w:r>
        <w:t xml:space="preserve">;</w:t>
      </w:r>
      <w:r>
        <w:t xml:space="preserve"> </w:t>
      </w:r>
      <w:hyperlink r:id="rId38">
        <w:r>
          <w:rPr>
            <w:rStyle w:val="Hyperlink"/>
          </w:rPr>
          <w:t xml:space="preserve">CoinStats</w:t>
        </w:r>
      </w:hyperlink>
      <w:r>
        <w:t xml:space="preserve">). Nessuna delle note di questa ricerca contiene una lettura di SOL successiva al 9 ottobre; le note su PEPE e CASHCAT, datate 10–13 ottobre, mostrano però che il mercato nel frattempo non si è mosso molto: BTC è sceso verso $80.000 per poi risalire brevemente sopra $84.000 tra il 10 e il 12 ottobre, ed ETH ha recuperato sopra $2.500 (</w:t>
      </w:r>
      <w:hyperlink r:id="rId39">
        <w:r>
          <w:rPr>
            <w:rStyle w:val="Hyperlink"/>
          </w:rPr>
          <w:t xml:space="preserve">CryptoSlate</w:t>
        </w:r>
      </w:hyperlink>
      <w:r>
        <w:t xml:space="preserve">).</w:t>
      </w:r>
    </w:p>
    <w:p>
      <w:pPr>
        <w:pStyle w:val="BodyText"/>
      </w:pPr>
      <w:r>
        <w:t xml:space="preserve">La prima fonte sulla forma della distribuzione è il</w:t>
      </w:r>
      <w:r>
        <w:t xml:space="preserve"> </w:t>
      </w:r>
      <w:r>
        <w:rPr>
          <w:bCs/>
          <w:b/>
        </w:rPr>
        <w:t xml:space="preserve">mercato delle opzioni</w:t>
      </w:r>
      <w:r>
        <w:t xml:space="preserve">. Il 3 ottobre 2026 la volatilità realizzata a 30 giorni era del 57,6%, quella implicita at-the-money a un mese del 53,2%, e il risk reversal a 25 delta era "spostato verso le put" a circa −0,9 punti: i trader di opzioni non pagano alcun premio per il rialzo e anzi pagano leggermente di più per proteggersi dal ribasso (</w:t>
      </w:r>
      <w:hyperlink r:id="rId40">
        <w:r>
          <w:rPr>
            <w:rStyle w:val="Hyperlink"/>
          </w:rPr>
          <w:t xml:space="preserve">Derivasys, 3 ott 2026</w:t>
        </w:r>
      </w:hyperlink>
      <w:r>
        <w:t xml:space="preserve">). Questa volatilità, intorno al 55% annuo, è la più bassa della storia di SOL: CoinLore calcola 136% nel 2021, 138% nel 2022, 93% nel 2023, 81% nel 2024, 86% nel 2025 e 56% nel 2026 fino a oggi (</w:t>
      </w:r>
      <w:hyperlink r:id="rId41">
        <w:r>
          <w:rPr>
            <w:rStyle w:val="Hyperlink"/>
          </w:rPr>
          <w:t xml:space="preserve">CoinLore</w:t>
        </w:r>
      </w:hyperlink>
      <w:r>
        <w:t xml:space="preserve">). Con una lognormale a 55% di volatilità e drift zero (calcolo proprio dalle note, non un dato di mercato), la probabilità che SOL sia sopra $150 l'8 ottobre 2027 è del 20%, sopra $200 dell'8,7%, sopra $250 del 3,9%, sopra $300 dell'1,8%; sotto $100 del 54%. Il limite di questa fonte è che il mercato delle opzioni su SOL è minuscolo: l'open interest aggregato in opzioni era di soli $87 mln a inizio ottobre contro $7,3 mld di derivati totali, e circa il 65% dell'OI su Deribit era concentrato nella scadenza del 25 settembre 2026 (</w:t>
      </w:r>
      <w:hyperlink r:id="rId42">
        <w:r>
          <w:rPr>
            <w:rStyle w:val="Hyperlink"/>
          </w:rPr>
          <w:t xml:space="preserve">CoinGape</w:t>
        </w:r>
      </w:hyperlink>
      <w:r>
        <w:t xml:space="preserve">;</w:t>
      </w:r>
      <w:r>
        <w:t xml:space="preserve"> </w:t>
      </w:r>
      <w:hyperlink r:id="rId43">
        <w:r>
          <w:rPr>
            <w:rStyle w:val="Hyperlink"/>
          </w:rPr>
          <w:t xml:space="preserve">Crypto Briefing</w:t>
        </w:r>
      </w:hyperlink>
      <w:r>
        <w:t xml:space="preserve">); nessuna volatilità implicita a 6–12 mesi è disponibile, quindi il 55% a un anno è un'estrapolazione.</w:t>
      </w:r>
    </w:p>
    <w:p>
      <w:pPr>
        <w:pStyle w:val="BodyText"/>
      </w:pPr>
      <w:r>
        <w:t xml:space="preserve">La seconda fonte sono i</w:t>
      </w:r>
      <w:r>
        <w:t xml:space="preserve"> </w:t>
      </w:r>
      <w:r>
        <w:rPr>
          <w:bCs/>
          <w:b/>
        </w:rPr>
        <w:t xml:space="preserve">mercati predittivi</w:t>
      </w:r>
      <w:r>
        <w:t xml:space="preserve">, che vedono code più grasse. La scala Kalshi sul prezzo di chiusura di SOL a fine 2026, catturata a fine settembre con SOL a circa $121, prezzava</w:t>
      </w:r>
      <w:r>
        <w:t xml:space="preserve"> </w:t>
      </w:r>
      <w:r>
        <w:rPr>
          <w:bCs/>
          <w:b/>
        </w:rPr>
        <w:t xml:space="preserve">71% per ≥ $100, 34% per ≥ $150 e 27% per ≥ $200</w:t>
      </w:r>
      <w:r>
        <w:t xml:space="preserve">, con un volume totale di appena $182.704 (</w:t>
      </w:r>
      <w:hyperlink r:id="rId44">
        <w:r>
          <w:rPr>
            <w:rStyle w:val="Hyperlink"/>
          </w:rPr>
          <w:t xml:space="preserve">Bitcoin.com</w:t>
        </w:r>
      </w:hyperlink>
      <w:r>
        <w:t xml:space="preserve">;</w:t>
      </w:r>
      <w:r>
        <w:t xml:space="preserve"> </w:t>
      </w:r>
      <w:hyperlink r:id="rId45">
        <w:r>
          <w:rPr>
            <w:rStyle w:val="Hyperlink"/>
          </w:rPr>
          <w:t xml:space="preserve">Kalshi KXSOLD26</w:t>
        </w:r>
      </w:hyperlink>
      <w:r>
        <w:t xml:space="preserve">); il mercato Kalshi sul massimo annuale 2026 dava il 46% a "&gt; $150" intorno al 4 ottobre (</w:t>
      </w:r>
      <w:hyperlink r:id="rId46">
        <w:r>
          <w:rPr>
            <w:rStyle w:val="Hyperlink"/>
          </w:rPr>
          <w:t xml:space="preserve">Kalshi KXSOLMAXY</w:t>
        </w:r>
      </w:hyperlink>
      <w:r>
        <w:t xml:space="preserve">). Su Polymarket il mercato più scambiato ("What price will Solana hit in 2026?", un mercato "touch" che si risolve se una candela a un minuto su Binance tocca il livello entro il 31 dicembre) dava il 6 ottobre circa 55% per $140 e in uno snapshot precedente 78% per $120 e 28% per un ritorno a $70 (</w:t>
      </w:r>
      <w:hyperlink r:id="rId47">
        <w:r>
          <w:rPr>
            <w:rStyle w:val="Hyperlink"/>
          </w:rPr>
          <w:t xml:space="preserve">Polymarket</w:t>
        </w:r>
      </w:hyperlink>
      <w:r>
        <w:t xml:space="preserve">;</w:t>
      </w:r>
      <w:r>
        <w:t xml:space="preserve"> </w:t>
      </w:r>
      <w:hyperlink r:id="rId48">
        <w:r>
          <w:rPr>
            <w:rStyle w:val="Hyperlink"/>
          </w:rPr>
          <w:t xml:space="preserve">Polymarket evento</w:t>
        </w:r>
      </w:hyperlink>
      <w:r>
        <w:t xml:space="preserve">); il mercato "Solana all time high by" quotava tra il 3% e il 9% per un nuovo massimo entro fine 2026 (</w:t>
      </w:r>
      <w:hyperlink r:id="rId49">
        <w:r>
          <w:rPr>
            <w:rStyle w:val="Hyperlink"/>
          </w:rPr>
          <w:t xml:space="preserve">Polymarket ATH</w:t>
        </w:r>
      </w:hyperlink>
      <w:r>
        <w:t xml:space="preserve">). Il confronto è istruttivo: il 27% di Kalshi per SOL ≥ $200 in tre mesi non è raggiungibile da nessuna lognormale a 55% (il massimo possibile per ≥ $150 in tre mesi da $121 è circa il 26%); per riprodurre quei tre punti serve una volatilità del 110% con un drift positivo, che è la firma del "long-shot bias" dei mercati sottili. Non esiste alcun mercato Kalshi o Polymarket datato 2027, né un mercato "altcoin season", né alcun mercato su PEPE o sull'approvazione del suo ETF, quindi la componente di mercato predittivo del modello usa la scala Kalshi per il primo trimestre e la lognormale delle opzioni per i nove mesi successivi.</w:t>
      </w:r>
    </w:p>
    <w:p>
      <w:pPr>
        <w:pStyle w:val="BodyText"/>
      </w:pPr>
      <w:r>
        <w:t xml:space="preserve">La terza fonte è la</w:t>
      </w:r>
      <w:r>
        <w:t xml:space="preserve"> </w:t>
      </w:r>
      <w:r>
        <w:rPr>
          <w:bCs/>
          <w:b/>
        </w:rPr>
        <w:t xml:space="preserve">storia</w:t>
      </w:r>
      <w:r>
        <w:t xml:space="preserve">. I rendimenti annuali di SOL sono estremi e bimodali: −94,4% nel 2022, +917% nel 2023, +73,2% nel 2024, −35,9% nel 2025 (</w:t>
      </w:r>
      <w:hyperlink r:id="rId41">
        <w:r>
          <w:rPr>
            <w:rStyle w:val="Hyperlink"/>
          </w:rPr>
          <w:t xml:space="preserve">CoinLore</w:t>
        </w:r>
      </w:hyperlink>
      <w:r>
        <w:t xml:space="preserve">). Su una serie mensile approssimativa da gennaio 2021 (57 finestre mobili di dodici mesi, ricostruite dalle note e da verificare su dati giornalieri), circa il 49% delle finestre è positivo, il 33% supera +50%, il 31% supera +100% e il 25% perde più del 50%; la mediana è intorno allo zero. I sei casi in cui SOL partiva tra il 50% e il 72% sotto il proprio massimo si dividono esattamente a metà: le partenze di inizio 2022 persero un ulteriore 74–76%, quelle di fine 2023–inizio 2024 guadagnarono tra +86% e +303%, e la variabile discriminante fu se il mercato orso di Bitcoin avesse già toccato il fondo. Oggi la posizione nel ciclo (21 mesi dopo l'ATH, BTC circa il 34% sotto il proprio massimo) somiglia più alle partenze di fine 2023, ma con una volatilità dimezzata, il che suggerisce una versione compressa di quegli esiti.</w:t>
      </w:r>
    </w:p>
    <w:p>
      <w:pPr>
        <w:pStyle w:val="BodyText"/>
      </w:pPr>
      <w:r>
        <w:t xml:space="preserve">La quarta componente è il</w:t>
      </w:r>
      <w:r>
        <w:t xml:space="preserve"> </w:t>
      </w:r>
      <w:r>
        <w:rPr>
          <w:bCs/>
          <w:b/>
        </w:rPr>
        <w:t xml:space="preserve">macro dell'8–13 ottobre 2026</w:t>
      </w:r>
      <w:r>
        <w:t xml:space="preserve">, che il modello tratta come un drift negativo del 15% annuo nel caso Base. I fatti sono questi. Il 16 settembre 2026 la Fed ha alzato i tassi di 25 punti base al 3,75–4,00%, primo rialzo dal 2023, con un altro rialzo previsto nel 2026 e nessun taglio nei "dot" per il 2027; i futures prezzano circa il 4,6% a fine 2027 (</w:t>
      </w:r>
      <w:hyperlink r:id="rId50">
        <w:r>
          <w:rPr>
            <w:rStyle w:val="Hyperlink"/>
          </w:rPr>
          <w:t xml:space="preserve">Fortune</w:t>
        </w:r>
      </w:hyperlink>
      <w:r>
        <w:t xml:space="preserve">;</w:t>
      </w:r>
      <w:r>
        <w:t xml:space="preserve"> </w:t>
      </w:r>
      <w:hyperlink r:id="rId51">
        <w:r>
          <w:rPr>
            <w:rStyle w:val="Hyperlink"/>
          </w:rPr>
          <w:t xml:space="preserve">CNBC</w:t>
        </w:r>
      </w:hyperlink>
      <w:r>
        <w:t xml:space="preserve">). Il 15 settembre la mozione di cloture sul CLARITY Act è fallita al Senato (49–50 contro i 60 voti necessari, zero voti democratici), il che "chiude di fatto il lavoro legislativo sulla struttura di mercato per il 2026" e secondo la senatrice Lummis rinvia la prossima finestra realistica a dopo le elezioni, forse al 2030 (</w:t>
      </w:r>
      <w:hyperlink r:id="rId52">
        <w:r>
          <w:rPr>
            <w:rStyle w:val="Hyperlink"/>
          </w:rPr>
          <w:t xml:space="preserve">CNBC</w:t>
        </w:r>
      </w:hyperlink>
      <w:r>
        <w:t xml:space="preserve">;</w:t>
      </w:r>
      <w:r>
        <w:t xml:space="preserve"> </w:t>
      </w:r>
      <w:hyperlink r:id="rId53">
        <w:r>
          <w:rPr>
            <w:rStyle w:val="Hyperlink"/>
          </w:rPr>
          <w:t xml:space="preserve">CoinDesk</w:t>
        </w:r>
      </w:hyperlink>
      <w:r>
        <w:t xml:space="preserve">). Il 7 ottobre gli ETF spot su Bitcoin hanno registrato $487 mln di deflussi in un giorno, il peggior dato da giugno, e gli ETF spot su Solana tre giorni consecutivi di deflussi (5–7 ottobre, $17,7 mln in totale) dopo una striscia di dodici settimane di afflussi per circa $1,4 mld e una settimana record da $188 mln a fine settembre (</w:t>
      </w:r>
      <w:hyperlink r:id="rId54">
        <w:r>
          <w:rPr>
            <w:rStyle w:val="Hyperlink"/>
          </w:rPr>
          <w:t xml:space="preserve">CoinDesk</w:t>
        </w:r>
      </w:hyperlink>
      <w:r>
        <w:t xml:space="preserve">;</w:t>
      </w:r>
      <w:r>
        <w:t xml:space="preserve"> </w:t>
      </w:r>
      <w:hyperlink r:id="rId55">
        <w:r>
          <w:rPr>
            <w:rStyle w:val="Hyperlink"/>
          </w:rPr>
          <w:t xml:space="preserve">CoinMarketCap AI</w:t>
        </w:r>
      </w:hyperlink>
      <w:r>
        <w:t xml:space="preserve">;</w:t>
      </w:r>
      <w:r>
        <w:t xml:space="preserve"> </w:t>
      </w:r>
      <w:hyperlink r:id="rId56">
        <w:r>
          <w:rPr>
            <w:rStyle w:val="Hyperlink"/>
          </w:rPr>
          <w:t xml:space="preserve">Solana Compass</w:t>
        </w:r>
      </w:hyperlink>
      <w:r>
        <w:t xml:space="preserve">); il 12 ottobre anche gli ETF spot su Ethereum hanno segnato $85,4 mln di deflussi, con ETH sceso da circa $2.697 il 6 ottobre a circa $2.515 il 12 ottobre (−7% in una settimana) (</w:t>
      </w:r>
      <w:hyperlink r:id="rId57">
        <w:r>
          <w:rPr>
            <w:rStyle w:val="Hyperlink"/>
          </w:rPr>
          <w:t xml:space="preserve">CoinDCX</w:t>
        </w:r>
      </w:hyperlink>
      <w:r>
        <w:t xml:space="preserve">;</w:t>
      </w:r>
      <w:r>
        <w:t xml:space="preserve"> </w:t>
      </w:r>
      <w:hyperlink r:id="rId58">
        <w:r>
          <w:rPr>
            <w:rStyle w:val="Hyperlink"/>
          </w:rPr>
          <w:t xml:space="preserve">MetaMask</w:t>
        </w:r>
      </w:hyperlink>
      <w:r>
        <w:t xml:space="preserve">;</w:t>
      </w:r>
      <w:r>
        <w:t xml:space="preserve"> </w:t>
      </w:r>
      <w:hyperlink r:id="rId59">
        <w:r>
          <w:rPr>
            <w:rStyle w:val="Hyperlink"/>
          </w:rPr>
          <w:t xml:space="preserve">Fortune, 12 ott 2026</w:t>
        </w:r>
      </w:hyperlink>
      <w:r>
        <w:t xml:space="preserve">). I ricavi di rete di Solana nel primo semestre 2026 sono scesi dell'87% su base annua a $141 mln per il collasso delle fee da memecoin, mentre le società-tesoreria che nel 2025 compravano SOL trattano a 0,3–0,5× il NAV e non possono più raccogliere capitale per comprare (</w:t>
      </w:r>
      <w:hyperlink r:id="rId60">
        <w:r>
          <w:rPr>
            <w:rStyle w:val="Hyperlink"/>
          </w:rPr>
          <w:t xml:space="preserve">21Shares</w:t>
        </w:r>
      </w:hyperlink>
      <w:r>
        <w:t xml:space="preserve">;</w:t>
      </w:r>
      <w:r>
        <w:t xml:space="preserve"> </w:t>
      </w:r>
      <w:hyperlink r:id="rId61">
        <w:r>
          <w:rPr>
            <w:rStyle w:val="Hyperlink"/>
          </w:rPr>
          <w:t xml:space="preserve">The Block treasuries</w:t>
        </w:r>
      </w:hyperlink>
      <w:r>
        <w:t xml:space="preserve">). Sul lato opposto, Grayscale considera il minimo di BTC a $58.000 di fine giugno 2026 come fondo del mercato orso, ma condiziona esplicitamente questa lettura all'assenza di ulteriori rialzi della Fed, condizione già violata (</w:t>
      </w:r>
      <w:hyperlink r:id="rId62">
        <w:r>
          <w:rPr>
            <w:rStyle w:val="Hyperlink"/>
          </w:rPr>
          <w:t xml:space="preserve">The Block</w:t>
        </w:r>
      </w:hyperlink>
      <w:r>
        <w:t xml:space="preserve">); Alpenglow è su testnet e devnet dal 24–25 settembre ma senza data per la mainnet (</w:t>
      </w:r>
      <w:hyperlink r:id="rId63">
        <w:r>
          <w:rPr>
            <w:rStyle w:val="Hyperlink"/>
          </w:rPr>
          <w:t xml:space="preserve">CryptoTicker</w:t>
        </w:r>
      </w:hyperlink>
      <w:r>
        <w:t xml:space="preserve">). Gli analisti non aiutano a quantificare: Standard Chartered ha un target di</w:t>
      </w:r>
      <w:r>
        <w:t xml:space="preserve"> </w:t>
      </w:r>
      <w:r>
        <w:rPr>
          <w:bCs/>
          <w:b/>
        </w:rPr>
        <w:t xml:space="preserve">$400 a fine 2027</w:t>
      </w:r>
      <w:r>
        <w:t xml:space="preserve">, ma la stessa banca a febbraio 2026 ha tagliato il target di fine 2026 prima da $310 a $250 e poi a $135, e la copertura di ottobre cita ancora $250, per cui il $400 va letto come coda ottimistica e non come caso base (</w:t>
      </w:r>
      <w:hyperlink r:id="rId64">
        <w:r>
          <w:rPr>
            <w:rStyle w:val="Hyperlink"/>
          </w:rPr>
          <w:t xml:space="preserve">CoinDesk, 3 feb 2026</w:t>
        </w:r>
      </w:hyperlink>
      <w:r>
        <w:t xml:space="preserve">;</w:t>
      </w:r>
      <w:r>
        <w:t xml:space="preserve"> </w:t>
      </w:r>
      <w:hyperlink r:id="rId65">
        <w:r>
          <w:rPr>
            <w:rStyle w:val="Hyperlink"/>
          </w:rPr>
          <w:t xml:space="preserve">CoinDesk, 12 feb 2026</w:t>
        </w:r>
      </w:hyperlink>
      <w:r>
        <w:t xml:space="preserve">); VanEck offre solo scenari 2030 ($9,81 / $335 / $3.211) e Bitwise prevedeva un nuovo ATH di SOL nel 2026, oggi a meno del 5% di probabilità su Polymarket (</w:t>
      </w:r>
      <w:hyperlink r:id="rId66">
        <w:r>
          <w:rPr>
            <w:rStyle w:val="Hyperlink"/>
          </w:rPr>
          <w:t xml:space="preserve">CryptoTimes</w:t>
        </w:r>
      </w:hyperlink>
      <w:r>
        <w:t xml:space="preserve">;</w:t>
      </w:r>
      <w:r>
        <w:t xml:space="preserve"> </w:t>
      </w:r>
      <w:hyperlink r:id="rId67">
        <w:r>
          <w:rPr>
            <w:rStyle w:val="Hyperlink"/>
          </w:rPr>
          <w:t xml:space="preserve">CoinGape</w:t>
        </w:r>
      </w:hyperlink>
      <w:r>
        <w:t xml:space="preserve">).</w:t>
      </w:r>
    </w:p>
    <w:p>
      <w:pPr>
        <w:pStyle w:val="BodyText"/>
      </w:pPr>
      <w:r>
        <w:t xml:space="preserve">Il modello fonde le quattro componenti con pesi espliciti (Base: 35% opzioni, 20% mercati predittivi, 20% storia, 25% macro) e ottiene la distribuzione seguente del prezzo di SOL all'8 ottobre 2027. Le colonne "Ottimistico" e "Pessimistico" cambiano i pesi e il drift macro (0% con pesi 30/30/30/10; −25% con volatilità 60% e pesi 30/10/10/50).</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Scenario SOL a 12 mesi</w:t>
            </w:r>
          </w:p>
        </w:tc>
        <w:tc>
          <w:tcPr/>
          <w:p>
            <w:pPr>
              <w:pStyle w:val="Compact"/>
              <w:jc w:val="left"/>
            </w:pPr>
            <w:r>
              <w:t xml:space="preserve">Prezzo 8 ott 2027</w:t>
            </w:r>
          </w:p>
        </w:tc>
        <w:tc>
          <w:tcPr/>
          <w:p>
            <w:pPr>
              <w:pStyle w:val="Compact"/>
              <w:jc w:val="left"/>
            </w:pPr>
            <w:r>
              <w:t xml:space="preserve">Opzioni (lognormale 55%)</w:t>
            </w:r>
          </w:p>
        </w:tc>
        <w:tc>
          <w:tcPr/>
          <w:p>
            <w:pPr>
              <w:pStyle w:val="Compact"/>
              <w:jc w:val="left"/>
            </w:pPr>
            <w:r>
              <w:t xml:space="preserve">Mercati predittivi</w:t>
            </w:r>
          </w:p>
        </w:tc>
        <w:tc>
          <w:tcPr/>
          <w:p>
            <w:pPr>
              <w:pStyle w:val="Compact"/>
              <w:jc w:val="left"/>
            </w:pPr>
            <w:r>
              <w:t xml:space="preserve">Storia 2021–26</w:t>
            </w:r>
          </w:p>
        </w:tc>
        <w:tc>
          <w:tcPr/>
          <w:p>
            <w:pPr>
              <w:pStyle w:val="Compact"/>
              <w:jc w:val="left"/>
            </w:pPr>
            <w:r>
              <w:t xml:space="preserve">Macro (drift −15%)</w:t>
            </w:r>
          </w:p>
        </w:tc>
        <w:tc>
          <w:tcPr/>
          <w:p>
            <w:pPr>
              <w:pStyle w:val="Compact"/>
              <w:jc w:val="left"/>
            </w:pPr>
            <w:r>
              <w:rPr>
                <w:bCs/>
                <w:b/>
              </w:rPr>
              <w:t xml:space="preserve">Blend Base</w:t>
            </w:r>
          </w:p>
        </w:tc>
        <w:tc>
          <w:tcPr/>
          <w:p>
            <w:pPr>
              <w:pStyle w:val="Compact"/>
              <w:jc w:val="left"/>
            </w:pPr>
            <w:r>
              <w:t xml:space="preserve">Ottimistico</w:t>
            </w:r>
          </w:p>
        </w:tc>
        <w:tc>
          <w:tcPr/>
          <w:p>
            <w:pPr>
              <w:pStyle w:val="Compact"/>
              <w:jc w:val="left"/>
            </w:pPr>
            <w:r>
              <w:t xml:space="preserve">Pessimistico</w:t>
            </w:r>
          </w:p>
        </w:tc>
      </w:tr>
      <w:tr>
        <w:tc>
          <w:tcPr/>
          <w:p>
            <w:pPr>
              <w:pStyle w:val="Compact"/>
              <w:jc w:val="left"/>
            </w:pPr>
            <w:r>
              <w:t xml:space="preserve">A Crollo</w:t>
            </w:r>
          </w:p>
        </w:tc>
        <w:tc>
          <w:tcPr/>
          <w:p>
            <w:pPr>
              <w:pStyle w:val="Compact"/>
              <w:jc w:val="left"/>
            </w:pPr>
            <w:r>
              <w:t xml:space="preserve">&lt; $70 (peggio di −36%)</w:t>
            </w:r>
          </w:p>
        </w:tc>
        <w:tc>
          <w:tcPr/>
          <w:p>
            <w:pPr>
              <w:pStyle w:val="Compact"/>
              <w:jc w:val="left"/>
            </w:pPr>
            <w:r>
              <w:t xml:space="preserve">29,2%</w:t>
            </w:r>
          </w:p>
        </w:tc>
        <w:tc>
          <w:tcPr/>
          <w:p>
            <w:pPr>
              <w:pStyle w:val="Compact"/>
              <w:jc w:val="left"/>
            </w:pPr>
            <w:r>
              <w:t xml:space="preserve">28,5%</w:t>
            </w:r>
          </w:p>
        </w:tc>
        <w:tc>
          <w:tcPr/>
          <w:p>
            <w:pPr>
              <w:pStyle w:val="Compact"/>
              <w:jc w:val="left"/>
            </w:pPr>
            <w:r>
              <w:t xml:space="preserve">32,1%</w:t>
            </w:r>
          </w:p>
        </w:tc>
        <w:tc>
          <w:tcPr/>
          <w:p>
            <w:pPr>
              <w:pStyle w:val="Compact"/>
              <w:jc w:val="left"/>
            </w:pPr>
            <w:r>
              <w:t xml:space="preserve">39,2%</w:t>
            </w:r>
          </w:p>
        </w:tc>
        <w:tc>
          <w:tcPr/>
          <w:p>
            <w:pPr>
              <w:pStyle w:val="Compact"/>
              <w:jc w:val="left"/>
            </w:pPr>
            <w:r>
              <w:rPr>
                <w:bCs/>
                <w:b/>
              </w:rPr>
              <w:t xml:space="preserve">32,1%</w:t>
            </w:r>
          </w:p>
        </w:tc>
        <w:tc>
          <w:tcPr/>
          <w:p>
            <w:pPr>
              <w:pStyle w:val="Compact"/>
              <w:jc w:val="left"/>
            </w:pPr>
            <w:r>
              <w:t xml:space="preserve">29,9%</w:t>
            </w:r>
          </w:p>
        </w:tc>
        <w:tc>
          <w:tcPr/>
          <w:p>
            <w:pPr>
              <w:pStyle w:val="Compact"/>
              <w:jc w:val="left"/>
            </w:pPr>
            <w:r>
              <w:t xml:space="preserve">39,1%</w:t>
            </w:r>
          </w:p>
        </w:tc>
      </w:tr>
      <w:tr>
        <w:tc>
          <w:tcPr/>
          <w:p>
            <w:pPr>
              <w:pStyle w:val="Compact"/>
              <w:jc w:val="left"/>
            </w:pPr>
            <w:r>
              <w:t xml:space="preserve">B Ribasso</w:t>
            </w:r>
          </w:p>
        </w:tc>
        <w:tc>
          <w:tcPr/>
          <w:p>
            <w:pPr>
              <w:pStyle w:val="Compact"/>
              <w:jc w:val="left"/>
            </w:pPr>
            <w:r>
              <w:t xml:space="preserve">$70–110</w:t>
            </w:r>
          </w:p>
        </w:tc>
        <w:tc>
          <w:tcPr/>
          <w:p>
            <w:pPr>
              <w:pStyle w:val="Compact"/>
              <w:jc w:val="left"/>
            </w:pPr>
            <w:r>
              <w:t xml:space="preserve">31,6%</w:t>
            </w:r>
          </w:p>
        </w:tc>
        <w:tc>
          <w:tcPr/>
          <w:p>
            <w:pPr>
              <w:pStyle w:val="Compact"/>
              <w:jc w:val="left"/>
            </w:pPr>
            <w:r>
              <w:t xml:space="preserve">23,4%</w:t>
            </w:r>
          </w:p>
        </w:tc>
        <w:tc>
          <w:tcPr/>
          <w:p>
            <w:pPr>
              <w:pStyle w:val="Compact"/>
              <w:jc w:val="left"/>
            </w:pPr>
            <w:r>
              <w:t xml:space="preserve">18,9%</w:t>
            </w:r>
          </w:p>
        </w:tc>
        <w:tc>
          <w:tcPr/>
          <w:p>
            <w:pPr>
              <w:pStyle w:val="Compact"/>
              <w:jc w:val="left"/>
            </w:pPr>
            <w:r>
              <w:t xml:space="preserve">31,6%</w:t>
            </w:r>
          </w:p>
        </w:tc>
        <w:tc>
          <w:tcPr/>
          <w:p>
            <w:pPr>
              <w:pStyle w:val="Compact"/>
              <w:jc w:val="left"/>
            </w:pPr>
            <w:r>
              <w:rPr>
                <w:bCs/>
                <w:b/>
              </w:rPr>
              <w:t xml:space="preserve">27,4%</w:t>
            </w:r>
          </w:p>
        </w:tc>
        <w:tc>
          <w:tcPr/>
          <w:p>
            <w:pPr>
              <w:pStyle w:val="Compact"/>
              <w:jc w:val="left"/>
            </w:pPr>
            <w:r>
              <w:t xml:space="preserve">25,3%</w:t>
            </w:r>
          </w:p>
        </w:tc>
        <w:tc>
          <w:tcPr/>
          <w:p>
            <w:pPr>
              <w:pStyle w:val="Compact"/>
              <w:jc w:val="left"/>
            </w:pPr>
            <w:r>
              <w:t xml:space="preserve">27,6%</w:t>
            </w:r>
          </w:p>
        </w:tc>
      </w:tr>
      <w:tr>
        <w:tc>
          <w:tcPr/>
          <w:p>
            <w:pPr>
              <w:pStyle w:val="Compact"/>
              <w:jc w:val="left"/>
            </w:pPr>
            <w:r>
              <w:t xml:space="preserve">C Laterale</w:t>
            </w:r>
          </w:p>
        </w:tc>
        <w:tc>
          <w:tcPr/>
          <w:p>
            <w:pPr>
              <w:pStyle w:val="Compact"/>
              <w:jc w:val="left"/>
            </w:pPr>
            <w:r>
              <w:t xml:space="preserve">$110–150 (0 a +36%)</w:t>
            </w:r>
          </w:p>
        </w:tc>
        <w:tc>
          <w:tcPr/>
          <w:p>
            <w:pPr>
              <w:pStyle w:val="Compact"/>
              <w:jc w:val="left"/>
            </w:pPr>
            <w:r>
              <w:t xml:space="preserve">19,1%</w:t>
            </w:r>
          </w:p>
        </w:tc>
        <w:tc>
          <w:tcPr/>
          <w:p>
            <w:pPr>
              <w:pStyle w:val="Compact"/>
              <w:jc w:val="left"/>
            </w:pPr>
            <w:r>
              <w:t xml:space="preserve">16,2%</w:t>
            </w:r>
          </w:p>
        </w:tc>
        <w:tc>
          <w:tcPr/>
          <w:p>
            <w:pPr>
              <w:pStyle w:val="Compact"/>
              <w:jc w:val="left"/>
            </w:pPr>
            <w:r>
              <w:t xml:space="preserve">11,6%</w:t>
            </w:r>
          </w:p>
        </w:tc>
        <w:tc>
          <w:tcPr/>
          <w:p>
            <w:pPr>
              <w:pStyle w:val="Compact"/>
              <w:jc w:val="left"/>
            </w:pPr>
            <w:r>
              <w:t xml:space="preserve">15,9%</w:t>
            </w:r>
          </w:p>
        </w:tc>
        <w:tc>
          <w:tcPr/>
          <w:p>
            <w:pPr>
              <w:pStyle w:val="Compact"/>
              <w:jc w:val="left"/>
            </w:pPr>
            <w:r>
              <w:rPr>
                <w:bCs/>
                <w:b/>
              </w:rPr>
              <w:t xml:space="preserve">16,2%</w:t>
            </w:r>
          </w:p>
        </w:tc>
        <w:tc>
          <w:tcPr/>
          <w:p>
            <w:pPr>
              <w:pStyle w:val="Compact"/>
              <w:jc w:val="left"/>
            </w:pPr>
            <w:r>
              <w:t xml:space="preserve">16,0%</w:t>
            </w:r>
          </w:p>
        </w:tc>
        <w:tc>
          <w:tcPr/>
          <w:p>
            <w:pPr>
              <w:pStyle w:val="Compact"/>
              <w:jc w:val="left"/>
            </w:pPr>
            <w:r>
              <w:t xml:space="preserve">14,9%</w:t>
            </w:r>
          </w:p>
        </w:tc>
      </w:tr>
      <w:tr>
        <w:tc>
          <w:tcPr/>
          <w:p>
            <w:pPr>
              <w:pStyle w:val="Compact"/>
              <w:jc w:val="left"/>
            </w:pPr>
            <w:r>
              <w:t xml:space="preserve">D Rialzo forte</w:t>
            </w:r>
          </w:p>
        </w:tc>
        <w:tc>
          <w:tcPr/>
          <w:p>
            <w:pPr>
              <w:pStyle w:val="Compact"/>
              <w:jc w:val="left"/>
            </w:pPr>
            <w:r>
              <w:t xml:space="preserve">$150–250 (+36% a +127%)</w:t>
            </w:r>
          </w:p>
        </w:tc>
        <w:tc>
          <w:tcPr/>
          <w:p>
            <w:pPr>
              <w:pStyle w:val="Compact"/>
              <w:jc w:val="left"/>
            </w:pPr>
            <w:r>
              <w:t xml:space="preserve">16,2%</w:t>
            </w:r>
          </w:p>
        </w:tc>
        <w:tc>
          <w:tcPr/>
          <w:p>
            <w:pPr>
              <w:pStyle w:val="Compact"/>
              <w:jc w:val="left"/>
            </w:pPr>
            <w:r>
              <w:t xml:space="preserve">19,8%</w:t>
            </w:r>
          </w:p>
        </w:tc>
        <w:tc>
          <w:tcPr/>
          <w:p>
            <w:pPr>
              <w:pStyle w:val="Compact"/>
              <w:jc w:val="left"/>
            </w:pPr>
            <w:r>
              <w:t xml:space="preserve">7,2%</w:t>
            </w:r>
          </w:p>
        </w:tc>
        <w:tc>
          <w:tcPr/>
          <w:p>
            <w:pPr>
              <w:pStyle w:val="Compact"/>
              <w:jc w:val="left"/>
            </w:pPr>
            <w:r>
              <w:t xml:space="preserve">11,3%</w:t>
            </w:r>
          </w:p>
        </w:tc>
        <w:tc>
          <w:tcPr/>
          <w:p>
            <w:pPr>
              <w:pStyle w:val="Compact"/>
              <w:jc w:val="left"/>
            </w:pPr>
            <w:r>
              <w:rPr>
                <w:bCs/>
                <w:b/>
              </w:rPr>
              <w:t xml:space="preserve">13,9%</w:t>
            </w:r>
          </w:p>
        </w:tc>
        <w:tc>
          <w:tcPr/>
          <w:p>
            <w:pPr>
              <w:pStyle w:val="Compact"/>
              <w:jc w:val="left"/>
            </w:pPr>
            <w:r>
              <w:t xml:space="preserve">14,6%</w:t>
            </w:r>
          </w:p>
        </w:tc>
        <w:tc>
          <w:tcPr/>
          <w:p>
            <w:pPr>
              <w:pStyle w:val="Compact"/>
              <w:jc w:val="left"/>
            </w:pPr>
            <w:r>
              <w:t xml:space="preserve">12,1%</w:t>
            </w:r>
          </w:p>
        </w:tc>
      </w:tr>
      <w:tr>
        <w:tc>
          <w:tcPr/>
          <w:p>
            <w:pPr>
              <w:pStyle w:val="Compact"/>
              <w:jc w:val="left"/>
            </w:pPr>
            <w:r>
              <w:t xml:space="preserve">E Euforia</w:t>
            </w:r>
          </w:p>
        </w:tc>
        <w:tc>
          <w:tcPr/>
          <w:p>
            <w:pPr>
              <w:pStyle w:val="Compact"/>
              <w:jc w:val="left"/>
            </w:pPr>
            <w:r>
              <w:t xml:space="preserve">&gt; $250 (oltre +127%)</w:t>
            </w:r>
          </w:p>
        </w:tc>
        <w:tc>
          <w:tcPr/>
          <w:p>
            <w:pPr>
              <w:pStyle w:val="Compact"/>
              <w:jc w:val="left"/>
            </w:pPr>
            <w:r>
              <w:t xml:space="preserve">3,9%</w:t>
            </w:r>
          </w:p>
        </w:tc>
        <w:tc>
          <w:tcPr/>
          <w:p>
            <w:pPr>
              <w:pStyle w:val="Compact"/>
              <w:jc w:val="left"/>
            </w:pPr>
            <w:r>
              <w:t xml:space="preserve">12,2%</w:t>
            </w:r>
          </w:p>
        </w:tc>
        <w:tc>
          <w:tcPr/>
          <w:p>
            <w:pPr>
              <w:pStyle w:val="Compact"/>
              <w:jc w:val="left"/>
            </w:pPr>
            <w:r>
              <w:t xml:space="preserve">30,2%</w:t>
            </w:r>
          </w:p>
        </w:tc>
        <w:tc>
          <w:tcPr/>
          <w:p>
            <w:pPr>
              <w:pStyle w:val="Compact"/>
              <w:jc w:val="left"/>
            </w:pPr>
            <w:r>
              <w:t xml:space="preserve">2,1%</w:t>
            </w:r>
          </w:p>
        </w:tc>
        <w:tc>
          <w:tcPr/>
          <w:p>
            <w:pPr>
              <w:pStyle w:val="Compact"/>
              <w:jc w:val="left"/>
            </w:pPr>
            <w:r>
              <w:rPr>
                <w:bCs/>
                <w:b/>
              </w:rPr>
              <w:t xml:space="preserve">10,3%</w:t>
            </w:r>
          </w:p>
        </w:tc>
        <w:tc>
          <w:tcPr/>
          <w:p>
            <w:pPr>
              <w:pStyle w:val="Compact"/>
              <w:jc w:val="left"/>
            </w:pPr>
            <w:r>
              <w:t xml:space="preserve">14,2%</w:t>
            </w:r>
          </w:p>
        </w:tc>
        <w:tc>
          <w:tcPr/>
          <w:p>
            <w:pPr>
              <w:pStyle w:val="Compact"/>
              <w:jc w:val="left"/>
            </w:pPr>
            <w:r>
              <w:t xml:space="preserve">6,3%</w:t>
            </w:r>
          </w:p>
        </w:tc>
      </w:tr>
      <w:tr>
        <w:tc>
          <w:tcPr/>
          <w:p>
            <w:pPr>
              <w:pStyle w:val="Compact"/>
              <w:jc w:val="left"/>
            </w:pPr>
            <w:r>
              <w:t xml:space="preserve">P(SOL ≥ +50%, cioè ≥ $165)</w:t>
            </w:r>
          </w:p>
        </w:tc>
        <w:tc>
          <w:tcPr/>
          <w:p>
            <w:pPr>
              <w:pStyle w:val="Compact"/>
              <w:jc w:val="left"/>
            </w:pPr>
            <w:r>
              <w:t xml:space="preserve">—</w:t>
            </w:r>
          </w:p>
        </w:tc>
        <w:tc>
          <w:tcPr/>
          <w:p>
            <w:pPr>
              <w:pStyle w:val="Compact"/>
              <w:jc w:val="left"/>
            </w:pPr>
            <w:r>
              <w:t xml:space="preserve">15,6%</w:t>
            </w:r>
          </w:p>
        </w:tc>
        <w:tc>
          <w:tcPr/>
          <w:p>
            <w:pPr>
              <w:pStyle w:val="Compact"/>
              <w:jc w:val="left"/>
            </w:pPr>
            <w:r>
              <w:t xml:space="preserve">27,5%</w:t>
            </w:r>
          </w:p>
        </w:tc>
        <w:tc>
          <w:tcPr/>
          <w:p>
            <w:pPr>
              <w:pStyle w:val="Compact"/>
              <w:jc w:val="left"/>
            </w:pPr>
            <w:r>
              <w:t xml:space="preserve">33,0%</w:t>
            </w:r>
          </w:p>
        </w:tc>
        <w:tc>
          <w:tcPr/>
          <w:p>
            <w:pPr>
              <w:pStyle w:val="Compact"/>
              <w:jc w:val="left"/>
            </w:pPr>
            <w:r>
              <w:t xml:space="preserve">10,0%</w:t>
            </w:r>
          </w:p>
        </w:tc>
        <w:tc>
          <w:tcPr/>
          <w:p>
            <w:pPr>
              <w:pStyle w:val="Compact"/>
              <w:jc w:val="left"/>
            </w:pPr>
            <w:r>
              <w:rPr>
                <w:bCs/>
                <w:b/>
              </w:rPr>
              <w:t xml:space="preserve">20,0%</w:t>
            </w:r>
          </w:p>
        </w:tc>
        <w:tc>
          <w:tcPr/>
          <w:p>
            <w:pPr>
              <w:pStyle w:val="Compact"/>
              <w:jc w:val="left"/>
            </w:pPr>
            <w:r>
              <w:t xml:space="preserve">24,4%</w:t>
            </w:r>
          </w:p>
        </w:tc>
        <w:tc>
          <w:tcPr/>
          <w:p>
            <w:pPr>
              <w:pStyle w:val="Compact"/>
              <w:jc w:val="left"/>
            </w:pPr>
            <w:r>
              <w:t xml:space="preserve">14,8%</w:t>
            </w:r>
          </w:p>
        </w:tc>
      </w:tr>
      <w:tr>
        <w:tc>
          <w:tcPr/>
          <w:p>
            <w:pPr>
              <w:pStyle w:val="Compact"/>
              <w:jc w:val="left"/>
            </w:pPr>
            <w:r>
              <w:t xml:space="preserve">P(SOL ≥ +100%, cioè ≥ $220)</w:t>
            </w:r>
          </w:p>
        </w:tc>
        <w:tc>
          <w:tcPr/>
          <w:p>
            <w:pPr>
              <w:pStyle w:val="Compact"/>
              <w:jc w:val="left"/>
            </w:pPr>
            <w:r>
              <w:t xml:space="preserve">—</w:t>
            </w:r>
          </w:p>
        </w:tc>
        <w:tc>
          <w:tcPr/>
          <w:p>
            <w:pPr>
              <w:pStyle w:val="Compact"/>
              <w:jc w:val="left"/>
            </w:pPr>
            <w:r>
              <w:t xml:space="preserve">6,3%</w:t>
            </w:r>
          </w:p>
        </w:tc>
        <w:tc>
          <w:tcPr/>
          <w:p>
            <w:pPr>
              <w:pStyle w:val="Compact"/>
              <w:jc w:val="left"/>
            </w:pPr>
            <w:r>
              <w:t xml:space="preserve">16,1%</w:t>
            </w:r>
          </w:p>
        </w:tc>
        <w:tc>
          <w:tcPr/>
          <w:p>
            <w:pPr>
              <w:pStyle w:val="Compact"/>
              <w:jc w:val="left"/>
            </w:pPr>
            <w:r>
              <w:t xml:space="preserve">31,0%</w:t>
            </w:r>
          </w:p>
        </w:tc>
        <w:tc>
          <w:tcPr/>
          <w:p>
            <w:pPr>
              <w:pStyle w:val="Compact"/>
              <w:jc w:val="left"/>
            </w:pPr>
            <w:r>
              <w:t xml:space="preserve">3,6%</w:t>
            </w:r>
          </w:p>
        </w:tc>
        <w:tc>
          <w:tcPr/>
          <w:p>
            <w:pPr>
              <w:pStyle w:val="Compact"/>
              <w:jc w:val="left"/>
            </w:pPr>
            <w:r>
              <w:rPr>
                <w:bCs/>
                <w:b/>
              </w:rPr>
              <w:t xml:space="preserve">12,5%</w:t>
            </w:r>
          </w:p>
        </w:tc>
        <w:tc>
          <w:tcPr/>
          <w:p>
            <w:pPr>
              <w:pStyle w:val="Compact"/>
              <w:jc w:val="left"/>
            </w:pPr>
            <w:r>
              <w:t xml:space="preserve">16,6%</w:t>
            </w:r>
          </w:p>
        </w:tc>
        <w:tc>
          <w:tcPr/>
          <w:p>
            <w:pPr>
              <w:pStyle w:val="Compact"/>
              <w:jc w:val="left"/>
            </w:pPr>
            <w:r>
              <w:t xml:space="preserve">8,1%</w:t>
            </w:r>
          </w:p>
        </w:tc>
      </w:tr>
      <w:tr>
        <w:tc>
          <w:tcPr/>
          <w:p>
            <w:pPr>
              <w:pStyle w:val="Compact"/>
              <w:jc w:val="left"/>
            </w:pPr>
            <w:r>
              <w:t xml:space="preserve">P(SOL ≥ ATH $294,85)</w:t>
            </w:r>
          </w:p>
        </w:tc>
        <w:tc>
          <w:tcPr/>
          <w:p>
            <w:pPr>
              <w:pStyle w:val="Compact"/>
              <w:jc w:val="left"/>
            </w:pPr>
            <w:r>
              <w:t xml:space="preserve">—</w:t>
            </w:r>
          </w:p>
        </w:tc>
        <w:tc>
          <w:tcPr/>
          <w:p>
            <w:pPr>
              <w:pStyle w:val="Compact"/>
              <w:jc w:val="left"/>
            </w:pPr>
            <w:r>
              <w:t xml:space="preserve">circa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5,2%</w:t>
            </w:r>
          </w:p>
        </w:tc>
        <w:tc>
          <w:tcPr/>
          <w:p>
            <w:pPr>
              <w:pStyle w:val="Compact"/>
              <w:jc w:val="left"/>
            </w:pPr>
            <w:r>
              <w:t xml:space="preserve">7,1%</w:t>
            </w:r>
          </w:p>
        </w:tc>
        <w:tc>
          <w:tcPr/>
          <w:p>
            <w:pPr>
              <w:pStyle w:val="Compact"/>
              <w:jc w:val="left"/>
            </w:pPr>
            <w:r>
              <w:t xml:space="preserve">3,2%</w:t>
            </w:r>
          </w:p>
        </w:tc>
      </w:tr>
    </w:tbl>
    <w:p>
      <w:pPr>
        <w:pStyle w:val="BodyText"/>
      </w:pPr>
      <w:r>
        <w:t xml:space="preserve">Stime del modello. In parole semplici:</w:t>
      </w:r>
      <w:r>
        <w:t xml:space="preserve"> </w:t>
      </w:r>
      <w:r>
        <w:rPr>
          <w:bCs/>
          <w:b/>
        </w:rPr>
        <w:t xml:space="preserve">6 probabilità su 10 che SOL valga meno tra un anno, 1 su 5 che sia a +50%, 1 su 8 che raddoppi, 1 su 20 che superi il massimo storico</w:t>
      </w:r>
      <w:r>
        <w:t xml:space="preserve">. Il 5,2% per un nuovo ATH a dodici mesi è coerente con il 3–9% che Polymarket dava per un ATH entro fine 2026. Un dettaglio che conta per chi ragiona in termini di "toccare" un livello e non di chiudere sopra: la probabilità che SOL tocchi $150 in un qualunque momento dei dodici mesi è del 40–46%, $200 del 17–19%, $250 dell'8%, $300 del 4% (lognormale senza drift; con la distribuzione Base a code più grasse si sale a 56%, 30%, 17% e 10%).</w:t>
      </w:r>
    </w:p>
    <w:bookmarkStart w:id="70" w:name="X9f6ce71f3e11e19e677b06f1558b18f9fe44971"/>
    <w:p>
      <w:pPr>
        <w:pStyle w:val="Heading3"/>
      </w:pPr>
      <w:r>
        <w:t xml:space="preserve">La distribuzione di ETH condiziona WOJAK, PEPE e, in parte, CASHCAT</w:t>
      </w:r>
    </w:p>
    <w:p>
      <w:pPr>
        <w:pStyle w:val="FirstParagraph"/>
      </w:pPr>
      <w:r>
        <w:t xml:space="preserve">Per i tre token non Solana la stessa procedura è applicata a ETH, con spot</w:t>
      </w:r>
      <w:r>
        <w:t xml:space="preserve"> </w:t>
      </w:r>
      <w:r>
        <w:rPr>
          <w:bCs/>
          <w:b/>
        </w:rPr>
        <w:t xml:space="preserve">$2.600</w:t>
      </w:r>
      <w:r>
        <w:t xml:space="preserve"> </w:t>
      </w:r>
      <w:r>
        <w:t xml:space="preserve">(tra i $2.694 del 29 settembre e i $2.547 del 7 ottobre; le letture del 10–12 ottobre, $2.445–2.554, sono dentro la fascia) e volatilità ipotizzata del 50%, leggermente sotto quella di SOL perché ETH è l'asset più grande (</w:t>
      </w:r>
      <w:hyperlink r:id="rId68">
        <w:r>
          <w:rPr>
            <w:rStyle w:val="Hyperlink"/>
          </w:rPr>
          <w:t xml:space="preserve">Fortune</w:t>
        </w:r>
      </w:hyperlink>
      <w:r>
        <w:t xml:space="preserve">;</w:t>
      </w:r>
      <w:r>
        <w:t xml:space="preserve"> </w:t>
      </w:r>
      <w:hyperlink r:id="rId69">
        <w:r>
          <w:rPr>
            <w:rStyle w:val="Hyperlink"/>
          </w:rPr>
          <w:t xml:space="preserve">The Coin Republic</w:t>
        </w:r>
      </w:hyperlink>
      <w:r>
        <w:t xml:space="preserve">;</w:t>
      </w:r>
      <w:r>
        <w:t xml:space="preserve"> </w:t>
      </w:r>
      <w:hyperlink r:id="rId59">
        <w:r>
          <w:rPr>
            <w:rStyle w:val="Hyperlink"/>
          </w:rPr>
          <w:t xml:space="preserve">Fortune, 12 ott 2026</w:t>
        </w:r>
      </w:hyperlink>
      <w:r>
        <w:t xml:space="preserve">). Le componenti opzioni e macro sono ricalcolate per ETH; quelle di mercato predittivo e storica, che sono di SOL, sono riutilizzate come "proxy altcoin", un'assunzione dichiarata nelle avvertenze. I bucket di rendimento sono gli stessi di SOL e l'ATH di ETH, circa $4.950 dell'agosto 2025, cade nello scenario D. Il risultato Base dà</w:t>
      </w:r>
      <w:r>
        <w:t xml:space="preserve"> </w:t>
      </w:r>
      <w:r>
        <w:rPr>
          <w:bCs/>
          <w:b/>
        </w:rPr>
        <w:t xml:space="preserve">19,3% per ETH ≥ +50% e 11,9% per ETH ≥ +100%</w:t>
      </w:r>
      <w:r>
        <w:t xml:space="preserve">, quasi identico a SOL: è la variabile di condizionamento di WOJAK (già nel rapporto precedente), di PEPE (che ne dipende più di ogni altro token) e, con un legame debole, di CASHCAT, che vive su una L2 il cui gas e asset di bridge è ETH e la cui pool principale è CASHCAT/WETH, ma la cui storia non mostra nessun movimento guidato da ETH.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 ETH a 12 mesi</w:t>
            </w:r>
          </w:p>
        </w:tc>
        <w:tc>
          <w:tcPr/>
          <w:p>
            <w:pPr>
              <w:pStyle w:val="Compact"/>
              <w:jc w:val="left"/>
            </w:pPr>
            <w:r>
              <w:t xml:space="preserve">Prezzo 8 ott 2027</w:t>
            </w:r>
          </w:p>
        </w:tc>
        <w:tc>
          <w:tcPr/>
          <w:p>
            <w:pPr>
              <w:pStyle w:val="Compact"/>
              <w:jc w:val="left"/>
            </w:pPr>
            <w:r>
              <w:t xml:space="preserve">Ottimistico</w:t>
            </w:r>
          </w:p>
        </w:tc>
        <w:tc>
          <w:tcPr/>
          <w:p>
            <w:pPr>
              <w:pStyle w:val="Compact"/>
              <w:jc w:val="left"/>
            </w:pPr>
            <w:r>
              <w:rPr>
                <w:bCs/>
                <w:b/>
              </w:rPr>
              <w:t xml:space="preserve">Blend Base</w:t>
            </w:r>
          </w:p>
        </w:tc>
        <w:tc>
          <w:tcPr/>
          <w:p>
            <w:pPr>
              <w:pStyle w:val="Compact"/>
              <w:jc w:val="left"/>
            </w:pPr>
            <w:r>
              <w:t xml:space="preserve">Pessimistico</w:t>
            </w:r>
          </w:p>
        </w:tc>
      </w:tr>
      <w:tr>
        <w:tc>
          <w:tcPr/>
          <w:p>
            <w:pPr>
              <w:pStyle w:val="Compact"/>
              <w:jc w:val="left"/>
            </w:pPr>
            <w:r>
              <w:t xml:space="preserve">A Crollo</w:t>
            </w:r>
          </w:p>
        </w:tc>
        <w:tc>
          <w:tcPr/>
          <w:p>
            <w:pPr>
              <w:pStyle w:val="Compact"/>
              <w:jc w:val="left"/>
            </w:pPr>
            <w:r>
              <w:t xml:space="preserve">&lt; $1.655 (peggio di −36%)</w:t>
            </w:r>
          </w:p>
        </w:tc>
        <w:tc>
          <w:tcPr/>
          <w:p>
            <w:pPr>
              <w:pStyle w:val="Compact"/>
              <w:jc w:val="left"/>
            </w:pPr>
            <w:r>
              <w:t xml:space="preserve">28,4%</w:t>
            </w:r>
          </w:p>
        </w:tc>
        <w:tc>
          <w:tcPr/>
          <w:p>
            <w:pPr>
              <w:pStyle w:val="Compact"/>
              <w:jc w:val="left"/>
            </w:pPr>
            <w:r>
              <w:rPr>
                <w:bCs/>
                <w:b/>
              </w:rPr>
              <w:t xml:space="preserve">30,2%</w:t>
            </w:r>
          </w:p>
        </w:tc>
        <w:tc>
          <w:tcPr/>
          <w:p>
            <w:pPr>
              <w:pStyle w:val="Compact"/>
              <w:jc w:val="left"/>
            </w:pPr>
            <w:r>
              <w:t xml:space="preserve">36,9%</w:t>
            </w:r>
          </w:p>
        </w:tc>
      </w:tr>
      <w:tr>
        <w:tc>
          <w:tcPr/>
          <w:p>
            <w:pPr>
              <w:pStyle w:val="Compact"/>
              <w:jc w:val="left"/>
            </w:pPr>
            <w:r>
              <w:t xml:space="preserve">B Ribasso</w:t>
            </w:r>
          </w:p>
        </w:tc>
        <w:tc>
          <w:tcPr/>
          <w:p>
            <w:pPr>
              <w:pStyle w:val="Compact"/>
              <w:jc w:val="left"/>
            </w:pPr>
            <w:r>
              <w:t xml:space="preserve">$1.655–2.600</w:t>
            </w:r>
          </w:p>
        </w:tc>
        <w:tc>
          <w:tcPr/>
          <w:p>
            <w:pPr>
              <w:pStyle w:val="Compact"/>
              <w:jc w:val="left"/>
            </w:pPr>
            <w:r>
              <w:t xml:space="preserve">26,4%</w:t>
            </w:r>
          </w:p>
        </w:tc>
        <w:tc>
          <w:tcPr/>
          <w:p>
            <w:pPr>
              <w:pStyle w:val="Compact"/>
              <w:jc w:val="left"/>
            </w:pPr>
            <w:r>
              <w:rPr>
                <w:bCs/>
                <w:b/>
              </w:rPr>
              <w:t xml:space="preserve">29,1%</w:t>
            </w:r>
          </w:p>
        </w:tc>
        <w:tc>
          <w:tcPr/>
          <w:p>
            <w:pPr>
              <w:pStyle w:val="Compact"/>
              <w:jc w:val="left"/>
            </w:pPr>
            <w:r>
              <w:t xml:space="preserve">29,7%</w:t>
            </w:r>
          </w:p>
        </w:tc>
      </w:tr>
      <w:tr>
        <w:tc>
          <w:tcPr/>
          <w:p>
            <w:pPr>
              <w:pStyle w:val="Compact"/>
              <w:jc w:val="left"/>
            </w:pPr>
            <w:r>
              <w:t xml:space="preserve">C Laterale</w:t>
            </w:r>
          </w:p>
        </w:tc>
        <w:tc>
          <w:tcPr/>
          <w:p>
            <w:pPr>
              <w:pStyle w:val="Compact"/>
              <w:jc w:val="left"/>
            </w:pPr>
            <w:r>
              <w:t xml:space="preserve">$2.600–3.545 (0 a +36%)</w:t>
            </w:r>
          </w:p>
        </w:tc>
        <w:tc>
          <w:tcPr/>
          <w:p>
            <w:pPr>
              <w:pStyle w:val="Compact"/>
              <w:jc w:val="left"/>
            </w:pPr>
            <w:r>
              <w:t xml:space="preserve">16,7%</w:t>
            </w:r>
          </w:p>
        </w:tc>
        <w:tc>
          <w:tcPr/>
          <w:p>
            <w:pPr>
              <w:pStyle w:val="Compact"/>
              <w:jc w:val="left"/>
            </w:pPr>
            <w:r>
              <w:rPr>
                <w:bCs/>
                <w:b/>
              </w:rPr>
              <w:t xml:space="preserve">17,1%</w:t>
            </w:r>
          </w:p>
        </w:tc>
        <w:tc>
          <w:tcPr/>
          <w:p>
            <w:pPr>
              <w:pStyle w:val="Compact"/>
              <w:jc w:val="left"/>
            </w:pPr>
            <w:r>
              <w:t xml:space="preserve">15,8%</w:t>
            </w:r>
          </w:p>
        </w:tc>
      </w:tr>
      <w:tr>
        <w:tc>
          <w:tcPr/>
          <w:p>
            <w:pPr>
              <w:pStyle w:val="Compact"/>
              <w:jc w:val="left"/>
            </w:pPr>
            <w:r>
              <w:t xml:space="preserve">D Rialzo forte</w:t>
            </w:r>
          </w:p>
        </w:tc>
        <w:tc>
          <w:tcPr/>
          <w:p>
            <w:pPr>
              <w:pStyle w:val="Compact"/>
              <w:jc w:val="left"/>
            </w:pPr>
            <w:r>
              <w:t xml:space="preserve">$3.545–5.909 (ATH $4.950 all'interno)</w:t>
            </w:r>
          </w:p>
        </w:tc>
        <w:tc>
          <w:tcPr/>
          <w:p>
            <w:pPr>
              <w:pStyle w:val="Compact"/>
              <w:jc w:val="left"/>
            </w:pPr>
            <w:r>
              <w:t xml:space="preserve">14,6%</w:t>
            </w:r>
          </w:p>
        </w:tc>
        <w:tc>
          <w:tcPr/>
          <w:p>
            <w:pPr>
              <w:pStyle w:val="Compact"/>
              <w:jc w:val="left"/>
            </w:pPr>
            <w:r>
              <w:rPr>
                <w:bCs/>
                <w:b/>
              </w:rPr>
              <w:t xml:space="preserve">13,8%</w:t>
            </w:r>
          </w:p>
        </w:tc>
        <w:tc>
          <w:tcPr/>
          <w:p>
            <w:pPr>
              <w:pStyle w:val="Compact"/>
              <w:jc w:val="left"/>
            </w:pPr>
            <w:r>
              <w:t xml:space="preserve">11,8%</w:t>
            </w:r>
          </w:p>
        </w:tc>
      </w:tr>
      <w:tr>
        <w:tc>
          <w:tcPr/>
          <w:p>
            <w:pPr>
              <w:pStyle w:val="Compact"/>
              <w:jc w:val="left"/>
            </w:pPr>
            <w:r>
              <w:t xml:space="preserve">E Euforia</w:t>
            </w:r>
          </w:p>
        </w:tc>
        <w:tc>
          <w:tcPr/>
          <w:p>
            <w:pPr>
              <w:pStyle w:val="Compact"/>
              <w:jc w:val="left"/>
            </w:pPr>
            <w:r>
              <w:t xml:space="preserve">&gt; $5.909 (oltre +127%)</w:t>
            </w:r>
          </w:p>
        </w:tc>
        <w:tc>
          <w:tcPr/>
          <w:p>
            <w:pPr>
              <w:pStyle w:val="Compact"/>
              <w:jc w:val="left"/>
            </w:pPr>
            <w:r>
              <w:t xml:space="preserve">13,9%</w:t>
            </w:r>
          </w:p>
        </w:tc>
        <w:tc>
          <w:tcPr/>
          <w:p>
            <w:pPr>
              <w:pStyle w:val="Compact"/>
              <w:jc w:val="left"/>
            </w:pPr>
            <w:r>
              <w:rPr>
                <w:bCs/>
                <w:b/>
              </w:rPr>
              <w:t xml:space="preserve">9,8%</w:t>
            </w:r>
          </w:p>
        </w:tc>
        <w:tc>
          <w:tcPr/>
          <w:p>
            <w:pPr>
              <w:pStyle w:val="Compact"/>
              <w:jc w:val="left"/>
            </w:pPr>
            <w:r>
              <w:t xml:space="preserve">5,8%</w:t>
            </w:r>
          </w:p>
        </w:tc>
      </w:tr>
      <w:tr>
        <w:tc>
          <w:tcPr/>
          <w:p>
            <w:pPr>
              <w:pStyle w:val="Compact"/>
              <w:jc w:val="left"/>
            </w:pPr>
            <w:r>
              <w:t xml:space="preserve">P(ETH ≥ +50%, cioè ≥ $3.900)</w:t>
            </w:r>
          </w:p>
        </w:tc>
        <w:tc>
          <w:tcPr/>
          <w:p>
            <w:pPr>
              <w:pStyle w:val="Compact"/>
              <w:jc w:val="left"/>
            </w:pPr>
            <w:r>
              <w:t xml:space="preserve">—</w:t>
            </w:r>
          </w:p>
        </w:tc>
        <w:tc>
          <w:tcPr/>
          <w:p>
            <w:pPr>
              <w:pStyle w:val="Compact"/>
              <w:jc w:val="left"/>
            </w:pPr>
            <w:r>
              <w:t xml:space="preserve">23,9%</w:t>
            </w:r>
          </w:p>
        </w:tc>
        <w:tc>
          <w:tcPr/>
          <w:p>
            <w:pPr>
              <w:pStyle w:val="Compact"/>
              <w:jc w:val="left"/>
            </w:pPr>
            <w:r>
              <w:rPr>
                <w:bCs/>
                <w:b/>
              </w:rPr>
              <w:t xml:space="preserve">19,3%</w:t>
            </w:r>
          </w:p>
        </w:tc>
        <w:tc>
          <w:tcPr/>
          <w:p>
            <w:pPr>
              <w:pStyle w:val="Compact"/>
              <w:jc w:val="left"/>
            </w:pPr>
            <w:r>
              <w:t xml:space="preserve">13,9%</w:t>
            </w:r>
          </w:p>
        </w:tc>
      </w:tr>
      <w:tr>
        <w:tc>
          <w:tcPr/>
          <w:p>
            <w:pPr>
              <w:pStyle w:val="Compact"/>
              <w:jc w:val="left"/>
            </w:pPr>
            <w:r>
              <w:t xml:space="preserve">P(ETH ≥ +100%, cioè ≥ $5.200)</w:t>
            </w:r>
          </w:p>
        </w:tc>
        <w:tc>
          <w:tcPr/>
          <w:p>
            <w:pPr>
              <w:pStyle w:val="Compact"/>
              <w:jc w:val="left"/>
            </w:pPr>
            <w:r>
              <w:t xml:space="preserve">—</w:t>
            </w:r>
          </w:p>
        </w:tc>
        <w:tc>
          <w:tcPr/>
          <w:p>
            <w:pPr>
              <w:pStyle w:val="Compact"/>
              <w:jc w:val="left"/>
            </w:pPr>
            <w:r>
              <w:t xml:space="preserve">16,1%</w:t>
            </w:r>
          </w:p>
        </w:tc>
        <w:tc>
          <w:tcPr/>
          <w:p>
            <w:pPr>
              <w:pStyle w:val="Compact"/>
              <w:jc w:val="left"/>
            </w:pPr>
            <w:r>
              <w:rPr>
                <w:bCs/>
                <w:b/>
              </w:rPr>
              <w:t xml:space="preserve">11,9%</w:t>
            </w:r>
          </w:p>
        </w:tc>
        <w:tc>
          <w:tcPr/>
          <w:p>
            <w:pPr>
              <w:pStyle w:val="Compact"/>
              <w:jc w:val="left"/>
            </w:pPr>
            <w:r>
              <w:t xml:space="preserve">7,4%</w:t>
            </w:r>
          </w:p>
        </w:tc>
      </w:tr>
    </w:tbl>
    <w:p>
      <w:pPr>
        <w:pStyle w:val="BodyText"/>
      </w:pPr>
      <w:r>
        <w:t xml:space="preserve">Stime del modello. La lognormale che meglio approssima il blend Base di ETH ha drift +8% e volatilità 64%, usata nel Monte Carlo solo per generare i percorsi.</w:t>
      </w:r>
    </w:p>
    <w:bookmarkEnd w:id="70"/>
    <w:bookmarkStart w:id="87" w:name="X91be410ea25fa53568032add5c72eb4fef75f1a"/>
    <w:p>
      <w:pPr>
        <w:pStyle w:val="Heading3"/>
      </w:pPr>
      <w:r>
        <w:t xml:space="preserve">Robinhood Chain: una L2 di tre mesi con attività a −96/−97% dal picco</w:t>
      </w:r>
    </w:p>
    <w:p>
      <w:pPr>
        <w:pStyle w:val="FirstParagraph"/>
      </w:pPr>
      <w:r>
        <w:t xml:space="preserve">CASHCAT richiede un contesto che nessun altro token ha: la sua chain esiste da quattordici settimane.</w:t>
      </w:r>
      <w:r>
        <w:t xml:space="preserve"> </w:t>
      </w:r>
      <w:r>
        <w:rPr>
          <w:bCs/>
          <w:b/>
        </w:rPr>
        <w:t xml:space="preserve">Robinhood Chain</w:t>
      </w:r>
      <w:r>
        <w:t xml:space="preserve"> </w:t>
      </w:r>
      <w:r>
        <w:t xml:space="preserve">è una L2 Arbitrum Orbit (chain ID 4663) con sequencer gestito da Robinhood, testnet pubblica dal 10 febbraio 2026 e</w:t>
      </w:r>
      <w:r>
        <w:t xml:space="preserve"> </w:t>
      </w:r>
      <w:r>
        <w:rPr>
          <w:bCs/>
          <w:b/>
        </w:rPr>
        <w:t xml:space="preserve">mainnet dal 1° luglio 2026</w:t>
      </w:r>
      <w:r>
        <w:t xml:space="preserve">; Robinhood trattiene circa l'89% delle fee lorde (</w:t>
      </w:r>
      <w:hyperlink r:id="rId71">
        <w:r>
          <w:rPr>
            <w:rStyle w:val="Hyperlink"/>
          </w:rPr>
          <w:t xml:space="preserve">Crypto Briefing</w:t>
        </w:r>
      </w:hyperlink>
      <w:r>
        <w:t xml:space="preserve">). La base strutturale è reale: TVL a circa</w:t>
      </w:r>
      <w:r>
        <w:t xml:space="preserve"> </w:t>
      </w:r>
      <w:r>
        <w:rPr>
          <w:bCs/>
          <w:b/>
        </w:rPr>
        <w:t xml:space="preserve">$1,03 mld</w:t>
      </w:r>
      <w:r>
        <w:t xml:space="preserve"> </w:t>
      </w:r>
      <w:r>
        <w:t xml:space="preserve">al 1° ottobre,</w:t>
      </w:r>
      <w:r>
        <w:t xml:space="preserve"> </w:t>
      </w:r>
      <w:r>
        <w:rPr>
          <w:bCs/>
          <w:b/>
        </w:rPr>
        <w:t xml:space="preserve">$15 mld di volume DEX in azioni tokenizzate nei primi 100 giorni</w:t>
      </w:r>
      <w:r>
        <w:t xml:space="preserve"> </w:t>
      </w:r>
      <w:r>
        <w:t xml:space="preserve">con oltre 190 titoli e 200.000 holder in più di 120 paesi, utenti attivi giornalieri che hanno superato Base tre settimane dopo il lancio (</w:t>
      </w:r>
      <w:hyperlink r:id="rId72">
        <w:r>
          <w:rPr>
            <w:rStyle w:val="Hyperlink"/>
          </w:rPr>
          <w:t xml:space="preserve">CryptoTicker</w:t>
        </w:r>
      </w:hyperlink>
      <w:r>
        <w:t xml:space="preserve">;</w:t>
      </w:r>
      <w:r>
        <w:t xml:space="preserve"> </w:t>
      </w:r>
      <w:hyperlink r:id="rId73">
        <w:r>
          <w:rPr>
            <w:rStyle w:val="Hyperlink"/>
          </w:rPr>
          <w:t xml:space="preserve">Crypto Briefing</w:t>
        </w:r>
      </w:hyperlink>
      <w:r>
        <w:t xml:space="preserve">;</w:t>
      </w:r>
      <w:r>
        <w:t xml:space="preserve"> </w:t>
      </w:r>
      <w:hyperlink r:id="rId74">
        <w:r>
          <w:rPr>
            <w:rStyle w:val="Hyperlink"/>
          </w:rPr>
          <w:t xml:space="preserve">The Defiant</w:t>
        </w:r>
      </w:hyperlink>
      <w:r>
        <w:t xml:space="preserve">). Ma la componente meme, quella da cui CASHCAT dipende, è collassata: le fee giornaliere, che a inizio settembre avevano superato quelle di Solana, Base ed Ethereum con un picco di circa $8 mln, sono scese</w:t>
      </w:r>
      <w:r>
        <w:t xml:space="preserve"> </w:t>
      </w:r>
      <w:r>
        <w:rPr>
          <w:bCs/>
          <w:b/>
        </w:rPr>
        <w:t xml:space="preserve">del 97% a circa $230.000</w:t>
      </w:r>
      <w:r>
        <w:t xml:space="preserve"> </w:t>
      </w:r>
      <w:r>
        <w:t xml:space="preserve">entro il 16 settembre; il volume giornaliero delle coppie meme-azioni tokenizzate, salito a $440 mln a inizio settembre, è</w:t>
      </w:r>
      <w:r>
        <w:t xml:space="preserve"> </w:t>
      </w:r>
      <w:r>
        <w:rPr>
          <w:bCs/>
          <w:b/>
        </w:rPr>
        <w:t xml:space="preserve">sceso del 96%</w:t>
      </w:r>
      <w:r>
        <w:t xml:space="preserve">; le transazioni giornaliere sono</w:t>
      </w:r>
      <w:r>
        <w:t xml:space="preserve"> </w:t>
      </w:r>
      <w:r>
        <w:rPr>
          <w:bCs/>
          <w:b/>
        </w:rPr>
        <w:t xml:space="preserve">calate del 42% a 6,2 mln</w:t>
      </w:r>
      <w:r>
        <w:t xml:space="preserve"> </w:t>
      </w:r>
      <w:r>
        <w:t xml:space="preserve">a inizio ottobre rispetto a metà settembre (</w:t>
      </w:r>
      <w:hyperlink r:id="rId75">
        <w:r>
          <w:rPr>
            <w:rStyle w:val="Hyperlink"/>
          </w:rPr>
          <w:t xml:space="preserve">Cryptowisser</w:t>
        </w:r>
      </w:hyperlink>
      <w:r>
        <w:t xml:space="preserve">;</w:t>
      </w:r>
      <w:r>
        <w:t xml:space="preserve"> </w:t>
      </w:r>
      <w:hyperlink r:id="rId76">
        <w:r>
          <w:rPr>
            <w:rStyle w:val="Hyperlink"/>
          </w:rPr>
          <w:t xml:space="preserve">Crypto Briefing</w:t>
        </w:r>
      </w:hyperlink>
      <w:r>
        <w:t xml:space="preserve">;</w:t>
      </w:r>
      <w:r>
        <w:t xml:space="preserve"> </w:t>
      </w:r>
      <w:hyperlink r:id="rId77">
        <w:r>
          <w:rPr>
            <w:rStyle w:val="Hyperlink"/>
          </w:rPr>
          <w:t xml:space="preserve">The Daily Hodl, 12 ott 2026</w:t>
        </w:r>
      </w:hyperlink>
      <w:r>
        <w:t xml:space="preserve">). Il</w:t>
      </w:r>
      <w:r>
        <w:t xml:space="preserve"> </w:t>
      </w:r>
      <w:r>
        <w:rPr>
          <w:bCs/>
          <w:b/>
        </w:rPr>
        <w:t xml:space="preserve">sussidio di 90 giorni sul gas</w:t>
      </w:r>
      <w:r>
        <w:t xml:space="preserve"> </w:t>
      </w:r>
      <w:r>
        <w:t xml:space="preserve">per le transazioni dal Robinhood Wallet è scaduto il</w:t>
      </w:r>
      <w:r>
        <w:t xml:space="preserve"> </w:t>
      </w:r>
      <w:r>
        <w:rPr>
          <w:bCs/>
          <w:b/>
        </w:rPr>
        <w:t xml:space="preserve">29 settembre</w:t>
      </w:r>
      <w:r>
        <w:t xml:space="preserve">, con un solo rapporto discordante che parla di una proroga al 31 dicembre per gli swap sopra $0,50 (</w:t>
      </w:r>
      <w:hyperlink r:id="rId78">
        <w:r>
          <w:rPr>
            <w:rStyle w:val="Hyperlink"/>
          </w:rPr>
          <w:t xml:space="preserve">KuCoin News</w:t>
        </w:r>
      </w:hyperlink>
      <w:r>
        <w:t xml:space="preserve">;</w:t>
      </w:r>
      <w:r>
        <w:t xml:space="preserve"> </w:t>
      </w:r>
      <w:hyperlink r:id="rId79">
        <w:r>
          <w:rPr>
            <w:rStyle w:val="Hyperlink"/>
          </w:rPr>
          <w:t xml:space="preserve">FinanceFeeds</w:t>
        </w:r>
      </w:hyperlink>
      <w:r>
        <w:t xml:space="preserve">). Il launchpad Noxa, che ha lanciato CASHCAT e 60.000 altri token, ha sospeso i lanci l'11 luglio ed è sparito; il suo successore Pons ha incassato $124 mln di fee in 30 giorni e poi $10 mln in una settimana, e il token PONS è a −71% dall'ATH; il 30 settembre è stato scoperto un anello di rug pull da $18,4 mln su 53 lanci (</w:t>
      </w:r>
      <w:hyperlink r:id="rId80">
        <w:r>
          <w:rPr>
            <w:rStyle w:val="Hyperlink"/>
          </w:rPr>
          <w:t xml:space="preserve">crypto.news</w:t>
        </w:r>
      </w:hyperlink>
      <w:r>
        <w:t xml:space="preserve">;</w:t>
      </w:r>
      <w:r>
        <w:t xml:space="preserve"> </w:t>
      </w:r>
      <w:hyperlink r:id="rId81">
        <w:r>
          <w:rPr>
            <w:rStyle w:val="Hyperlink"/>
          </w:rPr>
          <w:t xml:space="preserve">Memeburn</w:t>
        </w:r>
      </w:hyperlink>
      <w:r>
        <w:t xml:space="preserve">;</w:t>
      </w:r>
      <w:r>
        <w:t xml:space="preserve"> </w:t>
      </w:r>
      <w:hyperlink r:id="rId82">
        <w:r>
          <w:rPr>
            <w:rStyle w:val="Hyperlink"/>
          </w:rPr>
          <w:t xml:space="preserve">AMBCrypto</w:t>
        </w:r>
      </w:hyperlink>
      <w:r>
        <w:t xml:space="preserve">;</w:t>
      </w:r>
      <w:r>
        <w:t xml:space="preserve"> </w:t>
      </w:r>
      <w:hyperlink r:id="rId83">
        <w:r>
          <w:rPr>
            <w:rStyle w:val="Hyperlink"/>
          </w:rPr>
          <w:t xml:space="preserve">CoinAlertNews</w:t>
        </w:r>
      </w:hyperlink>
      <w:r>
        <w:t xml:space="preserve">). Sul piano tecnico la chain ha un solo sequencer senza fallback permissionless, due challenger whitelisted per le fraud proof, un multisig 7-su-8 per gli upgrade con aggiornabilità istantanea segnalata da L2Beat, una finestra di uscita di sette giorni e un'interruzione di 14 minuti il 4 settembre (</w:t>
      </w:r>
      <w:hyperlink r:id="rId84">
        <w:r>
          <w:rPr>
            <w:rStyle w:val="Hyperlink"/>
          </w:rPr>
          <w:t xml:space="preserve">QuillAudits</w:t>
        </w:r>
      </w:hyperlink>
      <w:r>
        <w:t xml:space="preserve">). Infine c'è il driver azionario:</w:t>
      </w:r>
      <w:r>
        <w:t xml:space="preserve"> </w:t>
      </w:r>
      <w:r>
        <w:rPr>
          <w:bCs/>
          <w:b/>
        </w:rPr>
        <w:t xml:space="preserve">HOOD</w:t>
      </w:r>
      <w:r>
        <w:t xml:space="preserve"> </w:t>
      </w:r>
      <w:r>
        <w:t xml:space="preserve">ha aperto a $109,22 il 13 ottobre (range a 52 settimane $63,51–150,47), Evercore ha avviato la copertura con Outperform e target $130, Truist con target $134, e i risultati trimestrali sono attesi il</w:t>
      </w:r>
      <w:r>
        <w:t xml:space="preserve"> </w:t>
      </w:r>
      <w:r>
        <w:rPr>
          <w:bCs/>
          <w:b/>
        </w:rPr>
        <w:t xml:space="preserve">27 ottobre</w:t>
      </w:r>
      <w:r>
        <w:t xml:space="preserve"> </w:t>
      </w:r>
      <w:r>
        <w:t xml:space="preserve">(</w:t>
      </w:r>
      <w:hyperlink r:id="rId85">
        <w:r>
          <w:rPr>
            <w:rStyle w:val="Hyperlink"/>
          </w:rPr>
          <w:t xml:space="preserve">MarketBeat, Evercore</w:t>
        </w:r>
      </w:hyperlink>
      <w:r>
        <w:t xml:space="preserve">;</w:t>
      </w:r>
      <w:r>
        <w:t xml:space="preserve"> </w:t>
      </w:r>
      <w:hyperlink r:id="rId86">
        <w:r>
          <w:rPr>
            <w:rStyle w:val="Hyperlink"/>
          </w:rPr>
          <w:t xml:space="preserve">MarketBeat, Truist</w:t>
        </w:r>
      </w:hyperlink>
      <w:r>
        <w:t xml:space="preserve">). Il modello non costruisce una distribuzione di prezzo per HOOD o per la chain; traduce questo quadro in un fattore a tre stati, descritto nel passo 3.</w:t>
      </w:r>
    </w:p>
    <w:bookmarkEnd w:id="87"/>
    <w:bookmarkEnd w:id="88"/>
    <w:bookmarkStart w:id="129" w:name="X1e1d721e1e302e6230fb93534ceac2bdc315676"/>
    <w:p>
      <w:pPr>
        <w:pStyle w:val="Heading2"/>
      </w:pPr>
      <w:r>
        <w:t xml:space="preserve">Passo 2: quando SOL sale, una meme consolidata raddoppia una volta su quattro</w:t>
      </w:r>
    </w:p>
    <w:p>
      <w:pPr>
        <w:pStyle w:val="FirstParagraph"/>
      </w:pPr>
      <w:r>
        <w:t xml:space="preserve">Il secondo passaggio è la domanda centrale: se SOL sale, le memecoin già esistenti salgono con lui? La risposta dei dati è "sempre meno", e in tre fasi. Nel</w:t>
      </w:r>
      <w:r>
        <w:t xml:space="preserve"> </w:t>
      </w:r>
      <w:r>
        <w:rPr>
          <w:bCs/>
          <w:b/>
        </w:rPr>
        <w:t xml:space="preserve">2024</w:t>
      </w:r>
      <w:r>
        <w:t xml:space="preserve"> </w:t>
      </w:r>
      <w:r>
        <w:t xml:space="preserve">sì, e con leva: a dicembre 2023 BONK fece +572% nel mese contro +25–30% di SOL; a novembre 2024 SOL fece +43% mentre BONK faceva +175% e WIF +98%, e POPCAT segnò un nuovo ATH a $1,69–1,75 a fine ottobre; WIF chiuse il 2024 a +2.080% (</w:t>
      </w:r>
      <w:hyperlink r:id="rId89">
        <w:r>
          <w:rPr>
            <w:rStyle w:val="Hyperlink"/>
          </w:rPr>
          <w:t xml:space="preserve">Blockonomi</w:t>
        </w:r>
      </w:hyperlink>
      <w:r>
        <w:t xml:space="preserve">;</w:t>
      </w:r>
      <w:r>
        <w:t xml:space="preserve"> </w:t>
      </w:r>
      <w:hyperlink r:id="rId90">
        <w:r>
          <w:rPr>
            <w:rStyle w:val="Hyperlink"/>
          </w:rPr>
          <w:t xml:space="preserve">Cryptorank</w:t>
        </w:r>
      </w:hyperlink>
      <w:r>
        <w:t xml:space="preserve">;</w:t>
      </w:r>
      <w:r>
        <w:t xml:space="preserve"> </w:t>
      </w:r>
      <w:hyperlink r:id="rId91">
        <w:r>
          <w:rPr>
            <w:rStyle w:val="Hyperlink"/>
          </w:rPr>
          <w:t xml:space="preserve">FXEmpire</w:t>
        </w:r>
      </w:hyperlink>
      <w:r>
        <w:t xml:space="preserve">). In quelle finestre la maggioranza delle meme consolidate (probabilmente oltre il 70%) salì e la mediana batté SOL. Nel</w:t>
      </w:r>
      <w:r>
        <w:t xml:space="preserve"> </w:t>
      </w:r>
      <w:r>
        <w:rPr>
          <w:bCs/>
          <w:b/>
        </w:rPr>
        <w:t xml:space="preserve">2025</w:t>
      </w:r>
      <w:r>
        <w:t xml:space="preserve"> </w:t>
      </w:r>
      <w:r>
        <w:t xml:space="preserve">il legame si è rotto su orizzonti di mesi: nei rialzi di SOL del secondo e terzo trimestre (+24% e +35%) le grandi meme corsero per giorni o settimane (BONK +70% a luglio 2025 fino a $2,29 mld) ma a inizio agosto BONK era già −41% dal picco di luglio e WIF −75% da inizio anno (</w:t>
      </w:r>
      <w:hyperlink r:id="rId92">
        <w:r>
          <w:rPr>
            <w:rStyle w:val="Hyperlink"/>
          </w:rPr>
          <w:t xml:space="preserve">Changelly</w:t>
        </w:r>
      </w:hyperlink>
      <w:r>
        <w:t xml:space="preserve">;</w:t>
      </w:r>
      <w:r>
        <w:t xml:space="preserve"> </w:t>
      </w:r>
      <w:hyperlink r:id="rId93">
        <w:r>
          <w:rPr>
            <w:rStyle w:val="Hyperlink"/>
          </w:rPr>
          <w:t xml:space="preserve">Mitrade</w:t>
        </w:r>
      </w:hyperlink>
      <w:r>
        <w:t xml:space="preserve">); su tutto il periodo gennaio 2025–febbraio 2026 un paniere equipesato delle dieci maggiori memecoin ha reso</w:t>
      </w:r>
      <w:r>
        <w:t xml:space="preserve"> </w:t>
      </w:r>
      <w:r>
        <w:rPr>
          <w:bCs/>
          <w:b/>
        </w:rPr>
        <w:t xml:space="preserve">−78,7% contro −30,7% di Bitcoin</w:t>
      </w:r>
      <w:r>
        <w:t xml:space="preserve">, con drawdown massimi del 94% per BRETT e del 93% per POPCAT (</w:t>
      </w:r>
      <w:hyperlink r:id="rId94">
        <w:r>
          <w:rPr>
            <w:rStyle w:val="Hyperlink"/>
          </w:rPr>
          <w:t xml:space="preserve">Krause, "An Empirical Analysis of Meme Coin Performance 2025–2026"</w:t>
        </w:r>
      </w:hyperlink>
      <w:r>
        <w:t xml:space="preserve">). Nel</w:t>
      </w:r>
      <w:r>
        <w:t xml:space="preserve"> </w:t>
      </w:r>
      <w:r>
        <w:rPr>
          <w:bCs/>
          <w:b/>
        </w:rPr>
        <w:t xml:space="preserve">2026</w:t>
      </w:r>
      <w:r>
        <w:t xml:space="preserve"> </w:t>
      </w:r>
      <w:r>
        <w:t xml:space="preserve">il legame si è annullato: tra fine marzo e inizio ottobre la categoria "Solana Meme Coins" di CoinGecko è passata da circa $3,68 mld a $3,27–3,90 mld (tra −11% e +6%) mentre SOL saliva del 39% nel terzo trimestre secondo CoinLore e di circa il 60% secondo le chiusure mensili, e la "rotazione di liquidità" di settembre è stata guidata da ZCAT, un token nato in quei giorni e salito del 500% in 24 ore (</w:t>
      </w:r>
      <w:hyperlink r:id="rId95">
        <w:r>
          <w:rPr>
            <w:rStyle w:val="Hyperlink"/>
          </w:rPr>
          <w:t xml:space="preserve">The Crypto Times</w:t>
        </w:r>
      </w:hyperlink>
      <w:r>
        <w:t xml:space="preserve">;</w:t>
      </w:r>
      <w:r>
        <w:t xml:space="preserve"> </w:t>
      </w:r>
      <w:hyperlink r:id="rId96">
        <w:r>
          <w:rPr>
            <w:rStyle w:val="Hyperlink"/>
          </w:rPr>
          <w:t xml:space="preserve">CoinDCX</w:t>
        </w:r>
      </w:hyperlink>
      <w:r>
        <w:t xml:space="preserve">;</w:t>
      </w:r>
      <w:r>
        <w:t xml:space="preserve"> </w:t>
      </w:r>
      <w:hyperlink r:id="rId97">
        <w:r>
          <w:rPr>
            <w:rStyle w:val="Hyperlink"/>
          </w:rPr>
          <w:t xml:space="preserve">Cryptonews</w:t>
        </w:r>
      </w:hyperlink>
      <w:r>
        <w:t xml:space="preserve">;</w:t>
      </w:r>
      <w:r>
        <w:t xml:space="preserve"> </w:t>
      </w:r>
      <w:hyperlink r:id="rId98">
        <w:r>
          <w:rPr>
            <w:rStyle w:val="Hyperlink"/>
          </w:rPr>
          <w:t xml:space="preserve">Bitget News</w:t>
        </w:r>
      </w:hyperlink>
      <w:r>
        <w:t xml:space="preserve">). Le meme consolidate hanno prodotto solo spike settimanali del 20%.</w:t>
      </w:r>
    </w:p>
    <w:p>
      <w:pPr>
        <w:pStyle w:val="BodyText"/>
      </w:pPr>
      <w:r>
        <w:t xml:space="preserve">Il motivo strutturale è che il circuito "meme generano fee su Solana, SOL forte genera domanda di meme" del 2024 si è indebolito: la quota delle memecoin nel volume spot di Solana è scesa dal 40% del primo semestre 2025 al 16% del primo semestre 2026, il tempo mediano di detenzione di una memecoin Solana è passato da circa 300 secondi nel 2024 a 58 secondi nel 2026, e nessuna fonte (Kaiko, Messari, Galaxy, lavori accademici) pubblica un beta formale delle meme Solana rispetto a SOL; l'unica evidenza quantitativa è che BONK ha "beta elevato a SOL" su finestre di 30–90 giorni ma con correlazione che si indebolisce proprio quando BONK sovraperforma (</w:t>
      </w:r>
      <w:hyperlink r:id="rId60">
        <w:r>
          <w:rPr>
            <w:rStyle w:val="Hyperlink"/>
          </w:rPr>
          <w:t xml:space="preserve">21Shares</w:t>
        </w:r>
      </w:hyperlink>
      <w:r>
        <w:t xml:space="preserve">;</w:t>
      </w:r>
      <w:r>
        <w:t xml:space="preserve"> </w:t>
      </w:r>
      <w:hyperlink r:id="rId99">
        <w:r>
          <w:rPr>
            <w:rStyle w:val="Hyperlink"/>
          </w:rPr>
          <w:t xml:space="preserve">Phemex</w:t>
        </w:r>
      </w:hyperlink>
      <w:r>
        <w:t xml:space="preserve">;</w:t>
      </w:r>
      <w:r>
        <w:t xml:space="preserve"> </w:t>
      </w:r>
      <w:hyperlink r:id="rId100">
        <w:r>
          <w:rPr>
            <w:rStyle w:val="Hyperlink"/>
          </w:rPr>
          <w:t xml:space="preserve">PANews/DeFi Report</w:t>
        </w:r>
      </w:hyperlink>
      <w:r>
        <w:t xml:space="preserve">). In sintesi, le meme sono ad alto beta su giorni e settimane ma con R² basso: su dodici mesi domina la componente idiosincratica (attenzione, lanci nuovi), non la chain.</w:t>
      </w:r>
    </w:p>
    <w:p>
      <w:pPr>
        <w:pStyle w:val="BodyText"/>
      </w:pPr>
      <w:r>
        <w:t xml:space="preserve">Il dato più duro è quello sulla</w:t>
      </w:r>
      <w:r>
        <w:t xml:space="preserve"> </w:t>
      </w:r>
      <w:r>
        <w:rPr>
          <w:bCs/>
          <w:b/>
        </w:rPr>
        <w:t xml:space="preserve">sopravvivenza</w:t>
      </w:r>
      <w:r>
        <w:t xml:space="preserve">. Coin Metrics, nello "State of the Network" n. 384 del 6–7 ottobre 2026, ha studiato 150 memecoin Solana lanciate da dicembre 2023 con un prezzo su CEX:</w:t>
      </w:r>
      <w:r>
        <w:t xml:space="preserve"> </w:t>
      </w:r>
      <w:r>
        <w:rPr>
          <w:bCs/>
          <w:b/>
        </w:rPr>
        <w:t xml:space="preserve">l'81% è sceso del 90% o più dal massimo, solo 5 token (3,3%) sono mai tornati all'ATH, due terzi non hanno mai avuto un secondo rally</w:t>
      </w:r>
      <w:r>
        <w:t xml:space="preserve">, il token mediano tocca l'ATH 17 giorni dopo il primo scambio e impiega 370 giorni a scendere a −95%; conclusione testuale, "il recupero sostanzialmente non avviene" (</w:t>
      </w:r>
      <w:hyperlink r:id="rId101">
        <w:r>
          <w:rPr>
            <w:rStyle w:val="Hyperlink"/>
          </w:rPr>
          <w:t xml:space="preserve">Coin Metrics</w:t>
        </w:r>
      </w:hyperlink>
      <w:r>
        <w:t xml:space="preserve">;</w:t>
      </w:r>
      <w:r>
        <w:t xml:space="preserve"> </w:t>
      </w:r>
      <w:hyperlink r:id="rId102">
        <w:r>
          <w:rPr>
            <w:rStyle w:val="Hyperlink"/>
          </w:rPr>
          <w:t xml:space="preserve">KuCoin News</w:t>
        </w:r>
      </w:hyperlink>
      <w:r>
        <w:t xml:space="preserve">;</w:t>
      </w:r>
      <w:r>
        <w:t xml:space="preserve"> </w:t>
      </w:r>
      <w:hyperlink r:id="rId103">
        <w:r>
          <w:rPr>
            <w:rStyle w:val="Hyperlink"/>
          </w:rPr>
          <w:t xml:space="preserve">TechFlow</w:t>
        </w:r>
      </w:hyperlink>
      <w:r>
        <w:t xml:space="preserve">). Il campione è distorto verso i sopravvissuti (richiede un prezzo CEX), quindi l'universo largo è ancora più severo: Solidus Labs classifica come rug pull o pump-and-dump il 98,6% dei token pump.fun lanciati tra gennaio 2024 e marzo 2025 (</w:t>
      </w:r>
      <w:hyperlink r:id="rId104">
        <w:r>
          <w:rPr>
            <w:rStyle w:val="Hyperlink"/>
          </w:rPr>
          <w:t xml:space="preserve">CoinDesk</w:t>
        </w:r>
      </w:hyperlink>
      <w:r>
        <w:t xml:space="preserve">). Il pattern di sostituzione vale anche per i leader: DOGE e SHIB non hanno mai ripreso i massimi del 2021 nemmeno quando il settore meme ha segnato un nuovo record di $150,6 mld a dicembre 2024, e ad aprile 2026 erano rispettivamente a −86% e −93% (</w:t>
      </w:r>
      <w:hyperlink r:id="rId105">
        <w:r>
          <w:rPr>
            <w:rStyle w:val="Hyperlink"/>
          </w:rPr>
          <w:t xml:space="preserve">CoinGecko State of Memecoins 2025</w:t>
        </w:r>
      </w:hyperlink>
      <w:r>
        <w:t xml:space="preserve">;</w:t>
      </w:r>
      <w:r>
        <w:t xml:space="preserve"> </w:t>
      </w:r>
      <w:hyperlink r:id="rId106">
        <w:r>
          <w:rPr>
            <w:rStyle w:val="Hyperlink"/>
          </w:rPr>
          <w:t xml:space="preserve">Motley Fool</w:t>
        </w:r>
      </w:hyperlink>
      <w:r>
        <w:t xml:space="preserve">). I listing su exchange di prima fascia, che molti considerano il catalizzatore decisivo, danno +10–80% in uno o due giorni ma rendimenti negativi a tre e sei mesi (−22,7% e −37,6% nella serie Binance 2017–2024 di Empirica; solo il 5,5% dei listing Binance del 2024 era positivo dopo sei mesi): sono catalizzatori di trading, non motori di rendimento annuale (</w:t>
      </w:r>
      <w:hyperlink r:id="rId107">
        <w:r>
          <w:rPr>
            <w:rStyle w:val="Hyperlink"/>
          </w:rPr>
          <w:t xml:space="preserve">Empirica</w:t>
        </w:r>
      </w:hyperlink>
      <w:r>
        <w:t xml:space="preserve">).</w:t>
      </w:r>
    </w:p>
    <w:p>
      <w:pPr>
        <w:pStyle w:val="BodyText"/>
      </w:pPr>
      <w:r>
        <w:t xml:space="preserve">Da queste evidenze il modello costruisce la tabella condizionata per una</w:t>
      </w:r>
      <w:r>
        <w:t xml:space="preserve"> </w:t>
      </w:r>
      <w:r>
        <w:rPr>
          <w:bCs/>
          <w:b/>
        </w:rPr>
        <w:t xml:space="preserve">memecoin consolidata generica</w:t>
      </w:r>
      <w:r>
        <w:t xml:space="preserve"> </w:t>
      </w:r>
      <w:r>
        <w:t xml:space="preserve">(non un lancio nuovo), che è il cuore di tutto il calcolo per sette token su otto. Ogni cella è un'assunzione ragionata: nello scenario A (crollo) l'amplificazione al ribasso di 2–2,5× del 2025 mette la meme tipica a −70/−90%; nello scenario C (SOL +0–36%) la risposta è quella del 2025 e del terzo trimestre 2026, rally brevi e categoria piatta; lo scenario D sta a metà tra la risposta 2024 e quella 2025–26; lo scenario E (SOL oltre +127%, cioè al nuovo ATH) usa dicembre 2023 e novembre 2024 come analogie, ma riserva i 10× ai leader e ai lanci nuovi.</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Scenario SOL</w:t>
            </w:r>
          </w:p>
        </w:tc>
        <w:tc>
          <w:tcPr/>
          <w:p>
            <w:pPr>
              <w:pStyle w:val="Compact"/>
              <w:jc w:val="left"/>
            </w:pPr>
            <w:r>
              <w:t xml:space="preserve">≥ +50%</w:t>
            </w:r>
          </w:p>
        </w:tc>
        <w:tc>
          <w:tcPr/>
          <w:p>
            <w:pPr>
              <w:pStyle w:val="Compact"/>
              <w:jc w:val="left"/>
            </w:pPr>
            <w:r>
              <w:t xml:space="preserve">≥ 2x</w:t>
            </w:r>
          </w:p>
        </w:tc>
        <w:tc>
          <w:tcPr/>
          <w:p>
            <w:pPr>
              <w:pStyle w:val="Compact"/>
              <w:jc w:val="left"/>
            </w:pPr>
            <w:r>
              <w:t xml:space="preserve">≥ 3x</w:t>
            </w:r>
          </w:p>
        </w:tc>
        <w:tc>
          <w:tcPr/>
          <w:p>
            <w:pPr>
              <w:pStyle w:val="Compact"/>
              <w:jc w:val="left"/>
            </w:pPr>
            <w:r>
              <w:t xml:space="preserve">≥ 5x</w:t>
            </w:r>
          </w:p>
        </w:tc>
        <w:tc>
          <w:tcPr/>
          <w:p>
            <w:pPr>
              <w:pStyle w:val="Compact"/>
              <w:jc w:val="left"/>
            </w:pPr>
            <w:r>
              <w:t xml:space="preserve">≥ 10x</w:t>
            </w:r>
          </w:p>
        </w:tc>
        <w:tc>
          <w:tcPr/>
          <w:p>
            <w:pPr>
              <w:pStyle w:val="Compact"/>
              <w:jc w:val="left"/>
            </w:pPr>
            <w:r>
              <w:t xml:space="preserve">≤ −50%</w:t>
            </w:r>
          </w:p>
        </w:tc>
        <w:tc>
          <w:tcPr/>
          <w:p>
            <w:pPr>
              <w:pStyle w:val="Compact"/>
              <w:jc w:val="left"/>
            </w:pPr>
            <w:r>
              <w:t xml:space="preserve">≤ −80% (morta)</w:t>
            </w:r>
          </w:p>
        </w:tc>
      </w:tr>
      <w:tr>
        <w:tc>
          <w:tcPr/>
          <w:p>
            <w:pPr>
              <w:pStyle w:val="Compact"/>
              <w:jc w:val="left"/>
            </w:pPr>
            <w:r>
              <w:t xml:space="preserve">A Crollo (&lt; $70)</w:t>
            </w:r>
          </w:p>
        </w:tc>
        <w:tc>
          <w:tcPr/>
          <w:p>
            <w:pPr>
              <w:pStyle w:val="Compact"/>
              <w:jc w:val="left"/>
            </w:pPr>
            <w:r>
              <w:t xml:space="preserve">3%</w:t>
            </w:r>
          </w:p>
        </w:tc>
        <w:tc>
          <w:tcPr/>
          <w:p>
            <w:pPr>
              <w:pStyle w:val="Compact"/>
              <w:jc w:val="left"/>
            </w:pPr>
            <w:r>
              <w:t xml:space="preserve">1,5%</w:t>
            </w:r>
          </w:p>
        </w:tc>
        <w:tc>
          <w:tcPr/>
          <w:p>
            <w:pPr>
              <w:pStyle w:val="Compact"/>
              <w:jc w:val="left"/>
            </w:pPr>
            <w:r>
              <w:t xml:space="preserve">0,8%</w:t>
            </w:r>
          </w:p>
        </w:tc>
        <w:tc>
          <w:tcPr/>
          <w:p>
            <w:pPr>
              <w:pStyle w:val="Compact"/>
              <w:jc w:val="left"/>
            </w:pPr>
            <w:r>
              <w:t xml:space="preserve">0,3%</w:t>
            </w:r>
          </w:p>
        </w:tc>
        <w:tc>
          <w:tcPr/>
          <w:p>
            <w:pPr>
              <w:pStyle w:val="Compact"/>
              <w:jc w:val="left"/>
            </w:pPr>
            <w:r>
              <w:t xml:space="preserve">0,1%</w:t>
            </w:r>
          </w:p>
        </w:tc>
        <w:tc>
          <w:tcPr/>
          <w:p>
            <w:pPr>
              <w:pStyle w:val="Compact"/>
              <w:jc w:val="left"/>
            </w:pPr>
            <w:r>
              <w:t xml:space="preserve">85%</w:t>
            </w:r>
          </w:p>
        </w:tc>
        <w:tc>
          <w:tcPr/>
          <w:p>
            <w:pPr>
              <w:pStyle w:val="Compact"/>
              <w:jc w:val="left"/>
            </w:pPr>
            <w:r>
              <w:t xml:space="preserve">55%</w:t>
            </w:r>
          </w:p>
        </w:tc>
      </w:tr>
      <w:tr>
        <w:tc>
          <w:tcPr/>
          <w:p>
            <w:pPr>
              <w:pStyle w:val="Compact"/>
              <w:jc w:val="left"/>
            </w:pPr>
            <w:r>
              <w:t xml:space="preserve">B Ribasso ($70–110)</w:t>
            </w:r>
          </w:p>
        </w:tc>
        <w:tc>
          <w:tcPr/>
          <w:p>
            <w:pPr>
              <w:pStyle w:val="Compact"/>
              <w:jc w:val="left"/>
            </w:pPr>
            <w:r>
              <w:t xml:space="preserve">8%</w:t>
            </w:r>
          </w:p>
        </w:tc>
        <w:tc>
          <w:tcPr/>
          <w:p>
            <w:pPr>
              <w:pStyle w:val="Compact"/>
              <w:jc w:val="left"/>
            </w:pPr>
            <w:r>
              <w:t xml:space="preserve">4%</w:t>
            </w:r>
          </w:p>
        </w:tc>
        <w:tc>
          <w:tcPr/>
          <w:p>
            <w:pPr>
              <w:pStyle w:val="Compact"/>
              <w:jc w:val="left"/>
            </w:pPr>
            <w:r>
              <w:t xml:space="preserve">2,2%</w:t>
            </w:r>
          </w:p>
        </w:tc>
        <w:tc>
          <w:tcPr/>
          <w:p>
            <w:pPr>
              <w:pStyle w:val="Compact"/>
              <w:jc w:val="left"/>
            </w:pPr>
            <w:r>
              <w:t xml:space="preserve">1%</w:t>
            </w:r>
          </w:p>
        </w:tc>
        <w:tc>
          <w:tcPr/>
          <w:p>
            <w:pPr>
              <w:pStyle w:val="Compact"/>
              <w:jc w:val="left"/>
            </w:pPr>
            <w:r>
              <w:t xml:space="preserve">0,3%</w:t>
            </w:r>
          </w:p>
        </w:tc>
        <w:tc>
          <w:tcPr/>
          <w:p>
            <w:pPr>
              <w:pStyle w:val="Compact"/>
              <w:jc w:val="left"/>
            </w:pPr>
            <w:r>
              <w:t xml:space="preserve">65%</w:t>
            </w:r>
          </w:p>
        </w:tc>
        <w:tc>
          <w:tcPr/>
          <w:p>
            <w:pPr>
              <w:pStyle w:val="Compact"/>
              <w:jc w:val="left"/>
            </w:pPr>
            <w:r>
              <w:t xml:space="preserve">35%</w:t>
            </w:r>
          </w:p>
        </w:tc>
      </w:tr>
      <w:tr>
        <w:tc>
          <w:tcPr/>
          <w:p>
            <w:pPr>
              <w:pStyle w:val="Compact"/>
              <w:jc w:val="left"/>
            </w:pPr>
            <w:r>
              <w:t xml:space="preserve">C Laterale ($110–150)</w:t>
            </w:r>
          </w:p>
        </w:tc>
        <w:tc>
          <w:tcPr/>
          <w:p>
            <w:pPr>
              <w:pStyle w:val="Compact"/>
              <w:jc w:val="left"/>
            </w:pPr>
            <w:r>
              <w:t xml:space="preserve">18%</w:t>
            </w:r>
          </w:p>
        </w:tc>
        <w:tc>
          <w:tcPr/>
          <w:p>
            <w:pPr>
              <w:pStyle w:val="Compact"/>
              <w:jc w:val="left"/>
            </w:pPr>
            <w:r>
              <w:t xml:space="preserve">10%</w:t>
            </w:r>
          </w:p>
        </w:tc>
        <w:tc>
          <w:tcPr/>
          <w:p>
            <w:pPr>
              <w:pStyle w:val="Compact"/>
              <w:jc w:val="left"/>
            </w:pPr>
            <w:r>
              <w:t xml:space="preserve">5,5%</w:t>
            </w:r>
          </w:p>
        </w:tc>
        <w:tc>
          <w:tcPr/>
          <w:p>
            <w:pPr>
              <w:pStyle w:val="Compact"/>
              <w:jc w:val="left"/>
            </w:pPr>
            <w:r>
              <w:t xml:space="preserve">2,5%</w:t>
            </w:r>
          </w:p>
        </w:tc>
        <w:tc>
          <w:tcPr/>
          <w:p>
            <w:pPr>
              <w:pStyle w:val="Compact"/>
              <w:jc w:val="left"/>
            </w:pPr>
            <w:r>
              <w:t xml:space="preserve">0,8%</w:t>
            </w:r>
          </w:p>
        </w:tc>
        <w:tc>
          <w:tcPr/>
          <w:p>
            <w:pPr>
              <w:pStyle w:val="Compact"/>
              <w:jc w:val="left"/>
            </w:pPr>
            <w:r>
              <w:t xml:space="preserve">45%</w:t>
            </w:r>
          </w:p>
        </w:tc>
        <w:tc>
          <w:tcPr/>
          <w:p>
            <w:pPr>
              <w:pStyle w:val="Compact"/>
              <w:jc w:val="left"/>
            </w:pPr>
            <w:r>
              <w:t xml:space="preserve">20%</w:t>
            </w:r>
          </w:p>
        </w:tc>
      </w:tr>
      <w:tr>
        <w:tc>
          <w:tcPr/>
          <w:p>
            <w:pPr>
              <w:pStyle w:val="Compact"/>
              <w:jc w:val="left"/>
            </w:pPr>
            <w:r>
              <w:t xml:space="preserve">D Rialzo forte ($150–250)</w:t>
            </w:r>
          </w:p>
        </w:tc>
        <w:tc>
          <w:tcPr/>
          <w:p>
            <w:pPr>
              <w:pStyle w:val="Compact"/>
              <w:jc w:val="left"/>
            </w:pPr>
            <w:r>
              <w:t xml:space="preserve">40%</w:t>
            </w:r>
          </w:p>
        </w:tc>
        <w:tc>
          <w:tcPr/>
          <w:p>
            <w:pPr>
              <w:pStyle w:val="Compact"/>
              <w:jc w:val="left"/>
            </w:pPr>
            <w:r>
              <w:t xml:space="preserve">25%</w:t>
            </w:r>
          </w:p>
        </w:tc>
        <w:tc>
          <w:tcPr/>
          <w:p>
            <w:pPr>
              <w:pStyle w:val="Compact"/>
              <w:jc w:val="left"/>
            </w:pPr>
            <w:r>
              <w:t xml:space="preserve">15%</w:t>
            </w:r>
          </w:p>
        </w:tc>
        <w:tc>
          <w:tcPr/>
          <w:p>
            <w:pPr>
              <w:pStyle w:val="Compact"/>
              <w:jc w:val="left"/>
            </w:pPr>
            <w:r>
              <w:t xml:space="preserve">8%</w:t>
            </w:r>
          </w:p>
        </w:tc>
        <w:tc>
          <w:tcPr/>
          <w:p>
            <w:pPr>
              <w:pStyle w:val="Compact"/>
              <w:jc w:val="left"/>
            </w:pPr>
            <w:r>
              <w:t xml:space="preserve">3%</w:t>
            </w:r>
          </w:p>
        </w:tc>
        <w:tc>
          <w:tcPr/>
          <w:p>
            <w:pPr>
              <w:pStyle w:val="Compact"/>
              <w:jc w:val="left"/>
            </w:pPr>
            <w:r>
              <w:t xml:space="preserve">28%</w:t>
            </w:r>
          </w:p>
        </w:tc>
        <w:tc>
          <w:tcPr/>
          <w:p>
            <w:pPr>
              <w:pStyle w:val="Compact"/>
              <w:jc w:val="left"/>
            </w:pPr>
            <w:r>
              <w:t xml:space="preserve">12%</w:t>
            </w:r>
          </w:p>
        </w:tc>
      </w:tr>
      <w:tr>
        <w:tc>
          <w:tcPr/>
          <w:p>
            <w:pPr>
              <w:pStyle w:val="Compact"/>
              <w:jc w:val="left"/>
            </w:pPr>
            <w:r>
              <w:t xml:space="preserve">E Euforia (&gt; $250)</w:t>
            </w:r>
          </w:p>
        </w:tc>
        <w:tc>
          <w:tcPr/>
          <w:p>
            <w:pPr>
              <w:pStyle w:val="Compact"/>
              <w:jc w:val="left"/>
            </w:pPr>
            <w:r>
              <w:t xml:space="preserve">65%</w:t>
            </w:r>
          </w:p>
        </w:tc>
        <w:tc>
          <w:tcPr/>
          <w:p>
            <w:pPr>
              <w:pStyle w:val="Compact"/>
              <w:jc w:val="left"/>
            </w:pPr>
            <w:r>
              <w:t xml:space="preserve">50%</w:t>
            </w:r>
          </w:p>
        </w:tc>
        <w:tc>
          <w:tcPr/>
          <w:p>
            <w:pPr>
              <w:pStyle w:val="Compact"/>
              <w:jc w:val="left"/>
            </w:pPr>
            <w:r>
              <w:t xml:space="preserve">35%</w:t>
            </w:r>
          </w:p>
        </w:tc>
        <w:tc>
          <w:tcPr/>
          <w:p>
            <w:pPr>
              <w:pStyle w:val="Compact"/>
              <w:jc w:val="left"/>
            </w:pPr>
            <w:r>
              <w:t xml:space="preserve">20%</w:t>
            </w:r>
          </w:p>
        </w:tc>
        <w:tc>
          <w:tcPr/>
          <w:p>
            <w:pPr>
              <w:pStyle w:val="Compact"/>
              <w:jc w:val="left"/>
            </w:pPr>
            <w:r>
              <w:t xml:space="preserve">8%</w:t>
            </w:r>
          </w:p>
        </w:tc>
        <w:tc>
          <w:tcPr/>
          <w:p>
            <w:pPr>
              <w:pStyle w:val="Compact"/>
              <w:jc w:val="left"/>
            </w:pPr>
            <w:r>
              <w:t xml:space="preserve">15%</w:t>
            </w:r>
          </w:p>
        </w:tc>
        <w:tc>
          <w:tcPr/>
          <w:p>
            <w:pPr>
              <w:pStyle w:val="Compact"/>
              <w:jc w:val="left"/>
            </w:pPr>
            <w:r>
              <w:t xml:space="preserve">6%</w:t>
            </w:r>
          </w:p>
        </w:tc>
      </w:tr>
      <w:tr>
        <w:tc>
          <w:tcPr/>
          <w:p>
            <w:pPr>
              <w:pStyle w:val="Compact"/>
              <w:jc w:val="left"/>
            </w:pPr>
            <w:r>
              <w:rPr>
                <w:bCs/>
                <w:b/>
              </w:rPr>
              <w:t xml:space="preserve">Non condizionata (blend Base)</w:t>
            </w:r>
          </w:p>
        </w:tc>
        <w:tc>
          <w:tcPr/>
          <w:p>
            <w:pPr>
              <w:pStyle w:val="Compact"/>
              <w:jc w:val="left"/>
            </w:pPr>
            <w:r>
              <w:rPr>
                <w:bCs/>
                <w:b/>
              </w:rPr>
              <w:t xml:space="preserve">18,3%</w:t>
            </w:r>
          </w:p>
        </w:tc>
        <w:tc>
          <w:tcPr/>
          <w:p>
            <w:pPr>
              <w:pStyle w:val="Compact"/>
              <w:jc w:val="left"/>
            </w:pPr>
            <w:r>
              <w:rPr>
                <w:bCs/>
                <w:b/>
              </w:rPr>
              <w:t xml:space="preserve">11,8%</w:t>
            </w:r>
          </w:p>
        </w:tc>
        <w:tc>
          <w:tcPr/>
          <w:p>
            <w:pPr>
              <w:pStyle w:val="Compact"/>
              <w:jc w:val="left"/>
            </w:pPr>
            <w:r>
              <w:rPr>
                <w:bCs/>
                <w:b/>
              </w:rPr>
              <w:t xml:space="preserve">7,5%</w:t>
            </w:r>
          </w:p>
        </w:tc>
        <w:tc>
          <w:tcPr/>
          <w:p>
            <w:pPr>
              <w:pStyle w:val="Compact"/>
              <w:jc w:val="left"/>
            </w:pPr>
            <w:r>
              <w:rPr>
                <w:bCs/>
                <w:b/>
              </w:rPr>
              <w:t xml:space="preserve">4,0%</w:t>
            </w:r>
          </w:p>
        </w:tc>
        <w:tc>
          <w:tcPr/>
          <w:p>
            <w:pPr>
              <w:pStyle w:val="Compact"/>
              <w:jc w:val="left"/>
            </w:pPr>
            <w:r>
              <w:rPr>
                <w:bCs/>
                <w:b/>
              </w:rPr>
              <w:t xml:space="preserve">1,5%</w:t>
            </w:r>
          </w:p>
        </w:tc>
        <w:tc>
          <w:tcPr/>
          <w:p>
            <w:pPr>
              <w:pStyle w:val="Compact"/>
              <w:jc w:val="left"/>
            </w:pPr>
            <w:r>
              <w:rPr>
                <w:bCs/>
                <w:b/>
              </w:rPr>
              <w:t xml:space="preserve">57,9%</w:t>
            </w:r>
          </w:p>
        </w:tc>
        <w:tc>
          <w:tcPr/>
          <w:p>
            <w:pPr>
              <w:pStyle w:val="Compact"/>
              <w:jc w:val="left"/>
            </w:pPr>
            <w:r>
              <w:rPr>
                <w:bCs/>
                <w:b/>
              </w:rPr>
              <w:t xml:space="preserve">32,8%</w:t>
            </w:r>
          </w:p>
        </w:tc>
      </w:tr>
    </w:tbl>
    <w:p>
      <w:pPr>
        <w:pStyle w:val="BodyText"/>
      </w:pPr>
      <w:r>
        <w:t xml:space="preserve">Stime del modello. Due controlli di coerenza con i dati sostengono queste cifre: l'11,8% non condizionato di raddoppio è compatibile con "due terzi non hanno mai un secondo rally" su orizzonti pluriennali, e la probabilità implicita di tornare all'ATH per un token che ne dista 5×, 10× o 20× (4,0%, 1,5%, 0,6%) incornicia il 3,3% pluriennale di Coin Metrics. La riga D dice la cosa più importante per chi spera nel rally:</w:t>
      </w:r>
      <w:r>
        <w:t xml:space="preserve"> </w:t>
      </w:r>
      <w:r>
        <w:rPr>
          <w:bCs/>
          <w:b/>
        </w:rPr>
        <w:t xml:space="preserve">anche con SOL tra +36% e +127%, una meme consolidata ha solo 1 probabilità su 4 di raddoppiare e ancora il 28% di perdere metà del valore</w:t>
      </w:r>
      <w:r>
        <w:t xml:space="preserve">, perché i capitali di ogni rally vanno ai token che nascono durante il rally. Sotto il blend ETH Base la stessa tabella dà 18,2% per ≥ +50%, 11,7% per il raddoppio, 57,6% per ≤ −50% e 32,4% di "morte": è il riferimento per WOJAK e per la componente di chain di CASHCAT. Il Monte Carlo che replica questa tabella trova parametri parlanti: beta al rialzo 1,5, beta al ribasso 1,3, un drift di decadimento di −80% in termini logaritmici (circa 0,45× all'anno in assenza di movimenti della chain e di fortuna) e uno shock idiosincratico a code pesanti (Student-t a 3 gradi di libertà), necessario per riprodurre i +920% e −72% in pochi mesi osservati sui token in esame.</w:t>
      </w:r>
    </w:p>
    <w:bookmarkStart w:id="128" w:name="Xc1895c9d548576de376e2976668622f1676e45d"/>
    <w:p>
      <w:pPr>
        <w:pStyle w:val="Heading3"/>
      </w:pPr>
      <w:r>
        <w:t xml:space="preserve">PEPE ha una tabella propria: muore di rado, ma il 10× non c'è più</w:t>
      </w:r>
    </w:p>
    <w:p>
      <w:pPr>
        <w:pStyle w:val="FirstParagraph"/>
      </w:pPr>
      <w:r>
        <w:t xml:space="preserve">PEPE non rientra nella descrizione "piccola meme consolidata in decadimento" e riceve una tabella condizionata propria, costruita sulle stesse cinque righe di scenario ETH e sugli stessi sette esiti. I motivi sono quantitativi. PEPE capitalizza</w:t>
      </w:r>
      <w:r>
        <w:t xml:space="preserve"> </w:t>
      </w:r>
      <w:r>
        <w:rPr>
          <w:bCs/>
          <w:b/>
        </w:rPr>
        <w:t xml:space="preserve">$1,75 mld</w:t>
      </w:r>
      <w:r>
        <w:t xml:space="preserve">, circa 100 volte più di ciascuno degli altri sette token; ha</w:t>
      </w:r>
      <w:r>
        <w:t xml:space="preserve"> </w:t>
      </w:r>
      <w:r>
        <w:rPr>
          <w:bCs/>
          <w:b/>
        </w:rPr>
        <w:t xml:space="preserve">592.524 holder al 2 ottobre 2026, in crescita dello 0,9% dal 13 settembre</w:t>
      </w:r>
      <w:r>
        <w:t xml:space="preserve"> </w:t>
      </w:r>
      <w:r>
        <w:t xml:space="preserve">nonostante un drawdown dell'85–86% dall'ATH di $0,00002825 del 9 dicembre 2024 (</w:t>
      </w:r>
      <w:hyperlink r:id="rId108">
        <w:r>
          <w:rPr>
            <w:rStyle w:val="Hyperlink"/>
          </w:rPr>
          <w:t xml:space="preserve">Etherscan</w:t>
        </w:r>
      </w:hyperlink>
      <w:r>
        <w:t xml:space="preserve">;</w:t>
      </w:r>
      <w:r>
        <w:t xml:space="preserve"> </w:t>
      </w:r>
      <w:hyperlink r:id="rId109">
        <w:r>
          <w:rPr>
            <w:rStyle w:val="Hyperlink"/>
          </w:rPr>
          <w:t xml:space="preserve">CoinMarketCap</w:t>
        </w:r>
      </w:hyperlink>
      <w:r>
        <w:t xml:space="preserve">); ha spot e perpetual su</w:t>
      </w:r>
      <w:r>
        <w:t xml:space="preserve"> </w:t>
      </w:r>
      <w:r>
        <w:rPr>
          <w:bCs/>
          <w:b/>
        </w:rPr>
        <w:t xml:space="preserve">Binance (dal 5 maggio 2023), Coinbase International (perpetual dall'aprile 2024), Coinbase e Robinhood spot negli USA (novembre 2024), Kraken Pro e Bybit</w:t>
      </w:r>
      <w:r>
        <w:t xml:space="preserve">, un ETP Valour in Svezia e un</w:t>
      </w:r>
      <w:r>
        <w:t xml:space="preserve"> </w:t>
      </w:r>
      <w:r>
        <w:rPr>
          <w:bCs/>
          <w:b/>
        </w:rPr>
        <w:t xml:space="preserve">ETF spot Canary con S-1 dell'8 aprile 2026 ed emendamento S-1/A del 2 ottobre 2026</w:t>
      </w:r>
      <w:r>
        <w:t xml:space="preserve"> </w:t>
      </w:r>
      <w:r>
        <w:t xml:space="preserve">(Cboe BZX, custodia BitGo, nessun ticker e nessuna data) (</w:t>
      </w:r>
      <w:hyperlink r:id="rId110">
        <w:r>
          <w:rPr>
            <w:rStyle w:val="Hyperlink"/>
          </w:rPr>
          <w:t xml:space="preserve">ForkLog</w:t>
        </w:r>
      </w:hyperlink>
      <w:r>
        <w:t xml:space="preserve">;</w:t>
      </w:r>
      <w:r>
        <w:t xml:space="preserve"> </w:t>
      </w:r>
      <w:hyperlink r:id="rId111">
        <w:r>
          <w:rPr>
            <w:rStyle w:val="Hyperlink"/>
          </w:rPr>
          <w:t xml:space="preserve">CoinDesk</w:t>
        </w:r>
      </w:hyperlink>
      <w:r>
        <w:t xml:space="preserve">;</w:t>
      </w:r>
      <w:r>
        <w:t xml:space="preserve"> </w:t>
      </w:r>
      <w:hyperlink r:id="rId112">
        <w:r>
          <w:rPr>
            <w:rStyle w:val="Hyperlink"/>
          </w:rPr>
          <w:t xml:space="preserve">CoinGape</w:t>
        </w:r>
      </w:hyperlink>
      <w:r>
        <w:t xml:space="preserve">;</w:t>
      </w:r>
      <w:r>
        <w:t xml:space="preserve"> </w:t>
      </w:r>
      <w:hyperlink r:id="rId113">
        <w:r>
          <w:rPr>
            <w:rStyle w:val="Hyperlink"/>
          </w:rPr>
          <w:t xml:space="preserve">SEC EDGAR, S-1/A</w:t>
        </w:r>
      </w:hyperlink>
      <w:r>
        <w:t xml:space="preserve">); scambia</w:t>
      </w:r>
      <w:r>
        <w:t xml:space="preserve"> </w:t>
      </w:r>
      <w:r>
        <w:rPr>
          <w:bCs/>
          <w:b/>
        </w:rPr>
        <w:t xml:space="preserve">$156–207 mln al giorno sullo spot con $322,9 mln di open interest sui futures</w:t>
      </w:r>
      <w:r>
        <w:t xml:space="preserve"> </w:t>
      </w:r>
      <w:r>
        <w:t xml:space="preserve">al 2 ottobre, cioè un rapporto OI/cap di 0,19 (</w:t>
      </w:r>
      <w:hyperlink r:id="rId114">
        <w:r>
          <w:rPr>
            <w:rStyle w:val="Hyperlink"/>
          </w:rPr>
          <w:t xml:space="preserve">FXStreet, 2 ott 2026</w:t>
        </w:r>
      </w:hyperlink>
      <w:r>
        <w:t xml:space="preserve">;</w:t>
      </w:r>
      <w:r>
        <w:t xml:space="preserve"> </w:t>
      </w:r>
      <w:hyperlink r:id="rId31">
        <w:r>
          <w:rPr>
            <w:rStyle w:val="Hyperlink"/>
          </w:rPr>
          <w:t xml:space="preserve">Bybit</w:t>
        </w:r>
      </w:hyperlink>
      <w:r>
        <w:t xml:space="preserve">). Il dato che più cambia la tabella è il beta a ETH, che si è ristretto: nel 2024 PEPE passò da $591 mln di cap a gennaio a oltre $11 mld il 7 dicembre, circa</w:t>
      </w:r>
      <w:r>
        <w:t xml:space="preserve"> </w:t>
      </w:r>
      <w:r>
        <w:rPr>
          <w:bCs/>
          <w:b/>
        </w:rPr>
        <w:t xml:space="preserve">18×</w:t>
      </w:r>
      <w:r>
        <w:t xml:space="preserve">, mentre ETH saliva di circa la metà (</w:t>
      </w:r>
      <w:hyperlink r:id="rId115">
        <w:r>
          <w:rPr>
            <w:rStyle w:val="Hyperlink"/>
          </w:rPr>
          <w:t xml:space="preserve">Cointelegraph</w:t>
        </w:r>
      </w:hyperlink>
      <w:r>
        <w:t xml:space="preserve">); nel 2026, tra i minimi di giugno e il picco del 21–22 settembre, ETH è salito del 74% (da circa $1.559 a $2.716) e PEPE dell'89–136% (da $0,0000028–0,00000225 a $0,0000053), un</w:t>
      </w:r>
      <w:r>
        <w:t xml:space="preserve"> </w:t>
      </w:r>
      <w:r>
        <w:rPr>
          <w:bCs/>
          <w:b/>
        </w:rPr>
        <w:t xml:space="preserve">beta al rialzo di 1,2–1,8×</w:t>
      </w:r>
      <w:r>
        <w:t xml:space="preserve"> </w:t>
      </w:r>
      <w:r>
        <w:t xml:space="preserve">(</w:t>
      </w:r>
      <w:hyperlink r:id="rId116">
        <w:r>
          <w:rPr>
            <w:rStyle w:val="Hyperlink"/>
          </w:rPr>
          <w:t xml:space="preserve">MEXC, 27 giu 2026</w:t>
        </w:r>
      </w:hyperlink>
      <w:r>
        <w:t xml:space="preserve">;</w:t>
      </w:r>
      <w:r>
        <w:t xml:space="preserve"> </w:t>
      </w:r>
      <w:hyperlink r:id="rId117">
        <w:r>
          <w:rPr>
            <w:rStyle w:val="Hyperlink"/>
          </w:rPr>
          <w:t xml:space="preserve">KuCoin News</w:t>
        </w:r>
      </w:hyperlink>
      <w:r>
        <w:t xml:space="preserve">;</w:t>
      </w:r>
      <w:r>
        <w:t xml:space="preserve"> </w:t>
      </w:r>
      <w:hyperlink r:id="rId118">
        <w:r>
          <w:rPr>
            <w:rStyle w:val="Hyperlink"/>
          </w:rPr>
          <w:t xml:space="preserve">TheStreet</w:t>
        </w:r>
      </w:hyperlink>
      <w:r>
        <w:t xml:space="preserve">;</w:t>
      </w:r>
      <w:r>
        <w:t xml:space="preserve"> </w:t>
      </w:r>
      <w:hyperlink r:id="rId119">
        <w:r>
          <w:rPr>
            <w:rStyle w:val="Hyperlink"/>
          </w:rPr>
          <w:t xml:space="preserve">MetaMask</w:t>
        </w:r>
      </w:hyperlink>
      <w:r>
        <w:t xml:space="preserve">). Il ribasso resta amplificato: −13% il 24 settembre 2026 in una seduta risk-off in cui "le memecoin hanno sottoperformato le major", e nel crollo del 10 ottobre 2025 PEPE scese a $0,0000065 con oltre $20 mln di liquidazioni (</w:t>
      </w:r>
      <w:hyperlink r:id="rId120">
        <w:r>
          <w:rPr>
            <w:rStyle w:val="Hyperlink"/>
          </w:rPr>
          <w:t xml:space="preserve">CoinMarketCap</w:t>
        </w:r>
      </w:hyperlink>
      <w:r>
        <w:t xml:space="preserve">;</w:t>
      </w:r>
      <w:r>
        <w:t xml:space="preserve"> </w:t>
      </w:r>
      <w:hyperlink r:id="rId121">
        <w:r>
          <w:rPr>
            <w:rStyle w:val="Hyperlink"/>
          </w:rPr>
          <w:t xml:space="preserve">MEXC News</w:t>
        </w:r>
      </w:hyperlink>
      <w:r>
        <w:t xml:space="preserv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Scenario ETH</w:t>
            </w:r>
          </w:p>
        </w:tc>
        <w:tc>
          <w:tcPr/>
          <w:p>
            <w:pPr>
              <w:pStyle w:val="Compact"/>
              <w:jc w:val="left"/>
            </w:pPr>
            <w:r>
              <w:t xml:space="preserve">≥ +50%</w:t>
            </w:r>
          </w:p>
        </w:tc>
        <w:tc>
          <w:tcPr/>
          <w:p>
            <w:pPr>
              <w:pStyle w:val="Compact"/>
              <w:jc w:val="left"/>
            </w:pPr>
            <w:r>
              <w:t xml:space="preserve">≥ 2x</w:t>
            </w:r>
          </w:p>
        </w:tc>
        <w:tc>
          <w:tcPr/>
          <w:p>
            <w:pPr>
              <w:pStyle w:val="Compact"/>
              <w:jc w:val="left"/>
            </w:pPr>
            <w:r>
              <w:t xml:space="preserve">≥ 3x</w:t>
            </w:r>
          </w:p>
        </w:tc>
        <w:tc>
          <w:tcPr/>
          <w:p>
            <w:pPr>
              <w:pStyle w:val="Compact"/>
              <w:jc w:val="left"/>
            </w:pPr>
            <w:r>
              <w:t xml:space="preserve">≥ 5x</w:t>
            </w:r>
          </w:p>
        </w:tc>
        <w:tc>
          <w:tcPr/>
          <w:p>
            <w:pPr>
              <w:pStyle w:val="Compact"/>
              <w:jc w:val="left"/>
            </w:pPr>
            <w:r>
              <w:t xml:space="preserve">≥ 10x</w:t>
            </w:r>
          </w:p>
        </w:tc>
        <w:tc>
          <w:tcPr/>
          <w:p>
            <w:pPr>
              <w:pStyle w:val="Compact"/>
              <w:jc w:val="left"/>
            </w:pPr>
            <w:r>
              <w:t xml:space="preserve">≤ −50%</w:t>
            </w:r>
          </w:p>
        </w:tc>
        <w:tc>
          <w:tcPr/>
          <w:p>
            <w:pPr>
              <w:pStyle w:val="Compact"/>
              <w:jc w:val="left"/>
            </w:pPr>
            <w:r>
              <w:t xml:space="preserve">≤ −80% (morta)</w:t>
            </w:r>
          </w:p>
        </w:tc>
      </w:tr>
      <w:tr>
        <w:tc>
          <w:tcPr/>
          <w:p>
            <w:pPr>
              <w:pStyle w:val="Compact"/>
              <w:jc w:val="left"/>
            </w:pPr>
            <w:r>
              <w:t xml:space="preserve">A Crollo (&lt; $1.655)</w:t>
            </w:r>
          </w:p>
        </w:tc>
        <w:tc>
          <w:tcPr/>
          <w:p>
            <w:pPr>
              <w:pStyle w:val="Compact"/>
              <w:jc w:val="left"/>
            </w:pPr>
            <w:r>
              <w:t xml:space="preserve">2% (3%)</w:t>
            </w:r>
          </w:p>
        </w:tc>
        <w:tc>
          <w:tcPr/>
          <w:p>
            <w:pPr>
              <w:pStyle w:val="Compact"/>
              <w:jc w:val="left"/>
            </w:pPr>
            <w:r>
              <w:t xml:space="preserve">0,8% (1,5%)</w:t>
            </w:r>
          </w:p>
        </w:tc>
        <w:tc>
          <w:tcPr/>
          <w:p>
            <w:pPr>
              <w:pStyle w:val="Compact"/>
              <w:jc w:val="left"/>
            </w:pPr>
            <w:r>
              <w:t xml:space="preserve">0,3% (0,8%)</w:t>
            </w:r>
          </w:p>
        </w:tc>
        <w:tc>
          <w:tcPr/>
          <w:p>
            <w:pPr>
              <w:pStyle w:val="Compact"/>
              <w:jc w:val="left"/>
            </w:pPr>
            <w:r>
              <w:t xml:space="preserve">0,1% (0,3%)</w:t>
            </w:r>
          </w:p>
        </w:tc>
        <w:tc>
          <w:tcPr/>
          <w:p>
            <w:pPr>
              <w:pStyle w:val="Compact"/>
              <w:jc w:val="left"/>
            </w:pPr>
            <w:r>
              <w:t xml:space="preserve">0,03% (0,1%)</w:t>
            </w:r>
          </w:p>
        </w:tc>
        <w:tc>
          <w:tcPr/>
          <w:p>
            <w:pPr>
              <w:pStyle w:val="Compact"/>
              <w:jc w:val="left"/>
            </w:pPr>
            <w:r>
              <w:t xml:space="preserve">70% (85%)</w:t>
            </w:r>
          </w:p>
        </w:tc>
        <w:tc>
          <w:tcPr/>
          <w:p>
            <w:pPr>
              <w:pStyle w:val="Compact"/>
              <w:jc w:val="left"/>
            </w:pPr>
            <w:r>
              <w:t xml:space="preserve">25% (55%)</w:t>
            </w:r>
          </w:p>
        </w:tc>
      </w:tr>
      <w:tr>
        <w:tc>
          <w:tcPr/>
          <w:p>
            <w:pPr>
              <w:pStyle w:val="Compact"/>
              <w:jc w:val="left"/>
            </w:pPr>
            <w:r>
              <w:t xml:space="preserve">B Ribasso ($1.655–2.600)</w:t>
            </w:r>
          </w:p>
        </w:tc>
        <w:tc>
          <w:tcPr/>
          <w:p>
            <w:pPr>
              <w:pStyle w:val="Compact"/>
              <w:jc w:val="left"/>
            </w:pPr>
            <w:r>
              <w:t xml:space="preserve">7% (8%)</w:t>
            </w:r>
          </w:p>
        </w:tc>
        <w:tc>
          <w:tcPr/>
          <w:p>
            <w:pPr>
              <w:pStyle w:val="Compact"/>
              <w:jc w:val="left"/>
            </w:pPr>
            <w:r>
              <w:t xml:space="preserve">3% (4%)</w:t>
            </w:r>
          </w:p>
        </w:tc>
        <w:tc>
          <w:tcPr/>
          <w:p>
            <w:pPr>
              <w:pStyle w:val="Compact"/>
              <w:jc w:val="left"/>
            </w:pPr>
            <w:r>
              <w:t xml:space="preserve">1,2% (2,2%)</w:t>
            </w:r>
          </w:p>
        </w:tc>
        <w:tc>
          <w:tcPr/>
          <w:p>
            <w:pPr>
              <w:pStyle w:val="Compact"/>
              <w:jc w:val="left"/>
            </w:pPr>
            <w:r>
              <w:t xml:space="preserve">0,4% (1%)</w:t>
            </w:r>
          </w:p>
        </w:tc>
        <w:tc>
          <w:tcPr/>
          <w:p>
            <w:pPr>
              <w:pStyle w:val="Compact"/>
              <w:jc w:val="left"/>
            </w:pPr>
            <w:r>
              <w:t xml:space="preserve">0,1% (0,3%)</w:t>
            </w:r>
          </w:p>
        </w:tc>
        <w:tc>
          <w:tcPr/>
          <w:p>
            <w:pPr>
              <w:pStyle w:val="Compact"/>
              <w:jc w:val="left"/>
            </w:pPr>
            <w:r>
              <w:t xml:space="preserve">50% (65%)</w:t>
            </w:r>
          </w:p>
        </w:tc>
        <w:tc>
          <w:tcPr/>
          <w:p>
            <w:pPr>
              <w:pStyle w:val="Compact"/>
              <w:jc w:val="left"/>
            </w:pPr>
            <w:r>
              <w:t xml:space="preserve">12% (35%)</w:t>
            </w:r>
          </w:p>
        </w:tc>
      </w:tr>
      <w:tr>
        <w:tc>
          <w:tcPr/>
          <w:p>
            <w:pPr>
              <w:pStyle w:val="Compact"/>
              <w:jc w:val="left"/>
            </w:pPr>
            <w:r>
              <w:t xml:space="preserve">C Laterale ($2.600–3.545)</w:t>
            </w:r>
          </w:p>
        </w:tc>
        <w:tc>
          <w:tcPr/>
          <w:p>
            <w:pPr>
              <w:pStyle w:val="Compact"/>
              <w:jc w:val="left"/>
            </w:pPr>
            <w:r>
              <w:t xml:space="preserve">20% (18%)</w:t>
            </w:r>
          </w:p>
        </w:tc>
        <w:tc>
          <w:tcPr/>
          <w:p>
            <w:pPr>
              <w:pStyle w:val="Compact"/>
              <w:jc w:val="left"/>
            </w:pPr>
            <w:r>
              <w:t xml:space="preserve">8% (10%)</w:t>
            </w:r>
          </w:p>
        </w:tc>
        <w:tc>
          <w:tcPr/>
          <w:p>
            <w:pPr>
              <w:pStyle w:val="Compact"/>
              <w:jc w:val="left"/>
            </w:pPr>
            <w:r>
              <w:t xml:space="preserve">3,5% (5,5%)</w:t>
            </w:r>
          </w:p>
        </w:tc>
        <w:tc>
          <w:tcPr/>
          <w:p>
            <w:pPr>
              <w:pStyle w:val="Compact"/>
              <w:jc w:val="left"/>
            </w:pPr>
            <w:r>
              <w:t xml:space="preserve">1,2% (2,5%)</w:t>
            </w:r>
          </w:p>
        </w:tc>
        <w:tc>
          <w:tcPr/>
          <w:p>
            <w:pPr>
              <w:pStyle w:val="Compact"/>
              <w:jc w:val="left"/>
            </w:pPr>
            <w:r>
              <w:t xml:space="preserve">0,3% (0,8%)</w:t>
            </w:r>
          </w:p>
        </w:tc>
        <w:tc>
          <w:tcPr/>
          <w:p>
            <w:pPr>
              <w:pStyle w:val="Compact"/>
              <w:jc w:val="left"/>
            </w:pPr>
            <w:r>
              <w:t xml:space="preserve">30% (45%)</w:t>
            </w:r>
          </w:p>
        </w:tc>
        <w:tc>
          <w:tcPr/>
          <w:p>
            <w:pPr>
              <w:pStyle w:val="Compact"/>
              <w:jc w:val="left"/>
            </w:pPr>
            <w:r>
              <w:t xml:space="preserve">6% (20%)</w:t>
            </w:r>
          </w:p>
        </w:tc>
      </w:tr>
      <w:tr>
        <w:tc>
          <w:tcPr/>
          <w:p>
            <w:pPr>
              <w:pStyle w:val="Compact"/>
              <w:jc w:val="left"/>
            </w:pPr>
            <w:r>
              <w:t xml:space="preserve">D Rialzo forte ($3.545–5.909)</w:t>
            </w:r>
          </w:p>
        </w:tc>
        <w:tc>
          <w:tcPr/>
          <w:p>
            <w:pPr>
              <w:pStyle w:val="Compact"/>
              <w:jc w:val="left"/>
            </w:pPr>
            <w:r>
              <w:t xml:space="preserve">55% (40%)</w:t>
            </w:r>
          </w:p>
        </w:tc>
        <w:tc>
          <w:tcPr/>
          <w:p>
            <w:pPr>
              <w:pStyle w:val="Compact"/>
              <w:jc w:val="left"/>
            </w:pPr>
            <w:r>
              <w:t xml:space="preserve">30% (25%)</w:t>
            </w:r>
          </w:p>
        </w:tc>
        <w:tc>
          <w:tcPr/>
          <w:p>
            <w:pPr>
              <w:pStyle w:val="Compact"/>
              <w:jc w:val="left"/>
            </w:pPr>
            <w:r>
              <w:t xml:space="preserve">15% (15%)</w:t>
            </w:r>
          </w:p>
        </w:tc>
        <w:tc>
          <w:tcPr/>
          <w:p>
            <w:pPr>
              <w:pStyle w:val="Compact"/>
              <w:jc w:val="left"/>
            </w:pPr>
            <w:r>
              <w:t xml:space="preserve">5% (8%)</w:t>
            </w:r>
          </w:p>
        </w:tc>
        <w:tc>
          <w:tcPr/>
          <w:p>
            <w:pPr>
              <w:pStyle w:val="Compact"/>
              <w:jc w:val="left"/>
            </w:pPr>
            <w:r>
              <w:t xml:space="preserve">1% (3%)</w:t>
            </w:r>
          </w:p>
        </w:tc>
        <w:tc>
          <w:tcPr/>
          <w:p>
            <w:pPr>
              <w:pStyle w:val="Compact"/>
              <w:jc w:val="left"/>
            </w:pPr>
            <w:r>
              <w:t xml:space="preserve">15% (28%)</w:t>
            </w:r>
          </w:p>
        </w:tc>
        <w:tc>
          <w:tcPr/>
          <w:p>
            <w:pPr>
              <w:pStyle w:val="Compact"/>
              <w:jc w:val="left"/>
            </w:pPr>
            <w:r>
              <w:t xml:space="preserve">3% (12%)</w:t>
            </w:r>
          </w:p>
        </w:tc>
      </w:tr>
      <w:tr>
        <w:tc>
          <w:tcPr/>
          <w:p>
            <w:pPr>
              <w:pStyle w:val="Compact"/>
              <w:jc w:val="left"/>
            </w:pPr>
            <w:r>
              <w:t xml:space="preserve">E Euforia (&gt; $5.909)</w:t>
            </w:r>
          </w:p>
        </w:tc>
        <w:tc>
          <w:tcPr/>
          <w:p>
            <w:pPr>
              <w:pStyle w:val="Compact"/>
              <w:jc w:val="left"/>
            </w:pPr>
            <w:r>
              <w:t xml:space="preserve">85% (65%)</w:t>
            </w:r>
          </w:p>
        </w:tc>
        <w:tc>
          <w:tcPr/>
          <w:p>
            <w:pPr>
              <w:pStyle w:val="Compact"/>
              <w:jc w:val="left"/>
            </w:pPr>
            <w:r>
              <w:t xml:space="preserve">70% (50%)</w:t>
            </w:r>
          </w:p>
        </w:tc>
        <w:tc>
          <w:tcPr/>
          <w:p>
            <w:pPr>
              <w:pStyle w:val="Compact"/>
              <w:jc w:val="left"/>
            </w:pPr>
            <w:r>
              <w:t xml:space="preserve">45% (35%)</w:t>
            </w:r>
          </w:p>
        </w:tc>
        <w:tc>
          <w:tcPr/>
          <w:p>
            <w:pPr>
              <w:pStyle w:val="Compact"/>
              <w:jc w:val="left"/>
            </w:pPr>
            <w:r>
              <w:t xml:space="preserve">20% (20%)</w:t>
            </w:r>
          </w:p>
        </w:tc>
        <w:tc>
          <w:tcPr/>
          <w:p>
            <w:pPr>
              <w:pStyle w:val="Compact"/>
              <w:jc w:val="left"/>
            </w:pPr>
            <w:r>
              <w:t xml:space="preserve">5% (8%)</w:t>
            </w:r>
          </w:p>
        </w:tc>
        <w:tc>
          <w:tcPr/>
          <w:p>
            <w:pPr>
              <w:pStyle w:val="Compact"/>
              <w:jc w:val="left"/>
            </w:pPr>
            <w:r>
              <w:t xml:space="preserve">8% (15%)</w:t>
            </w:r>
          </w:p>
        </w:tc>
        <w:tc>
          <w:tcPr/>
          <w:p>
            <w:pPr>
              <w:pStyle w:val="Compact"/>
              <w:jc w:val="left"/>
            </w:pPr>
            <w:r>
              <w:t xml:space="preserve">1% (6%)</w:t>
            </w:r>
          </w:p>
        </w:tc>
      </w:tr>
      <w:tr>
        <w:tc>
          <w:tcPr/>
          <w:p>
            <w:pPr>
              <w:pStyle w:val="Compact"/>
              <w:jc w:val="left"/>
            </w:pPr>
            <w:r>
              <w:rPr>
                <w:bCs/>
                <w:b/>
              </w:rPr>
              <w:t xml:space="preserve">Non condizionata (blend ETH Base)</w:t>
            </w:r>
          </w:p>
        </w:tc>
        <w:tc>
          <w:tcPr/>
          <w:p>
            <w:pPr>
              <w:pStyle w:val="Compact"/>
              <w:jc w:val="left"/>
            </w:pPr>
            <w:r>
              <w:rPr>
                <w:bCs/>
                <w:b/>
              </w:rPr>
              <w:t xml:space="preserve">22,0%</w:t>
            </w:r>
            <w:r>
              <w:t xml:space="preserve"> </w:t>
            </w:r>
            <w:r>
              <w:t xml:space="preserve">(18,2%)</w:t>
            </w:r>
          </w:p>
        </w:tc>
        <w:tc>
          <w:tcPr/>
          <w:p>
            <w:pPr>
              <w:pStyle w:val="Compact"/>
              <w:jc w:val="left"/>
            </w:pPr>
            <w:r>
              <w:rPr>
                <w:bCs/>
                <w:b/>
              </w:rPr>
              <w:t xml:space="preserve">13,5%</w:t>
            </w:r>
            <w:r>
              <w:t xml:space="preserve"> </w:t>
            </w:r>
            <w:r>
              <w:t xml:space="preserve">(11,7%)</w:t>
            </w:r>
          </w:p>
        </w:tc>
        <w:tc>
          <w:tcPr/>
          <w:p>
            <w:pPr>
              <w:pStyle w:val="Compact"/>
              <w:jc w:val="left"/>
            </w:pPr>
            <w:r>
              <w:rPr>
                <w:bCs/>
                <w:b/>
              </w:rPr>
              <w:t xml:space="preserve">7,5%</w:t>
            </w:r>
            <w:r>
              <w:t xml:space="preserve"> </w:t>
            </w:r>
            <w:r>
              <w:t xml:space="preserve">(7,3%)</w:t>
            </w:r>
          </w:p>
        </w:tc>
        <w:tc>
          <w:tcPr/>
          <w:p>
            <w:pPr>
              <w:pStyle w:val="Compact"/>
              <w:jc w:val="left"/>
            </w:pPr>
            <w:r>
              <w:rPr>
                <w:bCs/>
                <w:b/>
              </w:rPr>
              <w:t xml:space="preserve">3,0%</w:t>
            </w:r>
            <w:r>
              <w:t xml:space="preserve"> </w:t>
            </w:r>
            <w:r>
              <w:t xml:space="preserve">(3,9%)</w:t>
            </w:r>
          </w:p>
        </w:tc>
        <w:tc>
          <w:tcPr/>
          <w:p>
            <w:pPr>
              <w:pStyle w:val="Compact"/>
              <w:jc w:val="left"/>
            </w:pPr>
            <w:r>
              <w:rPr>
                <w:bCs/>
                <w:b/>
              </w:rPr>
              <w:t xml:space="preserve">0,7%</w:t>
            </w:r>
            <w:r>
              <w:t xml:space="preserve"> </w:t>
            </w:r>
            <w:r>
              <w:t xml:space="preserve">(1,5%)</w:t>
            </w:r>
          </w:p>
        </w:tc>
        <w:tc>
          <w:tcPr/>
          <w:p>
            <w:pPr>
              <w:pStyle w:val="Compact"/>
              <w:jc w:val="left"/>
            </w:pPr>
            <w:r>
              <w:rPr>
                <w:bCs/>
                <w:b/>
              </w:rPr>
              <w:t xml:space="preserve">43,7%</w:t>
            </w:r>
            <w:r>
              <w:t xml:space="preserve"> </w:t>
            </w:r>
            <w:r>
              <w:t xml:space="preserve">(57,6%)</w:t>
            </w:r>
          </w:p>
        </w:tc>
        <w:tc>
          <w:tcPr/>
          <w:p>
            <w:pPr>
              <w:pStyle w:val="Compact"/>
              <w:jc w:val="left"/>
            </w:pPr>
            <w:r>
              <w:rPr>
                <w:bCs/>
                <w:b/>
              </w:rPr>
              <w:t xml:space="preserve">12,6%</w:t>
            </w:r>
            <w:r>
              <w:t xml:space="preserve"> </w:t>
            </w:r>
            <w:r>
              <w:t xml:space="preserve">(32,4%)</w:t>
            </w:r>
          </w:p>
        </w:tc>
      </w:tr>
    </w:tbl>
    <w:p>
      <w:pPr>
        <w:pStyle w:val="BodyText"/>
      </w:pPr>
      <w:r>
        <w:t xml:space="preserve">Stime del modello; tra parentesi il valore della tabella generica sotto lo stesso blend ETH. Le differenze sono quattro e ciascuna ha una ragione. La</w:t>
      </w:r>
      <w:r>
        <w:t xml:space="preserve"> </w:t>
      </w:r>
      <w:r>
        <w:rPr>
          <w:bCs/>
          <w:b/>
        </w:rPr>
        <w:t xml:space="preserve">colonna "morta" è dimezzata o più in ogni riga</w:t>
      </w:r>
      <w:r>
        <w:t xml:space="preserve"> </w:t>
      </w:r>
      <w:r>
        <w:t xml:space="preserve">(25/12/6/3/1% contro 55/35/20/12/6%): un −80% da $1,75 mld è una cap di circa $350 mln, inferiore ai $591 mln del gennaio 2024, ai $2,9 mld del 29 ottobre 2025 e a qualunque lettura del 2026; PEPE ha attraversato il −79% del 2025 con holder in crescita e con profondità di book sui CEX che resse perfino durante la vendita del multisig del team nell'agosto 2023 (</w:t>
      </w:r>
      <w:hyperlink r:id="rId122">
        <w:r>
          <w:rPr>
            <w:rStyle w:val="Hyperlink"/>
          </w:rPr>
          <w:t xml:space="preserve">CoinLore</w:t>
        </w:r>
      </w:hyperlink>
      <w:r>
        <w:t xml:space="preserve">;</w:t>
      </w:r>
      <w:r>
        <w:t xml:space="preserve"> </w:t>
      </w:r>
      <w:hyperlink r:id="rId123">
        <w:r>
          <w:rPr>
            <w:rStyle w:val="Hyperlink"/>
          </w:rPr>
          <w:t xml:space="preserve">Bankless Times</w:t>
        </w:r>
      </w:hyperlink>
      <w:r>
        <w:t xml:space="preserve">;</w:t>
      </w:r>
      <w:r>
        <w:t xml:space="preserve"> </w:t>
      </w:r>
      <w:hyperlink r:id="rId124">
        <w:r>
          <w:rPr>
            <w:rStyle w:val="Hyperlink"/>
          </w:rPr>
          <w:t xml:space="preserve">Kaiko</w:t>
        </w:r>
      </w:hyperlink>
      <w:r>
        <w:t xml:space="preserve">); le statistiche di Coin Metrics ("due terzi senza secondo rally", 3,3% di ritorni all'ATH) vengono da 150 piccole meme Solana, mentre PEPE un ATH di secondo ciclo lo ha già fatto, nel dicembre 2024 dopo un lancio nel 2023. La riga A conserva comunque il 25% perché un crollo di ETH di oltre un terzo, con un beta al ribasso di 1,3–1,8× e un book di perpetual da $323 mln incline alle liquidazioni, può ancora produrre un −80%. La</w:t>
      </w:r>
      <w:r>
        <w:t xml:space="preserve"> </w:t>
      </w:r>
      <w:r>
        <w:rPr>
          <w:bCs/>
          <w:b/>
        </w:rPr>
        <w:t xml:space="preserve">colonna "≤ −50%" è abbassata</w:t>
      </w:r>
      <w:r>
        <w:t xml:space="preserve"> </w:t>
      </w:r>
      <w:r>
        <w:t xml:space="preserve">(70/50/30/15/8%) per lo stesso motivo: il ribasso di PEPE è un beta a ETH, non il drift di decadimento verso zero di una meme di un solo ciclo, ma in A resta l'esito modale. Le</w:t>
      </w:r>
      <w:r>
        <w:t xml:space="preserve"> </w:t>
      </w:r>
      <w:r>
        <w:rPr>
          <w:bCs/>
          <w:b/>
        </w:rPr>
        <w:t xml:space="preserve">colonne "≥ +50%" e "≥ 2x" sono alzate in D ed E</w:t>
      </w:r>
      <w:r>
        <w:t xml:space="preserve"> </w:t>
      </w:r>
      <w:r>
        <w:t xml:space="preserve">(55%/30% e 85%/70%) perché con un beta di 1,2–1,8× un ETH a +36…+127% si traduce in PEPE a circa +45…+230%, e la gamba giugno–settembre 2026 è il modello di riferimento; in C la tabella resta vicina alla generica (20%/8%), perché un ETH a +36% dà a PEPE circa +45–65% e un raddoppio richiede un episodio di leva o short squeeze come quello del 21–22 settembre (+40–45% in una settimana senza alcun catalizzatore di progetto) (</w:t>
      </w:r>
      <w:hyperlink r:id="rId125">
        <w:r>
          <w:rPr>
            <w:rStyle w:val="Hyperlink"/>
          </w:rPr>
          <w:t xml:space="preserve">Invezz, 22 set 2026</w:t>
        </w:r>
      </w:hyperlink>
      <w:r>
        <w:t xml:space="preserve">). Infine le</w:t>
      </w:r>
      <w:r>
        <w:t xml:space="preserve"> </w:t>
      </w:r>
      <w:r>
        <w:rPr>
          <w:bCs/>
          <w:b/>
        </w:rPr>
        <w:t xml:space="preserve">colonne "≥ 5x" e "≥ 10x" sono abbassate in ogni riga tranne il 5× di E</w:t>
      </w:r>
      <w:r>
        <w:t xml:space="preserve">: un 5× è $8,7 mld, vicino al picco del dicembre 2024, e un 10× sarebbe $17,5 mld, sopra il record di $11,4 mld; la riflessività è scesa da circa 18× nel 2024 a 1,2–1,8× nel 2026 e i rally "+300% quando ETH supera $4.000" del 2024 appartengono solo alla riga E. Il controllo di coerenza è semplice: il 13,5% non condizionato di raddoppio è di poco superiore all'11,9% di probabilità che ETH raddoppi, come deve essere per un proxy di ETH a beta leggermente maggiore di 1; il 12,6% di "morte" (1 su 8) è reso plausibile, non dominante, dal modello statistico ribassista di DappRadar (−14% a un anno) e dall'avvertimento di Benjamin Cowen che le memecoin sono le più esposte a una liquidità in restringimento (</w:t>
      </w:r>
      <w:hyperlink r:id="rId126">
        <w:r>
          <w:rPr>
            <w:rStyle w:val="Hyperlink"/>
          </w:rPr>
          <w:t xml:space="preserve">DappRadar</w:t>
        </w:r>
      </w:hyperlink>
      <w:r>
        <w:t xml:space="preserve">;</w:t>
      </w:r>
      <w:r>
        <w:t xml:space="preserve"> </w:t>
      </w:r>
      <w:hyperlink r:id="rId127">
        <w:r>
          <w:rPr>
            <w:rStyle w:val="Hyperlink"/>
          </w:rPr>
          <w:t xml:space="preserve">MEXC News</w:t>
        </w:r>
      </w:hyperlink>
      <w:r>
        <w:t xml:space="preserve">).</w:t>
      </w:r>
    </w:p>
    <w:bookmarkEnd w:id="128"/>
    <w:bookmarkEnd w:id="129"/>
    <w:bookmarkStart w:id="183" w:name="X32513eca36073f17688faf60b248e3c429dca2b"/>
    <w:p>
      <w:pPr>
        <w:pStyle w:val="Heading2"/>
      </w:pPr>
      <w:r>
        <w:t xml:space="preserve">Passo 3: TROLL moltiplica le quote per 1,7, CHILLHOUSE le dimezza, CASHCAT alza entrambe</w:t>
      </w:r>
    </w:p>
    <w:p>
      <w:pPr>
        <w:pStyle w:val="FirstParagraph"/>
      </w:pPr>
      <w:r>
        <w:t xml:space="preserve">Il terzo passaggio adatta la tabella generica (o quella di PEPE) a ciascun token con due strumenti. Il primo è un parametro di</w:t>
      </w:r>
      <w:r>
        <w:t xml:space="preserve"> </w:t>
      </w:r>
      <w:r>
        <w:rPr>
          <w:bCs/>
          <w:b/>
        </w:rPr>
        <w:t xml:space="preserve">"legame alla chain" (λ)</w:t>
      </w:r>
      <w:r>
        <w:t xml:space="preserve">: quanto l'esito del token dipende davvero da dove finisce SOL (o ETH). L'evidenza del 2026 impone valori bassi per tre token su sei fra quelli originali. TRIPLE T ha fatto circa</w:t>
      </w:r>
      <w:r>
        <w:t xml:space="preserve"> </w:t>
      </w:r>
      <w:r>
        <w:rPr>
          <w:bCs/>
          <w:b/>
        </w:rPr>
        <w:t xml:space="preserve">+920% dal minimo del 19 aprile all'ATH del 23 luglio 2026 con SOL fermo tra $74 e $80, poi −72% fino a metà settembre mentre SOL saliva del 35–40%</w:t>
      </w:r>
      <w:r>
        <w:t xml:space="preserve"> </w:t>
      </w:r>
      <w:r>
        <w:t xml:space="preserve">(</w:t>
      </w:r>
      <w:hyperlink r:id="rId130">
        <w:r>
          <w:rPr>
            <w:rStyle w:val="Hyperlink"/>
          </w:rPr>
          <w:t xml:space="preserve">Cryptorank</w:t>
        </w:r>
      </w:hyperlink>
      <w:r>
        <w:t xml:space="preserve">;</w:t>
      </w:r>
      <w:r>
        <w:t xml:space="preserve"> </w:t>
      </w:r>
      <w:hyperlink r:id="rId131">
        <w:r>
          <w:rPr>
            <w:rStyle w:val="Hyperlink"/>
          </w:rPr>
          <w:t xml:space="preserve">Coinranking SOL</w:t>
        </w:r>
      </w:hyperlink>
      <w:r>
        <w:t xml:space="preserve">); CUPSEY ha fatto circa</w:t>
      </w:r>
      <w:r>
        <w:t xml:space="preserve"> </w:t>
      </w:r>
      <w:r>
        <w:rPr>
          <w:bCs/>
          <w:b/>
        </w:rPr>
        <w:t xml:space="preserve">60–65× tra il minimo del 25 giugno e l'ATH del 21–22 agosto 2026</w:t>
      </w:r>
      <w:r>
        <w:t xml:space="preserve">, poi −66% in uno o due giorni e −70% complessivo mentre SOL saliva a $113–121 (</w:t>
      </w:r>
      <w:hyperlink r:id="rId132">
        <w:r>
          <w:rPr>
            <w:rStyle w:val="Hyperlink"/>
          </w:rPr>
          <w:t xml:space="preserve">TradingView CUPSEY1USDT</w:t>
        </w:r>
      </w:hyperlink>
      <w:r>
        <w:t xml:space="preserve">;</w:t>
      </w:r>
      <w:r>
        <w:t xml:space="preserve"> </w:t>
      </w:r>
      <w:hyperlink r:id="rId133">
        <w:r>
          <w:rPr>
            <w:rStyle w:val="Hyperlink"/>
          </w:rPr>
          <w:t xml:space="preserve">Bybit</w:t>
        </w:r>
      </w:hyperlink>
      <w:r>
        <w:t xml:space="preserve">); WOJAK ha fatto circa</w:t>
      </w:r>
      <w:r>
        <w:t xml:space="preserve"> </w:t>
      </w:r>
      <w:r>
        <w:rPr>
          <w:bCs/>
          <w:b/>
        </w:rPr>
        <w:t xml:space="preserve">7,5× dal minimo del 24 febbraio all'ATH del 20 giugno 2026 mentre ETH scendeva verso il minimo di $1.559, e poi −65% mentre ETH recuperava circa il 70%</w:t>
      </w:r>
      <w:r>
        <w:t xml:space="preserve"> </w:t>
      </w:r>
      <w:r>
        <w:t xml:space="preserve">fino a $2.746 il 21 settembre (</w:t>
      </w:r>
      <w:hyperlink r:id="rId134">
        <w:r>
          <w:rPr>
            <w:rStyle w:val="Hyperlink"/>
          </w:rPr>
          <w:t xml:space="preserve">CoinGecko wojak-5</w:t>
        </w:r>
      </w:hyperlink>
      <w:r>
        <w:t xml:space="preserve">;</w:t>
      </w:r>
      <w:r>
        <w:t xml:space="preserve"> </w:t>
      </w:r>
      <w:hyperlink r:id="rId135">
        <w:r>
          <w:rPr>
            <w:rStyle w:val="Hyperlink"/>
          </w:rPr>
          <w:t xml:space="preserve">Fortune, 30 giu 2026</w:t>
        </w:r>
      </w:hyperlink>
      <w:r>
        <w:t xml:space="preserve">;</w:t>
      </w:r>
      <w:r>
        <w:t xml:space="preserve"> </w:t>
      </w:r>
      <w:hyperlink r:id="rId68">
        <w:r>
          <w:rPr>
            <w:rStyle w:val="Hyperlink"/>
          </w:rPr>
          <w:t xml:space="preserve">Fortune, 21 set 2026</w:t>
        </w:r>
      </w:hyperlink>
      <w:r>
        <w:t xml:space="preserve">). A questi tre token (e a CHILLHOUSE, i cui tre picchi del 2025 furono tutti "stunt" dell'account X, non beta a SOL) il modello assegna λ = 0,5–0,6: metà del loro destino segue lo scenario di SOL/ETH, l'altra metà è il loro ciclo di attenzione. CHILLGUY e TROLL ricevono λ = 0,8: il primo è scambiato con leva 75× su Binance Futures e nel 2026 i suoi movimenti sono stati attribuiti al sentiment macro "senza alcun catalizzatore specifico" (</w:t>
      </w:r>
      <w:hyperlink r:id="rId136">
        <w:r>
          <w:rPr>
            <w:rStyle w:val="Hyperlink"/>
          </w:rPr>
          <w:t xml:space="preserve">CoinMarketCap AI</w:t>
        </w:r>
      </w:hyperlink>
      <w:r>
        <w:t xml:space="preserve">); il secondo ha avuto i suoi picchi in coincidenza con le rotazioni del settore meme Solana (maggio 2026, +632% in 30 giorni fino a $117–120 mln) e con i listing (</w:t>
      </w:r>
      <w:hyperlink r:id="rId137">
        <w:r>
          <w:rPr>
            <w:rStyle w:val="Hyperlink"/>
          </w:rPr>
          <w:t xml:space="preserve">Phemex</w:t>
        </w:r>
      </w:hyperlink>
      <w:r>
        <w:t xml:space="preserve">;</w:t>
      </w:r>
      <w:r>
        <w:t xml:space="preserve"> </w:t>
      </w:r>
      <w:hyperlink r:id="rId138">
        <w:r>
          <w:rPr>
            <w:rStyle w:val="Hyperlink"/>
          </w:rPr>
          <w:t xml:space="preserve">CCN</w:t>
        </w:r>
      </w:hyperlink>
      <w:r>
        <w:t xml:space="preserve">).</w:t>
      </w:r>
    </w:p>
    <w:p>
      <w:pPr>
        <w:pStyle w:val="BodyText"/>
      </w:pPr>
      <w:r>
        <w:t xml:space="preserve">I due token nuovi stanno agli estremi della scala.</w:t>
      </w:r>
      <w:r>
        <w:t xml:space="preserve"> </w:t>
      </w:r>
      <w:r>
        <w:rPr>
          <w:bCs/>
          <w:b/>
        </w:rPr>
        <w:t xml:space="preserve">PEPE riceve λ = 1,10</w:t>
      </w:r>
      <w:r>
        <w:t xml:space="preserve">, l'unico sopra 1: la miscela p = λ·T(esito|scenario) + (1−λ)·T(esito) con λ = 1,1 amplifica del 10% la dipendenza dallo scenario già incorporata nella sua tabella, perché la correlazione con ETH è "positiva e alta nel risk-off", il beta al rialzo del 2026 è sopra 1 e PEPE è la prima memecoin a cui le istituzioni accedono, quella che "dà il tono" alle meme ERC-20; la miscela è limitata all'intervallo [0,05%, 99,5%], e il limite inferiore scatta nelle celle di rialzo della riga A, nel 10× della riga B e nella "morte" della riga E, dove l'amplificazione darebbe valori nulli o negativi. Nel Monte Carlo i beta di PEPE sono λ moltiplicato per i beta calibrati sulla sua tabella:</w:t>
      </w:r>
      <w:r>
        <w:t xml:space="preserve"> </w:t>
      </w:r>
      <w:r>
        <w:rPr>
          <w:bCs/>
          <w:b/>
        </w:rPr>
        <w:t xml:space="preserve">1,76 al rialzo e 0,88 al ribasso</w:t>
      </w:r>
      <w:r>
        <w:t xml:space="preserve">, con il beta al rialzo dentro la fascia 1,2–1,8× della nota.</w:t>
      </w:r>
      <w:r>
        <w:t xml:space="preserve"> </w:t>
      </w:r>
      <w:r>
        <w:rPr>
          <w:bCs/>
          <w:b/>
        </w:rPr>
        <w:t xml:space="preserve">CASHCAT riceve λ = 0,45</w:t>
      </w:r>
      <w:r>
        <w:t xml:space="preserve">, il più basso degli otto: nessuno dei suoi grandi movimenti è coinciso con un movimento di ETH, e tutti sono coincisi con un evento della chain (+1.700% dopo che Vlad Tenev ha seguito l'account del token a luglio, +151% in 15 ore attorno al listing nell'app Robinhood del 6 agosto, ATH del 3 settembre due giorni dopo il giorno record della chain con $1,595 mld di volume DEX, −33% in 24 ore quando Noxa ha sospeso i lanci l'11 luglio) (</w:t>
      </w:r>
      <w:hyperlink r:id="rId139">
        <w:r>
          <w:rPr>
            <w:rStyle w:val="Hyperlink"/>
          </w:rPr>
          <w:t xml:space="preserve">CoinDesk, 5 ago 2026</w:t>
        </w:r>
      </w:hyperlink>
      <w:r>
        <w:t xml:space="preserve">;</w:t>
      </w:r>
      <w:r>
        <w:t xml:space="preserve"> </w:t>
      </w:r>
      <w:hyperlink r:id="rId140">
        <w:r>
          <w:rPr>
            <w:rStyle w:val="Hyperlink"/>
          </w:rPr>
          <w:t xml:space="preserve">BeInCrypto</w:t>
        </w:r>
      </w:hyperlink>
      <w:r>
        <w:t xml:space="preserve">;</w:t>
      </w:r>
      <w:r>
        <w:t xml:space="preserve"> </w:t>
      </w:r>
      <w:hyperlink r:id="rId141">
        <w:r>
          <w:rPr>
            <w:rStyle w:val="Hyperlink"/>
          </w:rPr>
          <w:t xml:space="preserve">Decrypt</w:t>
        </w:r>
      </w:hyperlink>
      <w:r>
        <w:t xml:space="preserve">;</w:t>
      </w:r>
      <w:r>
        <w:t xml:space="preserve"> </w:t>
      </w:r>
      <w:hyperlink r:id="rId142">
        <w:r>
          <w:rPr>
            <w:rStyle w:val="Hyperlink"/>
          </w:rPr>
          <w:t xml:space="preserve">crypto.news</w:t>
        </w:r>
      </w:hyperlink>
      <w:r>
        <w:t xml:space="preserve">); ETH conta però meccanicamente, perché la pool principale è CASHCAT/WETH e perché un risk-off generale colpisce duramente un token con liquidità al 2–4% della cap, come mostra la settimana al 7 ottobre in cui ETH ha perso il 7% e CASHCAT il 21% (</w:t>
      </w:r>
      <w:hyperlink r:id="rId143">
        <w:r>
          <w:rPr>
            <w:rStyle w:val="Hyperlink"/>
          </w:rPr>
          <w:t xml:space="preserve">AMBCrypto</w:t>
        </w:r>
      </w:hyperlink>
      <w:r>
        <w:t xml:space="preserve">). I beta Monte Carlo di CASHCAT sono quindi 0,45 × (1,5; 1,3) = 0,68 e 0,59, e il 55% residuo del suo destino è la non condizionata generica più il fattore Robinhood Chain descritto sotto.</w:t>
      </w:r>
    </w:p>
    <w:p>
      <w:pPr>
        <w:pStyle w:val="BodyText"/>
      </w:pPr>
      <w:r>
        <w:t xml:space="preserve">Il secondo strumento è un insieme di</w:t>
      </w:r>
      <w:r>
        <w:t xml:space="preserve"> </w:t>
      </w:r>
      <w:r>
        <w:rPr>
          <w:bCs/>
          <w:b/>
        </w:rPr>
        <w:t xml:space="preserve">moltiplicatori delle quote</w:t>
      </w:r>
      <w:r>
        <w:t xml:space="preserve"> </w:t>
      </w:r>
      <w:r>
        <w:t xml:space="preserve">(odds), uno per ciascuno di sette fattori documentati nei rapporti precedenti e nelle note su CASHCAT e PEPE (età del ciclo, profondità del drawdown, holder e liquidità, scala dei listing CEX, catalizzatori, concentrazione della supply, proprietà intellettuale o, per CASHCAT, rischio di chain), con il prodotto limitato all'intervallo [0,5, 2,0] per evitare che un giudizio qualitativo domini i dati. Moltiplicare le quote invece delle probabilità mantiene ogni numero tra 0 e 1 e conserva l'ordine logico (P(10x) ≤ P(5x) ≤ ... ≤ P(+50%)).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Token</w:t>
            </w:r>
          </w:p>
        </w:tc>
        <w:tc>
          <w:tcPr/>
          <w:p>
            <w:pPr>
              <w:pStyle w:val="Compact"/>
              <w:jc w:val="left"/>
            </w:pPr>
            <w:r>
              <w:t xml:space="preserve">Fattori che alzano le quote di rialzo</w:t>
            </w:r>
          </w:p>
        </w:tc>
        <w:tc>
          <w:tcPr/>
          <w:p>
            <w:pPr>
              <w:pStyle w:val="Compact"/>
              <w:jc w:val="left"/>
            </w:pPr>
            <w:r>
              <w:t xml:space="preserve">Fattori che le abbassano</w:t>
            </w:r>
          </w:p>
        </w:tc>
        <w:tc>
          <w:tcPr/>
          <w:p>
            <w:pPr>
              <w:pStyle w:val="Compact"/>
              <w:jc w:val="left"/>
            </w:pPr>
            <w:r>
              <w:t xml:space="preserve">Moltiplicatore rialzo</w:t>
            </w:r>
          </w:p>
        </w:tc>
        <w:tc>
          <w:tcPr/>
          <w:p>
            <w:pPr>
              <w:pStyle w:val="Compact"/>
              <w:jc w:val="left"/>
            </w:pPr>
            <w:r>
              <w:t xml:space="preserve">Moltiplicatore ribasso</w:t>
            </w:r>
          </w:p>
        </w:tc>
        <w:tc>
          <w:tcPr/>
          <w:p>
            <w:pPr>
              <w:pStyle w:val="Compact"/>
              <w:jc w:val="left"/>
            </w:pPr>
            <w:r>
              <w:t xml:space="preserve">λ</w:t>
            </w:r>
          </w:p>
        </w:tc>
      </w:tr>
      <w:tr>
        <w:tc>
          <w:tcPr/>
          <w:p>
            <w:pPr>
              <w:pStyle w:val="Compact"/>
              <w:jc w:val="left"/>
            </w:pPr>
            <w:r>
              <w:t xml:space="preserve">CHILLGUY</w:t>
            </w:r>
          </w:p>
        </w:tc>
        <w:tc>
          <w:tcPr/>
          <w:p>
            <w:pPr>
              <w:pStyle w:val="Compact"/>
              <w:jc w:val="left"/>
            </w:pPr>
            <w:r>
              <w:t xml:space="preserve">118K holder, $3–5 mln di volume CEX al giorno; perpetual Binance 75× più cinque CEX spot</w:t>
            </w:r>
          </w:p>
        </w:tc>
        <w:tc>
          <w:tcPr/>
          <w:p>
            <w:pPr>
              <w:pStyle w:val="Compact"/>
              <w:jc w:val="left"/>
            </w:pPr>
            <w:r>
              <w:t xml:space="preserve">meme del ciclo 2024 (ATH 27 nov 2024), −98%; nessun catalizzatore nel 2026; oltre il 20% della supply da acquisti "bundle" di un'unica entità, top-10 al 52%; rivendicazione di copyright di Banks; il perpetual è nella fascia di cap che Binance ha delistato più volte nel 2026</w:t>
            </w:r>
          </w:p>
        </w:tc>
        <w:tc>
          <w:tcPr/>
          <w:p>
            <w:pPr>
              <w:pStyle w:val="Compact"/>
              <w:jc w:val="left"/>
            </w:pPr>
            <w:r>
              <w:t xml:space="preserve">0,55</w:t>
            </w:r>
          </w:p>
        </w:tc>
        <w:tc>
          <w:tcPr/>
          <w:p>
            <w:pPr>
              <w:pStyle w:val="Compact"/>
              <w:jc w:val="left"/>
            </w:pPr>
            <w:r>
              <w:t xml:space="preserve">1,38</w:t>
            </w:r>
          </w:p>
        </w:tc>
        <w:tc>
          <w:tcPr/>
          <w:p>
            <w:pPr>
              <w:pStyle w:val="Compact"/>
              <w:jc w:val="left"/>
            </w:pPr>
            <w:r>
              <w:t xml:space="preserve">0,8</w:t>
            </w:r>
          </w:p>
        </w:tc>
      </w:tr>
      <w:tr>
        <w:tc>
          <w:tcPr/>
          <w:p>
            <w:pPr>
              <w:pStyle w:val="Compact"/>
              <w:jc w:val="left"/>
            </w:pPr>
            <w:r>
              <w:t xml:space="preserve">CHILLHOUSE</w:t>
            </w:r>
          </w:p>
        </w:tc>
        <w:tc>
          <w:tcPr/>
          <w:p>
            <w:pPr>
              <w:pStyle w:val="Compact"/>
              <w:jc w:val="left"/>
            </w:pPr>
            <w:r>
              <w:t xml:space="preserve">nessuno di rilievo (Kraken e MEXC Innovation Zone pesano zero)</w:t>
            </w:r>
          </w:p>
        </w:tc>
        <w:tc>
          <w:tcPr/>
          <w:p>
            <w:pPr>
              <w:pStyle w:val="Compact"/>
              <w:jc w:val="left"/>
            </w:pPr>
            <w:r>
              <w:t xml:space="preserve">ATH ott 2025 da stunt, −95%; 19K holder, $0,4 mln di liquidità, circa $20.000 al giorno di volume DEX; nessuna attività del team o copertura dal 29 ott 2025; flag "bundle" non verificati; usa l'immagine di Banks</w:t>
            </w:r>
          </w:p>
        </w:tc>
        <w:tc>
          <w:tcPr/>
          <w:p>
            <w:pPr>
              <w:pStyle w:val="Compact"/>
              <w:jc w:val="left"/>
            </w:pPr>
            <w:r>
              <w:t xml:space="preserve">0,24, portato a 0,50 (limite)</w:t>
            </w:r>
          </w:p>
        </w:tc>
        <w:tc>
          <w:tcPr/>
          <w:p>
            <w:pPr>
              <w:pStyle w:val="Compact"/>
              <w:jc w:val="left"/>
            </w:pPr>
            <w:r>
              <w:t xml:space="preserve">2,17, portato a 2,00 (limite)</w:t>
            </w:r>
          </w:p>
        </w:tc>
        <w:tc>
          <w:tcPr/>
          <w:p>
            <w:pPr>
              <w:pStyle w:val="Compact"/>
              <w:jc w:val="left"/>
            </w:pPr>
            <w:r>
              <w:t xml:space="preserve">0,5</w:t>
            </w:r>
          </w:p>
        </w:tc>
      </w:tr>
      <w:tr>
        <w:tc>
          <w:tcPr/>
          <w:p>
            <w:pPr>
              <w:pStyle w:val="Compact"/>
              <w:jc w:val="left"/>
            </w:pPr>
            <w:r>
              <w:t xml:space="preserve">TROLL</w:t>
            </w:r>
          </w:p>
        </w:tc>
        <w:tc>
          <w:tcPr/>
          <w:p>
            <w:pPr>
              <w:pStyle w:val="Compact"/>
              <w:jc w:val="left"/>
            </w:pPr>
            <w:r>
              <w:t xml:space="preserve">65–70K holder in crescita, liquidità $1,7–3,9 mln; Coinbase (25 set 2025), Binance.US (22 gen 2026), KuCoin, perpetual MEXC, tag Binance Alpha; airdrop del 1° set 2026 e opzionalità di Binance globale; licenza esclusiva mondiale su Trollface</w:t>
            </w:r>
          </w:p>
        </w:tc>
        <w:tc>
          <w:tcPr/>
          <w:p>
            <w:pPr>
              <w:pStyle w:val="Compact"/>
              <w:jc w:val="left"/>
            </w:pPr>
            <w:r>
              <w:t xml:space="preserve">−82% dall'ATH; concentrazione opaca (dieci whale che hanno finanziato la licenza, la posizione di Ramirez)</w:t>
            </w:r>
          </w:p>
        </w:tc>
        <w:tc>
          <w:tcPr/>
          <w:p>
            <w:pPr>
              <w:pStyle w:val="Compact"/>
              <w:jc w:val="left"/>
            </w:pPr>
            <w:r>
              <w:t xml:space="preserve">1,71</w:t>
            </w:r>
          </w:p>
        </w:tc>
        <w:tc>
          <w:tcPr/>
          <w:p>
            <w:pPr>
              <w:pStyle w:val="Compact"/>
              <w:jc w:val="left"/>
            </w:pPr>
            <w:r>
              <w:t xml:space="preserve">0,85</w:t>
            </w:r>
          </w:p>
        </w:tc>
        <w:tc>
          <w:tcPr/>
          <w:p>
            <w:pPr>
              <w:pStyle w:val="Compact"/>
              <w:jc w:val="left"/>
            </w:pPr>
            <w:r>
              <w:t xml:space="preserve">0,8</w:t>
            </w:r>
          </w:p>
        </w:tc>
      </w:tr>
      <w:tr>
        <w:tc>
          <w:tcPr/>
          <w:p>
            <w:pPr>
              <w:pStyle w:val="Compact"/>
              <w:jc w:val="left"/>
            </w:pPr>
            <w:r>
              <w:t xml:space="preserve">TRIPLE T</w:t>
            </w:r>
          </w:p>
        </w:tc>
        <w:tc>
          <w:tcPr/>
          <w:p>
            <w:pPr>
              <w:pStyle w:val="Compact"/>
              <w:jc w:val="left"/>
            </w:pPr>
            <w:r>
              <w:t xml:space="preserve">lanciato feb 2026, ATH 23 lug 2026 (ciclo corrente); Ramadan 2027 a febbraio come catalizzatore stagionale; top-10 al 16,3%, mint e freeze revocate, LP bruciata; personaggio di pubblico dominio</w:t>
            </w:r>
          </w:p>
        </w:tc>
        <w:tc>
          <w:tcPr/>
          <w:p>
            <w:pPr>
              <w:pStyle w:val="Compact"/>
              <w:jc w:val="left"/>
            </w:pPr>
            <w:r>
              <w:t xml:space="preserve">solo BitMart spot e perpetual MEXC, nessun listing di prima fascia o Alpha</w:t>
            </w:r>
          </w:p>
        </w:tc>
        <w:tc>
          <w:tcPr/>
          <w:p>
            <w:pPr>
              <w:pStyle w:val="Compact"/>
              <w:jc w:val="left"/>
            </w:pPr>
            <w:r>
              <w:t xml:space="preserve">1,20</w:t>
            </w:r>
          </w:p>
        </w:tc>
        <w:tc>
          <w:tcPr/>
          <w:p>
            <w:pPr>
              <w:pStyle w:val="Compact"/>
              <w:jc w:val="left"/>
            </w:pPr>
            <w:r>
              <w:t xml:space="preserve">0,95</w:t>
            </w:r>
          </w:p>
        </w:tc>
        <w:tc>
          <w:tcPr/>
          <w:p>
            <w:pPr>
              <w:pStyle w:val="Compact"/>
              <w:jc w:val="left"/>
            </w:pPr>
            <w:r>
              <w:t xml:space="preserve">0,5</w:t>
            </w:r>
          </w:p>
        </w:tc>
      </w:tr>
      <w:tr>
        <w:tc>
          <w:tcPr/>
          <w:p>
            <w:pPr>
              <w:pStyle w:val="Compact"/>
              <w:jc w:val="left"/>
            </w:pPr>
            <w:r>
              <w:t xml:space="preserve">CUPSEY</w:t>
            </w:r>
          </w:p>
        </w:tc>
        <w:tc>
          <w:tcPr/>
          <w:p>
            <w:pPr>
              <w:pStyle w:val="Compact"/>
              <w:jc w:val="left"/>
            </w:pPr>
            <w:r>
              <w:t xml:space="preserve">contratto rilanciato gen 2026, ATH 21–22 ago 2026 (ciclo corrente)</w:t>
            </w:r>
          </w:p>
        </w:tc>
        <w:tc>
          <w:tcPr/>
          <w:p>
            <w:pPr>
              <w:pStyle w:val="Compact"/>
              <w:jc w:val="left"/>
            </w:pPr>
            <w:r>
              <w:t xml:space="preserve">15K holder, $0,5 mln di liquidità; solo CEX di seconda fascia; wallet di progetto al 16,8% e 8% ai KOL senza lock, una migrazione già alle spalle; brand non posseduto, trader estraneo, siti di finto airdrop che svuotano i wallet</w:t>
            </w:r>
          </w:p>
        </w:tc>
        <w:tc>
          <w:tcPr/>
          <w:p>
            <w:pPr>
              <w:pStyle w:val="Compact"/>
              <w:jc w:val="left"/>
            </w:pPr>
            <w:r>
              <w:t xml:space="preserve">0,76</w:t>
            </w:r>
          </w:p>
        </w:tc>
        <w:tc>
          <w:tcPr/>
          <w:p>
            <w:pPr>
              <w:pStyle w:val="Compact"/>
              <w:jc w:val="left"/>
            </w:pPr>
            <w:r>
              <w:t xml:space="preserve">1,26</w:t>
            </w:r>
          </w:p>
        </w:tc>
        <w:tc>
          <w:tcPr/>
          <w:p>
            <w:pPr>
              <w:pStyle w:val="Compact"/>
              <w:jc w:val="left"/>
            </w:pPr>
            <w:r>
              <w:t xml:space="preserve">0,5</w:t>
            </w:r>
          </w:p>
        </w:tc>
      </w:tr>
      <w:tr>
        <w:tc>
          <w:tcPr/>
          <w:p>
            <w:pPr>
              <w:pStyle w:val="Compact"/>
              <w:jc w:val="left"/>
            </w:pPr>
            <w:r>
              <w:t xml:space="preserve">WOJAK (ETH)</w:t>
            </w:r>
          </w:p>
        </w:tc>
        <w:tc>
          <w:tcPr/>
          <w:p>
            <w:pPr>
              <w:pStyle w:val="Compact"/>
              <w:jc w:val="left"/>
            </w:pPr>
            <w:r>
              <w:t xml:space="preserve">nuovo contratto 2026, ATH 20 giu 2026, −65%; Kraken dal 30 set 2026, HTX, perpetual Gate, MEXC, LBank; whitepaper MiCAR del 25 giu 2026 e 27,27% della supply bruciata</w:t>
            </w:r>
          </w:p>
        </w:tc>
        <w:tc>
          <w:tcPr/>
          <w:p>
            <w:pPr>
              <w:pStyle w:val="Compact"/>
              <w:jc w:val="left"/>
            </w:pPr>
            <w:r>
              <w:t xml:space="preserve">12,3K holder (dimezzati dalla migrazione), liquidità Uniswap $0,4–0,9 mln, volume sceso da $8–11 mln a $1 mln al giorno; 68% di "dust wallet", flottante basso, nessuna tabella top-10 del nuovo contratto; brand non posseduto con cloni su Solana, Base, Robinhood Chain e BSC</w:t>
            </w:r>
          </w:p>
        </w:tc>
        <w:tc>
          <w:tcPr/>
          <w:p>
            <w:pPr>
              <w:pStyle w:val="Compact"/>
              <w:jc w:val="left"/>
            </w:pPr>
            <w:r>
              <w:t xml:space="preserve">1,08</w:t>
            </w:r>
          </w:p>
        </w:tc>
        <w:tc>
          <w:tcPr/>
          <w:p>
            <w:pPr>
              <w:pStyle w:val="Compact"/>
              <w:jc w:val="left"/>
            </w:pPr>
            <w:r>
              <w:t xml:space="preserve">1,09</w:t>
            </w:r>
          </w:p>
        </w:tc>
        <w:tc>
          <w:tcPr/>
          <w:p>
            <w:pPr>
              <w:pStyle w:val="Compact"/>
              <w:jc w:val="left"/>
            </w:pPr>
            <w:r>
              <w:t xml:space="preserve">0,6</w:t>
            </w:r>
          </w:p>
        </w:tc>
      </w:tr>
      <w:tr>
        <w:tc>
          <w:tcPr/>
          <w:p>
            <w:pPr>
              <w:pStyle w:val="Compact"/>
              <w:jc w:val="left"/>
            </w:pPr>
            <w:r>
              <w:t xml:space="preserve">CASHCAT (Robinhood Chain)</w:t>
            </w:r>
          </w:p>
        </w:tc>
        <w:tc>
          <w:tcPr/>
          <w:p>
            <w:pPr>
              <w:pStyle w:val="Compact"/>
              <w:jc w:val="left"/>
            </w:pPr>
            <w:r>
              <w:t xml:space="preserve">lanciato lug 2026, ATH 3 set 2026, il token più giovane del gruppo e ancora nel primo ciclo di attenzione (1,15/0,95); unica meme della chain confermata nell'app Robinhood e in Robinhood Legend dal 6 ago 2026, più Binance Alpha 2.0 e perpetual Binance Wallet 10×, KuCoin spot dal 15 lug, MEXC, Gate, Bitrue, perpetual su OKX e Hyperliquid (1,20/0,95); holder 41–112K (1,05 al rialzo); catalizzatori: risultati HOOD del 27 ott, launchpad comunitario letscash.fun, flusso di notizie sulla chain (1,05/1,00)</w:t>
            </w:r>
          </w:p>
        </w:tc>
        <w:tc>
          <w:tcPr/>
          <w:p>
            <w:pPr>
              <w:pStyle w:val="Compact"/>
              <w:jc w:val="left"/>
            </w:pPr>
            <w:r>
              <w:t xml:space="preserve">−63% dall'ATH, −40% nel mese, momentum negativo dopo la vendita da wallet hackerato (1,00/1,05); liquidità DEX di soli $2,6–5,4 mln (2–4% della cap) in una sola pool, Hyperliquid oltre il 70% del volume futures con un flash crash del −60% in un minuto a luglio (1,10 al ribasso); concentrazione: top-1.000 indirizzi all'89,1%, wallet più grande al 13,7% non identificato, contratto di vesting all'1,37%, segnalazione "Coordinated?" di Bubblemaps su acquisti due giorni prima del listing (0,90/1,15); rischio di chain: L2 di tre mesi con un solo sequencer, uscite a 7 giorni, Noxa sparito, anello di rug pull, sussidio gas finito, attività meme a −96/−97% (0,90/1,15); ha perso il primo posto tra le meme della chain a favore di Artificial Inu</w:t>
            </w:r>
          </w:p>
        </w:tc>
        <w:tc>
          <w:tcPr/>
          <w:p>
            <w:pPr>
              <w:pStyle w:val="Compact"/>
              <w:jc w:val="left"/>
            </w:pPr>
            <w:r>
              <w:t xml:space="preserve">1,23</w:t>
            </w:r>
          </w:p>
        </w:tc>
        <w:tc>
          <w:tcPr/>
          <w:p>
            <w:pPr>
              <w:pStyle w:val="Compact"/>
              <w:jc w:val="left"/>
            </w:pPr>
            <w:r>
              <w:t xml:space="preserve">1,38</w:t>
            </w:r>
          </w:p>
        </w:tc>
        <w:tc>
          <w:tcPr/>
          <w:p>
            <w:pPr>
              <w:pStyle w:val="Compact"/>
              <w:jc w:val="left"/>
            </w:pPr>
            <w:r>
              <w:t xml:space="preserve">0,45</w:t>
            </w:r>
          </w:p>
        </w:tc>
      </w:tr>
      <w:tr>
        <w:tc>
          <w:tcPr/>
          <w:p>
            <w:pPr>
              <w:pStyle w:val="Compact"/>
              <w:jc w:val="left"/>
            </w:pPr>
            <w:r>
              <w:t xml:space="preserve">PEPE (ETH)</w:t>
            </w:r>
          </w:p>
        </w:tc>
        <w:tc>
          <w:tcPr/>
          <w:p>
            <w:pPr>
              <w:pStyle w:val="Compact"/>
              <w:jc w:val="left"/>
            </w:pPr>
            <w:r>
              <w:t xml:space="preserve">592K holder in crescita, $150–210 mln al giorno di volume, $323 mln di OI, profondità CEX resistente (1,05/0,90); scala CEX completa con Binance, Coinbase, Kraken, Bybit, Robinhood spot e perpetual, ETP Valour, nessun rischio di delisting (1,05/0,90); ETF spot Canary con S-1/A del 2 ott 2026, binario, e perpetual USA in attesa della CFTC (1,15/1,05)</w:t>
            </w:r>
          </w:p>
        </w:tc>
        <w:tc>
          <w:tcPr/>
          <w:p>
            <w:pPr>
              <w:pStyle w:val="Compact"/>
              <w:jc w:val="left"/>
            </w:pPr>
            <w:r>
              <w:t xml:space="preserve">lancio 2023 e ATH dic 2024, ciclo precedente, pur con un ATH di secondo ciclo già dimostrato (0,90/1,00); −85% e nessun nuovo massimo da 22 mesi (0,95/1,05); top-10 al 41% esclusi gli exchange (77% grezzo), con whale in accumulo netto nel 2026 (0,95/1,05); team anonimo, vendita dal multisig dell'ago 2023, rumore promozionale "Pepeto", confusione di nome con PEPECOIN e Pepe Community (0,95/1,00)</w:t>
            </w:r>
          </w:p>
        </w:tc>
        <w:tc>
          <w:tcPr/>
          <w:p>
            <w:pPr>
              <w:pStyle w:val="Compact"/>
              <w:jc w:val="left"/>
            </w:pPr>
            <w:r>
              <w:t xml:space="preserve">0,98</w:t>
            </w:r>
          </w:p>
        </w:tc>
        <w:tc>
          <w:tcPr/>
          <w:p>
            <w:pPr>
              <w:pStyle w:val="Compact"/>
              <w:jc w:val="left"/>
            </w:pPr>
            <w:r>
              <w:t xml:space="preserve">0,94</w:t>
            </w:r>
          </w:p>
        </w:tc>
        <w:tc>
          <w:tcPr/>
          <w:p>
            <w:pPr>
              <w:pStyle w:val="Compact"/>
              <w:jc w:val="left"/>
            </w:pPr>
            <w:r>
              <w:t xml:space="preserve">1,1</w:t>
            </w:r>
          </w:p>
        </w:tc>
      </w:tr>
    </w:tbl>
    <w:p>
      <w:pPr>
        <w:pStyle w:val="BodyText"/>
      </w:pPr>
      <w:r>
        <w:t xml:space="preserve">Fonti per i fattori: CHILLGUY (</w:t>
      </w:r>
      <w:hyperlink r:id="rId144">
        <w:r>
          <w:rPr>
            <w:rStyle w:val="Hyperlink"/>
          </w:rPr>
          <w:t xml:space="preserve">GeckoTerminal</w:t>
        </w:r>
      </w:hyperlink>
      <w:r>
        <w:t xml:space="preserve">;</w:t>
      </w:r>
      <w:r>
        <w:t xml:space="preserve"> </w:t>
      </w:r>
      <w:hyperlink r:id="rId145">
        <w:r>
          <w:rPr>
            <w:rStyle w:val="Hyperlink"/>
          </w:rPr>
          <w:t xml:space="preserve">The Block</w:t>
        </w:r>
      </w:hyperlink>
      <w:r>
        <w:t xml:space="preserve">;</w:t>
      </w:r>
      <w:r>
        <w:t xml:space="preserve"> </w:t>
      </w:r>
      <w:hyperlink r:id="rId146">
        <w:r>
          <w:rPr>
            <w:rStyle w:val="Hyperlink"/>
          </w:rPr>
          <w:t xml:space="preserve">Phemex delisting</w:t>
        </w:r>
      </w:hyperlink>
      <w:r>
        <w:t xml:space="preserve">); CHILLHOUSE (</w:t>
      </w:r>
      <w:hyperlink r:id="rId147">
        <w:r>
          <w:rPr>
            <w:rStyle w:val="Hyperlink"/>
          </w:rPr>
          <w:t xml:space="preserve">DexPaprika</w:t>
        </w:r>
      </w:hyperlink>
      <w:r>
        <w:t xml:space="preserve">;</w:t>
      </w:r>
      <w:r>
        <w:t xml:space="preserve"> </w:t>
      </w:r>
      <w:hyperlink r:id="rId148">
        <w:r>
          <w:rPr>
            <w:rStyle w:val="Hyperlink"/>
          </w:rPr>
          <w:t xml:space="preserve">MEXC News</w:t>
        </w:r>
      </w:hyperlink>
      <w:r>
        <w:t xml:space="preserve">;</w:t>
      </w:r>
      <w:r>
        <w:t xml:space="preserve"> </w:t>
      </w:r>
      <w:hyperlink r:id="rId149">
        <w:r>
          <w:rPr>
            <w:rStyle w:val="Hyperlink"/>
          </w:rPr>
          <w:t xml:space="preserve">Kraken</w:t>
        </w:r>
      </w:hyperlink>
      <w:r>
        <w:t xml:space="preserve">); TROLL (</w:t>
      </w:r>
      <w:hyperlink r:id="rId150">
        <w:r>
          <w:rPr>
            <w:rStyle w:val="Hyperlink"/>
          </w:rPr>
          <w:t xml:space="preserve">Decrypt, licenza</w:t>
        </w:r>
      </w:hyperlink>
      <w:r>
        <w:t xml:space="preserve">;</w:t>
      </w:r>
      <w:r>
        <w:t xml:space="preserve"> </w:t>
      </w:r>
      <w:hyperlink r:id="rId151">
        <w:r>
          <w:rPr>
            <w:rStyle w:val="Hyperlink"/>
          </w:rPr>
          <w:t xml:space="preserve">Coingabbar, Coinbase</w:t>
        </w:r>
      </w:hyperlink>
      <w:r>
        <w:t xml:space="preserve">;</w:t>
      </w:r>
      <w:r>
        <w:t xml:space="preserve"> </w:t>
      </w:r>
      <w:hyperlink r:id="rId152">
        <w:r>
          <w:rPr>
            <w:rStyle w:val="Hyperlink"/>
          </w:rPr>
          <w:t xml:space="preserve">Binance.US su X</w:t>
        </w:r>
      </w:hyperlink>
      <w:r>
        <w:t xml:space="preserve">;</w:t>
      </w:r>
      <w:r>
        <w:t xml:space="preserve"> </w:t>
      </w:r>
      <w:hyperlink r:id="rId153">
        <w:r>
          <w:rPr>
            <w:rStyle w:val="Hyperlink"/>
          </w:rPr>
          <w:t xml:space="preserve">CoinMarketCap AI TROLL</w:t>
        </w:r>
      </w:hyperlink>
      <w:r>
        <w:t xml:space="preserve">); TRIPLE T (</w:t>
      </w:r>
      <w:hyperlink r:id="rId154">
        <w:r>
          <w:rPr>
            <w:rStyle w:val="Hyperlink"/>
          </w:rPr>
          <w:t xml:space="preserve">madeonsol</w:t>
        </w:r>
      </w:hyperlink>
      <w:r>
        <w:t xml:space="preserve">;</w:t>
      </w:r>
      <w:r>
        <w:t xml:space="preserve"> </w:t>
      </w:r>
      <w:hyperlink r:id="rId155">
        <w:r>
          <w:rPr>
            <w:rStyle w:val="Hyperlink"/>
          </w:rPr>
          <w:t xml:space="preserve">Wikipedia</w:t>
        </w:r>
      </w:hyperlink>
      <w:r>
        <w:t xml:space="preserve">;</w:t>
      </w:r>
      <w:r>
        <w:t xml:space="preserve"> </w:t>
      </w:r>
      <w:hyperlink r:id="rId156">
        <w:r>
          <w:rPr>
            <w:rStyle w:val="Hyperlink"/>
          </w:rPr>
          <w:t xml:space="preserve">Coinranking</w:t>
        </w:r>
      </w:hyperlink>
      <w:r>
        <w:t xml:space="preserve">); CUPSEY (</w:t>
      </w:r>
      <w:hyperlink r:id="rId24">
        <w:r>
          <w:rPr>
            <w:rStyle w:val="Hyperlink"/>
          </w:rPr>
          <w:t xml:space="preserve">Phantom</w:t>
        </w:r>
      </w:hyperlink>
      <w:r>
        <w:t xml:space="preserve">;</w:t>
      </w:r>
      <w:r>
        <w:t xml:space="preserve"> </w:t>
      </w:r>
      <w:hyperlink r:id="rId157">
        <w:r>
          <w:rPr>
            <w:rStyle w:val="Hyperlink"/>
          </w:rPr>
          <w:t xml:space="preserve">pump.fun</w:t>
        </w:r>
      </w:hyperlink>
      <w:r>
        <w:t xml:space="preserve">;</w:t>
      </w:r>
      <w:r>
        <w:t xml:space="preserve"> </w:t>
      </w:r>
      <w:hyperlink r:id="rId158">
        <w:r>
          <w:rPr>
            <w:rStyle w:val="Hyperlink"/>
          </w:rPr>
          <w:t xml:space="preserve">PCrisk</w:t>
        </w:r>
      </w:hyperlink>
      <w:r>
        <w:t xml:space="preserve">); WOJAK (</w:t>
      </w:r>
      <w:hyperlink r:id="rId159">
        <w:r>
          <w:rPr>
            <w:rStyle w:val="Hyperlink"/>
          </w:rPr>
          <w:t xml:space="preserve">Kraken blog</w:t>
        </w:r>
      </w:hyperlink>
      <w:r>
        <w:t xml:space="preserve">;</w:t>
      </w:r>
      <w:r>
        <w:t xml:space="preserve"> </w:t>
      </w:r>
      <w:hyperlink r:id="rId160">
        <w:r>
          <w:rPr>
            <w:rStyle w:val="Hyperlink"/>
          </w:rPr>
          <w:t xml:space="preserve">wojakcto.com whitepaper</w:t>
        </w:r>
      </w:hyperlink>
      <w:r>
        <w:t xml:space="preserve">;</w:t>
      </w:r>
      <w:r>
        <w:t xml:space="preserve"> </w:t>
      </w:r>
      <w:hyperlink r:id="rId161">
        <w:r>
          <w:rPr>
            <w:rStyle w:val="Hyperlink"/>
          </w:rPr>
          <w:t xml:space="preserve">TradingView/CoinMarketCal</w:t>
        </w:r>
      </w:hyperlink>
      <w:r>
        <w:t xml:space="preserve">;</w:t>
      </w:r>
      <w:r>
        <w:t xml:space="preserve"> </w:t>
      </w:r>
      <w:hyperlink r:id="rId162">
        <w:r>
          <w:rPr>
            <w:rStyle w:val="Hyperlink"/>
          </w:rPr>
          <w:t xml:space="preserve">Cryptonews</w:t>
        </w:r>
      </w:hyperlink>
      <w:r>
        <w:t xml:space="preserve">); CASHCAT (</w:t>
      </w:r>
      <w:hyperlink r:id="rId163">
        <w:r>
          <w:rPr>
            <w:rStyle w:val="Hyperlink"/>
          </w:rPr>
          <w:t xml:space="preserve">Arkham</w:t>
        </w:r>
      </w:hyperlink>
      <w:r>
        <w:t xml:space="preserve">;</w:t>
      </w:r>
      <w:r>
        <w:t xml:space="preserve"> </w:t>
      </w:r>
      <w:hyperlink r:id="rId164">
        <w:r>
          <w:rPr>
            <w:rStyle w:val="Hyperlink"/>
          </w:rPr>
          <w:t xml:space="preserve">GeckoTerminal</w:t>
        </w:r>
      </w:hyperlink>
      <w:r>
        <w:t xml:space="preserve">;</w:t>
      </w:r>
      <w:r>
        <w:t xml:space="preserve"> </w:t>
      </w:r>
      <w:hyperlink r:id="rId165">
        <w:r>
          <w:rPr>
            <w:rStyle w:val="Hyperlink"/>
          </w:rPr>
          <w:t xml:space="preserve">DEX Screener</w:t>
        </w:r>
      </w:hyperlink>
      <w:r>
        <w:t xml:space="preserve">;</w:t>
      </w:r>
      <w:r>
        <w:t xml:space="preserve"> </w:t>
      </w:r>
      <w:hyperlink r:id="rId166">
        <w:r>
          <w:rPr>
            <w:rStyle w:val="Hyperlink"/>
          </w:rPr>
          <w:t xml:space="preserve">Analytics Insight</w:t>
        </w:r>
      </w:hyperlink>
      <w:r>
        <w:t xml:space="preserve">;</w:t>
      </w:r>
      <w:r>
        <w:t xml:space="preserve"> </w:t>
      </w:r>
      <w:hyperlink r:id="rId167">
        <w:r>
          <w:rPr>
            <w:rStyle w:val="Hyperlink"/>
          </w:rPr>
          <w:t xml:space="preserve">U.Today</w:t>
        </w:r>
      </w:hyperlink>
      <w:r>
        <w:t xml:space="preserve">;</w:t>
      </w:r>
      <w:r>
        <w:t xml:space="preserve"> </w:t>
      </w:r>
      <w:hyperlink r:id="rId168">
        <w:r>
          <w:rPr>
            <w:rStyle w:val="Hyperlink"/>
          </w:rPr>
          <w:t xml:space="preserve">KuCoin su X</w:t>
        </w:r>
      </w:hyperlink>
      <w:r>
        <w:t xml:space="preserve">;</w:t>
      </w:r>
      <w:r>
        <w:t xml:space="preserve"> </w:t>
      </w:r>
      <w:hyperlink r:id="rId169">
        <w:r>
          <w:rPr>
            <w:rStyle w:val="Hyperlink"/>
          </w:rPr>
          <w:t xml:space="preserve">Binance Wallet su X</w:t>
        </w:r>
      </w:hyperlink>
      <w:r>
        <w:t xml:space="preserve">;</w:t>
      </w:r>
      <w:r>
        <w:t xml:space="preserve"> </w:t>
      </w:r>
      <w:hyperlink r:id="rId170">
        <w:r>
          <w:rPr>
            <w:rStyle w:val="Hyperlink"/>
          </w:rPr>
          <w:t xml:space="preserve">DropsTab</w:t>
        </w:r>
      </w:hyperlink>
      <w:r>
        <w:t xml:space="preserve">;</w:t>
      </w:r>
      <w:r>
        <w:t xml:space="preserve"> </w:t>
      </w:r>
      <w:hyperlink r:id="rId171">
        <w:r>
          <w:rPr>
            <w:rStyle w:val="Hyperlink"/>
          </w:rPr>
          <w:t xml:space="preserve">Guavy</w:t>
        </w:r>
      </w:hyperlink>
      <w:r>
        <w:t xml:space="preserve">;</w:t>
      </w:r>
      <w:r>
        <w:t xml:space="preserve"> </w:t>
      </w:r>
      <w:hyperlink r:id="rId172">
        <w:r>
          <w:rPr>
            <w:rStyle w:val="Hyperlink"/>
          </w:rPr>
          <w:t xml:space="preserve">Tangem</w:t>
        </w:r>
      </w:hyperlink>
      <w:r>
        <w:t xml:space="preserve">;</w:t>
      </w:r>
      <w:r>
        <w:t xml:space="preserve"> </w:t>
      </w:r>
      <w:hyperlink r:id="rId173">
        <w:r>
          <w:rPr>
            <w:rStyle w:val="Hyperlink"/>
          </w:rPr>
          <w:t xml:space="preserve">Phemex Academy</w:t>
        </w:r>
      </w:hyperlink>
      <w:r>
        <w:t xml:space="preserve">); PEPE (</w:t>
      </w:r>
      <w:hyperlink r:id="rId174">
        <w:r>
          <w:rPr>
            <w:rStyle w:val="Hyperlink"/>
          </w:rPr>
          <w:t xml:space="preserve">Datawallet</w:t>
        </w:r>
      </w:hyperlink>
      <w:r>
        <w:t xml:space="preserve">;</w:t>
      </w:r>
      <w:r>
        <w:t xml:space="preserve"> </w:t>
      </w:r>
      <w:hyperlink r:id="rId175">
        <w:r>
          <w:rPr>
            <w:rStyle w:val="Hyperlink"/>
          </w:rPr>
          <w:t xml:space="preserve">CoinGabbar</w:t>
        </w:r>
      </w:hyperlink>
      <w:r>
        <w:t xml:space="preserve">;</w:t>
      </w:r>
      <w:r>
        <w:t xml:space="preserve"> </w:t>
      </w:r>
      <w:hyperlink r:id="rId176">
        <w:r>
          <w:rPr>
            <w:rStyle w:val="Hyperlink"/>
          </w:rPr>
          <w:t xml:space="preserve">Yahoo Finance, Santiment</w:t>
        </w:r>
      </w:hyperlink>
      <w:r>
        <w:t xml:space="preserve">;</w:t>
      </w:r>
      <w:r>
        <w:t xml:space="preserve"> </w:t>
      </w:r>
      <w:hyperlink r:id="rId177">
        <w:r>
          <w:rPr>
            <w:rStyle w:val="Hyperlink"/>
          </w:rPr>
          <w:t xml:space="preserve">The Block, ago 2023</w:t>
        </w:r>
      </w:hyperlink>
      <w:r>
        <w:t xml:space="preserve">;</w:t>
      </w:r>
      <w:r>
        <w:t xml:space="preserve"> </w:t>
      </w:r>
      <w:hyperlink r:id="rId178">
        <w:r>
          <w:rPr>
            <w:rStyle w:val="Hyperlink"/>
          </w:rPr>
          <w:t xml:space="preserve">Decrypt, mag 2023</w:t>
        </w:r>
      </w:hyperlink>
      <w:r>
        <w:t xml:space="preserve">;</w:t>
      </w:r>
      <w:r>
        <w:t xml:space="preserve"> </w:t>
      </w:r>
      <w:hyperlink r:id="rId179">
        <w:r>
          <w:rPr>
            <w:rStyle w:val="Hyperlink"/>
          </w:rPr>
          <w:t xml:space="preserve">Kraken futures</w:t>
        </w:r>
      </w:hyperlink>
      <w:r>
        <w:t xml:space="preserve">;</w:t>
      </w:r>
      <w:r>
        <w:t xml:space="preserve"> </w:t>
      </w:r>
      <w:hyperlink r:id="rId180">
        <w:r>
          <w:rPr>
            <w:rStyle w:val="Hyperlink"/>
          </w:rPr>
          <w:t xml:space="preserve">Valour</w:t>
        </w:r>
      </w:hyperlink>
      <w:r>
        <w:t xml:space="preserve">). Per i profili completi dei sei token originali si rimanda al rapporto "Memecoin Solana con Wojak Ethereum".</w:t>
      </w:r>
    </w:p>
    <w:p>
      <w:pPr>
        <w:pStyle w:val="BodyText"/>
      </w:pPr>
      <w:r>
        <w:t xml:space="preserve">Il senso dei numeri è semplice. TROLL è l'unico fra i sei originali che accumula fattori positivi (scala di listing da mid-cap, IP esclusiva, base holder in crescita, un ciclo 2026 proprio) e vede le proprie quote di rialzo moltiplicate per 1,7 e quelle di ribasso ridotte del 15%. CHILLGUY paga la combinazione "meme 2024 a −98% senza catalizzatori e con supply concentrata", che quasi dimezza le quote di rialzo nonostante l'infrastruttura migliore della fascia. CHILLHOUSE è il caso in cui i limiti del modello contano: il prodotto grezzo dei suoi fattori (0,24 al rialzo, 2,17 al ribasso) viene riportato ai limiti di 0,5 e 2,0, quindi</w:t>
      </w:r>
      <w:r>
        <w:t xml:space="preserve"> </w:t>
      </w:r>
      <w:r>
        <w:rPr>
          <w:bCs/>
          <w:b/>
        </w:rPr>
        <w:t xml:space="preserve">il modello è meno pessimista su CHILLHOUSE di quanto i fatti suggerirebbero</w:t>
      </w:r>
      <w:r>
        <w:t xml:space="preserve">. TRIPLE T, CUPSEY e WOJAK sono vicini al neutro: più giovani e più vicini ai massimi (3× di distanza contro 20–53× per le due "Chill"), ma con liquidità sottile e, per CUPSEY e WOJAK, problemi di insider, migrazioni e cloni.</w:t>
      </w:r>
      <w:r>
        <w:t xml:space="preserve"> </w:t>
      </w:r>
      <w:r>
        <w:rPr>
          <w:bCs/>
          <w:b/>
        </w:rPr>
        <w:t xml:space="preserve">CASHCAT è l'unico token con entrambi i moltiplicatori sopra 1</w:t>
      </w:r>
      <w:r>
        <w:t xml:space="preserve"> </w:t>
      </w:r>
      <w:r>
        <w:t xml:space="preserve">(1,23 al rialzo, 1,38 al ribasso): la giovinezza e la distribuzione nell'app Robinhood aumentano le quote di salire, la concentrazione, il rischio di chain e la liquidità sottile aumentano di più quelle di scendere; è un token a varianza più alta della meme consolidata generica, non un token "migliore" o "peggiore".</w:t>
      </w:r>
      <w:r>
        <w:t xml:space="preserve"> </w:t>
      </w:r>
      <w:r>
        <w:rPr>
          <w:bCs/>
          <w:b/>
        </w:rPr>
        <w:t xml:space="preserve">PEPE ha moltiplicatori quasi neutri</w:t>
      </w:r>
      <w:r>
        <w:t xml:space="preserve"> </w:t>
      </w:r>
      <w:r>
        <w:t xml:space="preserve">(0,98 e 0,94), ed è voluto: la sua tabella incorpora già la sopravvivenza e il tracking di ETH, i moltiplicatori catturano solo le deviazioni rispetto a un "bellwether generico" e nessun fattore supera 0,90–1,15 per evitare doppi conteggi; l'unico sopra 1,10 è l'ETF (1,15 al rialzo, 1,05 al ribasso), perché l'approvazione sarebbe il primo ETF spot USA su una memecoin Ethereum e il più grande catalizzatore strutturale identificato, mentre un rifiuto o un rinvio indefinito "toglierebbe la principale narrativa del 2026".</w:t>
      </w:r>
    </w:p>
    <w:bookmarkStart w:id="182" w:name="X098ed736b0920ce686a7017daac6e01dd96e984"/>
    <w:p>
      <w:pPr>
        <w:pStyle w:val="Heading3"/>
      </w:pPr>
      <w:r>
        <w:t xml:space="preserve">Il fattore "adozione di Robinhood Chain": tre stati per CASHCAT</w:t>
      </w:r>
    </w:p>
    <w:p>
      <w:pPr>
        <w:pStyle w:val="FirstParagraph"/>
      </w:pPr>
      <w:r>
        <w:t xml:space="preserve">Per CASHCAT c'è un terzo strumento, perché il suo driver principale non è né ETH né la lotteria generica delle meme ma l'attenzione verso la sua chain: le note lo descrivono come "un proxy a leva sull'attenzione meme di Robinhood Chain". Il modello lo rende esplicito con un</w:t>
      </w:r>
      <w:r>
        <w:t xml:space="preserve"> </w:t>
      </w:r>
      <w:r>
        <w:rPr>
          <w:bCs/>
          <w:b/>
        </w:rPr>
        <w:t xml:space="preserve">fattore a tre stati, indipendente dallo scenario ETH</w:t>
      </w:r>
      <w:r>
        <w:t xml:space="preserve">, che fa parte della componente idiosincratica del token. Nel metodo tabellare ogni stato applica un proprio moltiplicatore alle quote e il risultato non condizionato è la media pesata dei tre; nel Monte Carlo ogni percorso pesca uno stato (con un generatore casuale separato, così che i percorsi dei sei token originali restino identici) e riceve uno spostamento del drift in termini logaritmici.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Stato della chain</w:t>
            </w:r>
          </w:p>
        </w:tc>
        <w:tc>
          <w:tcPr/>
          <w:p>
            <w:pPr>
              <w:pStyle w:val="Compact"/>
              <w:jc w:val="left"/>
            </w:pPr>
            <w:r>
              <w:t xml:space="preserve">Che cosa significa</w:t>
            </w:r>
          </w:p>
        </w:tc>
        <w:tc>
          <w:tcPr/>
          <w:p>
            <w:pPr>
              <w:pStyle w:val="Compact"/>
              <w:jc w:val="left"/>
            </w:pPr>
            <w:r>
              <w:t xml:space="preserve">Probabilità</w:t>
            </w:r>
          </w:p>
        </w:tc>
        <w:tc>
          <w:tcPr/>
          <w:p>
            <w:pPr>
              <w:pStyle w:val="Compact"/>
              <w:jc w:val="left"/>
            </w:pPr>
            <w:r>
              <w:t xml:space="preserve">Moltiplicatore quote rialzo</w:t>
            </w:r>
          </w:p>
        </w:tc>
        <w:tc>
          <w:tcPr/>
          <w:p>
            <w:pPr>
              <w:pStyle w:val="Compact"/>
              <w:jc w:val="left"/>
            </w:pPr>
            <w:r>
              <w:t xml:space="preserve">Moltiplicatore quote ribasso</w:t>
            </w:r>
          </w:p>
        </w:tc>
        <w:tc>
          <w:tcPr/>
          <w:p>
            <w:pPr>
              <w:pStyle w:val="Compact"/>
              <w:jc w:val="left"/>
            </w:pPr>
            <w:r>
              <w:t xml:space="preserve">Spostamento MC (multiplo)</w:t>
            </w:r>
          </w:p>
        </w:tc>
      </w:tr>
      <w:tr>
        <w:tc>
          <w:tcPr/>
          <w:p>
            <w:pPr>
              <w:pStyle w:val="Compact"/>
              <w:jc w:val="left"/>
            </w:pPr>
            <w:r>
              <w:t xml:space="preserve">Rilancio (Revival)</w:t>
            </w:r>
          </w:p>
        </w:tc>
        <w:tc>
          <w:tcPr/>
          <w:p>
            <w:pPr>
              <w:pStyle w:val="Compact"/>
              <w:jc w:val="left"/>
            </w:pPr>
            <w:r>
              <w:t xml:space="preserve">la stagione meme torna su Robinhood Chain: promozione di HOOD e di Tenev, un nuovo launchpad che sostituisce Noxa e Pons, flussi retail dall'app Robinhood; CASHCAT, incumbent listato nell'app, si rivaluta</w:t>
            </w:r>
          </w:p>
        </w:tc>
        <w:tc>
          <w:tcPr/>
          <w:p>
            <w:pPr>
              <w:pStyle w:val="Compact"/>
              <w:jc w:val="left"/>
            </w:pPr>
            <w:r>
              <w:t xml:space="preserve">20%</w:t>
            </w:r>
          </w:p>
        </w:tc>
        <w:tc>
          <w:tcPr/>
          <w:p>
            <w:pPr>
              <w:pStyle w:val="Compact"/>
              <w:jc w:val="left"/>
            </w:pPr>
            <w:r>
              <w:t xml:space="preserve">2,00</w:t>
            </w:r>
          </w:p>
        </w:tc>
        <w:tc>
          <w:tcPr/>
          <w:p>
            <w:pPr>
              <w:pStyle w:val="Compact"/>
              <w:jc w:val="left"/>
            </w:pPr>
            <w:r>
              <w:t xml:space="preserve">0,60</w:t>
            </w:r>
          </w:p>
        </w:tc>
        <w:tc>
          <w:tcPr/>
          <w:p>
            <w:pPr>
              <w:pStyle w:val="Compact"/>
              <w:jc w:val="left"/>
            </w:pPr>
            <w:r>
              <w:t xml:space="preserve">+0,70 (circa 2,0×)</w:t>
            </w:r>
          </w:p>
        </w:tc>
      </w:tr>
      <w:tr>
        <w:tc>
          <w:tcPr/>
          <w:p>
            <w:pPr>
              <w:pStyle w:val="Compact"/>
              <w:jc w:val="left"/>
            </w:pPr>
            <w:r>
              <w:t xml:space="preserve">Stabile (Stable)</w:t>
            </w:r>
          </w:p>
        </w:tc>
        <w:tc>
          <w:tcPr/>
          <w:p>
            <w:pPr>
              <w:pStyle w:val="Compact"/>
              <w:jc w:val="left"/>
            </w:pPr>
            <w:r>
              <w:t xml:space="preserve">la chain si assesta al livello post-sussidio (TVL circa $1 mld, azioni tokenizzate in crescita, attività meme a una frazione di settembre); CASHCAT mantiene una nicchia come "la meme di Robinhood"</w:t>
            </w:r>
          </w:p>
        </w:tc>
        <w:tc>
          <w:tcPr/>
          <w:p>
            <w:pPr>
              <w:pStyle w:val="Compact"/>
              <w:jc w:val="left"/>
            </w:pPr>
            <w:r>
              <w:t xml:space="preserve">45%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 (1,0×)</w:t>
            </w:r>
          </w:p>
        </w:tc>
      </w:tr>
      <w:tr>
        <w:tc>
          <w:tcPr/>
          <w:p>
            <w:pPr>
              <w:pStyle w:val="Compact"/>
              <w:jc w:val="left"/>
            </w:pPr>
            <w:r>
              <w:t xml:space="preserve">Decadimento (Decay)</w:t>
            </w:r>
          </w:p>
        </w:tc>
        <w:tc>
          <w:tcPr/>
          <w:p>
            <w:pPr>
              <w:pStyle w:val="Compact"/>
              <w:jc w:val="left"/>
            </w:pPr>
            <w:r>
              <w:t xml:space="preserve">l'attività continua a scendere dopo i −42/−96/−97%, le coppie meme muoiono, l'attenzione migra (come già da Noxa a Pons ad AI); CASHCAT segue il percorso di decadimento di Coin Metrics</w:t>
            </w:r>
          </w:p>
        </w:tc>
        <w:tc>
          <w:tcPr/>
          <w:p>
            <w:pPr>
              <w:pStyle w:val="Compact"/>
              <w:jc w:val="left"/>
            </w:pPr>
            <w:r>
              <w:t xml:space="preserve">35%</w:t>
            </w:r>
          </w:p>
        </w:tc>
        <w:tc>
          <w:tcPr/>
          <w:p>
            <w:pPr>
              <w:pStyle w:val="Compact"/>
              <w:jc w:val="left"/>
            </w:pPr>
            <w:r>
              <w:t xml:space="preserve">0,50</w:t>
            </w:r>
          </w:p>
        </w:tc>
        <w:tc>
          <w:tcPr/>
          <w:p>
            <w:pPr>
              <w:pStyle w:val="Compact"/>
              <w:jc w:val="left"/>
            </w:pPr>
            <w:r>
              <w:t xml:space="preserve">1,60</w:t>
            </w:r>
          </w:p>
        </w:tc>
        <w:tc>
          <w:tcPr/>
          <w:p>
            <w:pPr>
              <w:pStyle w:val="Compact"/>
              <w:jc w:val="left"/>
            </w:pPr>
            <w:r>
              <w:t xml:space="preserve">−0,70 (circa 0,5×)</w:t>
            </w:r>
          </w:p>
        </w:tc>
      </w:tr>
    </w:tbl>
    <w:p>
      <w:pPr>
        <w:pStyle w:val="BodyText"/>
      </w:pPr>
      <w:r>
        <w:t xml:space="preserve">Stime e assunzioni del modello. Le probabilità 20/45/35 codificano "più probabile che sfumi che non che riparta, ma un rilancio è un vero 1 su 5": a favore del decadimento stanno le fee a −97%, le coppie a −96%, le transazioni a −42%, il sussidio finito, il launchpad sparito, l'anello di rug pull e PONS a −71%; a favore del rilancio stanno la base strutturale intatta (TVL $1,03 mld, $15 mld di azioni tokenizzate, l'89% delle fee trattenuto da Robinhood, più di 190 titoli) e l'ovvio incentivo commerciale di Robinhood a promuovere la propria chain, con Tenev che ha scritto che la chain "funziona benissimo anche per le meme" (</w:t>
      </w:r>
      <w:hyperlink r:id="rId181">
        <w:r>
          <w:rPr>
            <w:rStyle w:val="Hyperlink"/>
          </w:rPr>
          <w:t xml:space="preserve">crypto.news</w:t>
        </w:r>
      </w:hyperlink>
      <w:r>
        <w:t xml:space="preserve">). I moltiplicatori 2,0/0,6 e 0,5/1,6 sono simmetrici in log-odds e gli spostamenti di ±0,70 (un 2× o uno 0,5× su tutta la distribuzione) sono dello stesso ordine del movimento del listing Robinhood (+151% in 15 ore) e del calo dopo la pausa di Noxa (−33% in 24 ore, −60/−70% in pochi giorni): sono la calibrazione del modellista di "un evento di chain all'anno". Un altro analista potrebbe ragionevolmente usare 30/40/30 o 10/40/50, e la tabella per stato del passo 4 permette a ogni lettore di sostituire i propri pesi.</w:t>
      </w:r>
    </w:p>
    <w:bookmarkEnd w:id="182"/>
    <w:bookmarkEnd w:id="183"/>
    <w:bookmarkStart w:id="184" w:name="Xaf14e7ce4fecefdb6af17d91bd4a7ba304a4553"/>
    <w:p>
      <w:pPr>
        <w:pStyle w:val="Heading2"/>
      </w:pPr>
      <w:r>
        <w:t xml:space="preserve">Passo 4: risultati finali, probabilità condizionate e sensibilità</w:t>
      </w:r>
    </w:p>
    <w:p>
      <w:pPr>
        <w:pStyle w:val="FirstParagraph"/>
      </w:pPr>
      <w:r>
        <w:t xml:space="preserve">Combinando le distribuzioni di SOL ed ETH (passo 1), la tabella generica o quella di PEPE (passo 2) e gli aggiustamenti (passo 3), il modello produce per ogni token le probabilità non condizionate e quelle condizionate a un rialzo della chain. La tabella seguente riporta il metodo tabellare (scenario Base); le probabilità condizionate a "chain ≥ +50%" pesano gli scenari con SOL ≥ $165 (D ed E), quelle a "chain ≥ +100%" gli scenari con SOL ≥ $220. Per WOJAK, CASHCAT e PEPE la chain è ETH (soglie $3.900 e $5.200). Le diciotto righe dei sei token originali sono identiche a quelle del rapporto precedente.</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Token</w:t>
            </w:r>
          </w:p>
        </w:tc>
        <w:tc>
          <w:tcPr/>
          <w:p>
            <w:pPr>
              <w:pStyle w:val="Compact"/>
              <w:jc w:val="left"/>
            </w:pPr>
            <w:r>
              <w:t xml:space="preserve">Condizione</w:t>
            </w:r>
          </w:p>
        </w:tc>
        <w:tc>
          <w:tcPr/>
          <w:p>
            <w:pPr>
              <w:pStyle w:val="Compact"/>
              <w:jc w:val="left"/>
            </w:pPr>
            <w:r>
              <w:t xml:space="preserve">≥ +50%</w:t>
            </w:r>
          </w:p>
        </w:tc>
        <w:tc>
          <w:tcPr/>
          <w:p>
            <w:pPr>
              <w:pStyle w:val="Compact"/>
              <w:jc w:val="left"/>
            </w:pPr>
            <w:r>
              <w:t xml:space="preserve">≥ 2x</w:t>
            </w:r>
          </w:p>
        </w:tc>
        <w:tc>
          <w:tcPr/>
          <w:p>
            <w:pPr>
              <w:pStyle w:val="Compact"/>
              <w:jc w:val="left"/>
            </w:pPr>
            <w:r>
              <w:t xml:space="preserve">≥ 3x</w:t>
            </w:r>
          </w:p>
        </w:tc>
        <w:tc>
          <w:tcPr/>
          <w:p>
            <w:pPr>
              <w:pStyle w:val="Compact"/>
              <w:jc w:val="left"/>
            </w:pPr>
            <w:r>
              <w:t xml:space="preserve">≥ 5x</w:t>
            </w:r>
          </w:p>
        </w:tc>
        <w:tc>
          <w:tcPr/>
          <w:p>
            <w:pPr>
              <w:pStyle w:val="Compact"/>
              <w:jc w:val="left"/>
            </w:pPr>
            <w:r>
              <w:t xml:space="preserve">≥ 10x</w:t>
            </w:r>
          </w:p>
        </w:tc>
        <w:tc>
          <w:tcPr/>
          <w:p>
            <w:pPr>
              <w:pStyle w:val="Compact"/>
              <w:jc w:val="left"/>
            </w:pPr>
            <w:r>
              <w:t xml:space="preserve">Nuovo ATH</w:t>
            </w:r>
          </w:p>
        </w:tc>
        <w:tc>
          <w:tcPr/>
          <w:p>
            <w:pPr>
              <w:pStyle w:val="Compact"/>
              <w:jc w:val="left"/>
            </w:pPr>
            <w:r>
              <w:t xml:space="preserve">≤ −50%</w:t>
            </w:r>
          </w:p>
        </w:tc>
        <w:tc>
          <w:tcPr/>
          <w:p>
            <w:pPr>
              <w:pStyle w:val="Compact"/>
              <w:jc w:val="left"/>
            </w:pPr>
            <w:r>
              <w:t xml:space="preserve">Morta (≤ −80%)</w:t>
            </w:r>
          </w:p>
        </w:tc>
        <w:tc>
          <w:tcPr/>
          <w:p>
            <w:pPr>
              <w:pStyle w:val="Compact"/>
              <w:jc w:val="left"/>
            </w:pPr>
            <w:r>
              <w:t xml:space="preserve">EV</w:t>
            </w:r>
          </w:p>
        </w:tc>
      </w:tr>
      <w:tr>
        <w:tc>
          <w:tcPr/>
          <w:p>
            <w:pPr>
              <w:pStyle w:val="Compact"/>
              <w:jc w:val="left"/>
            </w:pPr>
            <w:r>
              <w:t xml:space="preserve">CHILLGUY</w:t>
            </w:r>
          </w:p>
        </w:tc>
        <w:tc>
          <w:tcPr/>
          <w:p>
            <w:pPr>
              <w:pStyle w:val="Compact"/>
              <w:jc w:val="left"/>
            </w:pPr>
            <w:r>
              <w:t xml:space="preserve">non condizionata</w:t>
            </w:r>
          </w:p>
        </w:tc>
        <w:tc>
          <w:tcPr/>
          <w:p>
            <w:pPr>
              <w:pStyle w:val="Compact"/>
              <w:jc w:val="left"/>
            </w:pPr>
            <w:r>
              <w:t xml:space="preserve">11,9%</w:t>
            </w:r>
          </w:p>
        </w:tc>
        <w:tc>
          <w:tcPr/>
          <w:p>
            <w:pPr>
              <w:pStyle w:val="Compact"/>
              <w:jc w:val="left"/>
            </w:pPr>
            <w:r>
              <w:t xml:space="preserve">7,3%</w:t>
            </w:r>
          </w:p>
        </w:tc>
        <w:tc>
          <w:tcPr/>
          <w:p>
            <w:pPr>
              <w:pStyle w:val="Compact"/>
              <w:jc w:val="left"/>
            </w:pPr>
            <w:r>
              <w:t xml:space="preserve">4,4%</w:t>
            </w:r>
          </w:p>
        </w:tc>
        <w:tc>
          <w:tcPr/>
          <w:p>
            <w:pPr>
              <w:pStyle w:val="Compact"/>
              <w:jc w:val="left"/>
            </w:pPr>
            <w:r>
              <w:t xml:space="preserve">2,3%</w:t>
            </w:r>
          </w:p>
        </w:tc>
        <w:tc>
          <w:tcPr/>
          <w:p>
            <w:pPr>
              <w:pStyle w:val="Compact"/>
              <w:jc w:val="left"/>
            </w:pPr>
            <w:r>
              <w:t xml:space="preserve">0,8%</w:t>
            </w:r>
          </w:p>
        </w:tc>
        <w:tc>
          <w:tcPr/>
          <w:p>
            <w:pPr>
              <w:pStyle w:val="Compact"/>
              <w:jc w:val="left"/>
            </w:pPr>
            <w:r>
              <w:t xml:space="preserve">0,1%</w:t>
            </w:r>
          </w:p>
        </w:tc>
        <w:tc>
          <w:tcPr/>
          <w:p>
            <w:pPr>
              <w:pStyle w:val="Compact"/>
              <w:jc w:val="left"/>
            </w:pPr>
            <w:r>
              <w:t xml:space="preserve">64,3%</w:t>
            </w:r>
          </w:p>
        </w:tc>
        <w:tc>
          <w:tcPr/>
          <w:p>
            <w:pPr>
              <w:pStyle w:val="Compact"/>
              <w:jc w:val="left"/>
            </w:pPr>
            <w:r>
              <w:t xml:space="preserve">39,5%</w:t>
            </w:r>
          </w:p>
        </w:tc>
        <w:tc>
          <w:tcPr/>
          <w:p>
            <w:pPr>
              <w:pStyle w:val="Compact"/>
              <w:jc w:val="left"/>
            </w:pPr>
            <w:r>
              <w:t xml:space="preserve">0,93×</w:t>
            </w:r>
          </w:p>
        </w:tc>
      </w:tr>
      <w:tr>
        <w:tc>
          <w:tcPr/>
          <w:p>
            <w:pPr>
              <w:pStyle w:val="Compact"/>
              <w:jc w:val="left"/>
            </w:pPr>
            <w:r>
              <w:t xml:space="preserve">CHILLGUY</w:t>
            </w:r>
          </w:p>
        </w:tc>
        <w:tc>
          <w:tcPr/>
          <w:p>
            <w:pPr>
              <w:pStyle w:val="Compact"/>
              <w:jc w:val="left"/>
            </w:pPr>
            <w:r>
              <w:t xml:space="preserve">SOL ≥ +50%</w:t>
            </w:r>
          </w:p>
        </w:tc>
        <w:tc>
          <w:tcPr/>
          <w:p>
            <w:pPr>
              <w:pStyle w:val="Compact"/>
              <w:jc w:val="left"/>
            </w:pPr>
            <w:r>
              <w:t xml:space="preserve">32,3%</w:t>
            </w:r>
          </w:p>
        </w:tc>
        <w:tc>
          <w:tcPr/>
          <w:p>
            <w:pPr>
              <w:pStyle w:val="Compact"/>
              <w:jc w:val="left"/>
            </w:pPr>
            <w:r>
              <w:t xml:space="preserve">21,4%</w:t>
            </w:r>
          </w:p>
        </w:tc>
        <w:tc>
          <w:tcPr/>
          <w:p>
            <w:pPr>
              <w:pStyle w:val="Compact"/>
              <w:jc w:val="left"/>
            </w:pPr>
            <w:r>
              <w:t xml:space="preserve">13,4%</w:t>
            </w:r>
          </w:p>
        </w:tc>
        <w:tc>
          <w:tcPr/>
          <w:p>
            <w:pPr>
              <w:pStyle w:val="Compact"/>
              <w:jc w:val="left"/>
            </w:pPr>
            <w:r>
              <w:t xml:space="preserve">7,1%</w:t>
            </w:r>
          </w:p>
        </w:tc>
        <w:tc>
          <w:tcPr/>
          <w:p>
            <w:pPr>
              <w:pStyle w:val="Compact"/>
              <w:jc w:val="left"/>
            </w:pPr>
            <w:r>
              <w:t xml:space="preserve">2,7%</w:t>
            </w:r>
          </w:p>
        </w:tc>
        <w:tc>
          <w:tcPr/>
          <w:p>
            <w:pPr>
              <w:pStyle w:val="Compact"/>
              <w:jc w:val="left"/>
            </w:pPr>
            <w:r>
              <w:t xml:space="preserve">0,3%</w:t>
            </w:r>
          </w:p>
        </w:tc>
        <w:tc>
          <w:tcPr/>
          <w:p>
            <w:pPr>
              <w:pStyle w:val="Compact"/>
              <w:jc w:val="left"/>
            </w:pPr>
            <w:r>
              <w:t xml:space="preserve">35,5%</w:t>
            </w:r>
          </w:p>
        </w:tc>
        <w:tc>
          <w:tcPr/>
          <w:p>
            <w:pPr>
              <w:pStyle w:val="Compact"/>
              <w:jc w:val="left"/>
            </w:pPr>
            <w:r>
              <w:t xml:space="preserve">17,9%</w:t>
            </w:r>
          </w:p>
        </w:tc>
        <w:tc>
          <w:tcPr/>
          <w:p>
            <w:pPr>
              <w:pStyle w:val="Compact"/>
              <w:jc w:val="left"/>
            </w:pPr>
            <w:r>
              <w:t xml:space="preserve">2,11×</w:t>
            </w:r>
          </w:p>
        </w:tc>
      </w:tr>
      <w:tr>
        <w:tc>
          <w:tcPr/>
          <w:p>
            <w:pPr>
              <w:pStyle w:val="Compact"/>
              <w:jc w:val="left"/>
            </w:pPr>
            <w:r>
              <w:t xml:space="preserve">CHILLGUY</w:t>
            </w:r>
          </w:p>
        </w:tc>
        <w:tc>
          <w:tcPr/>
          <w:p>
            <w:pPr>
              <w:pStyle w:val="Compact"/>
              <w:jc w:val="left"/>
            </w:pPr>
            <w:r>
              <w:t xml:space="preserve">SOL ≥ +100%</w:t>
            </w:r>
          </w:p>
        </w:tc>
        <w:tc>
          <w:tcPr/>
          <w:p>
            <w:pPr>
              <w:pStyle w:val="Compact"/>
              <w:jc w:val="left"/>
            </w:pPr>
            <w:r>
              <w:t xml:space="preserve">37,8%</w:t>
            </w:r>
          </w:p>
        </w:tc>
        <w:tc>
          <w:tcPr/>
          <w:p>
            <w:pPr>
              <w:pStyle w:val="Compact"/>
              <w:jc w:val="left"/>
            </w:pPr>
            <w:r>
              <w:t xml:space="preserve">26,2%</w:t>
            </w:r>
          </w:p>
        </w:tc>
        <w:tc>
          <w:tcPr/>
          <w:p>
            <w:pPr>
              <w:pStyle w:val="Compact"/>
              <w:jc w:val="left"/>
            </w:pPr>
            <w:r>
              <w:t xml:space="preserve">16,8%</w:t>
            </w:r>
          </w:p>
        </w:tc>
        <w:tc>
          <w:tcPr/>
          <w:p>
            <w:pPr>
              <w:pStyle w:val="Compact"/>
              <w:jc w:val="left"/>
            </w:pPr>
            <w:r>
              <w:t xml:space="preserve">9,0%</w:t>
            </w:r>
          </w:p>
        </w:tc>
        <w:tc>
          <w:tcPr/>
          <w:p>
            <w:pPr>
              <w:pStyle w:val="Compact"/>
              <w:jc w:val="left"/>
            </w:pPr>
            <w:r>
              <w:t xml:space="preserve">3,4%</w:t>
            </w:r>
          </w:p>
        </w:tc>
        <w:tc>
          <w:tcPr/>
          <w:p>
            <w:pPr>
              <w:pStyle w:val="Compact"/>
              <w:jc w:val="left"/>
            </w:pPr>
            <w:r>
              <w:t xml:space="preserve">0,3%</w:t>
            </w:r>
          </w:p>
        </w:tc>
        <w:tc>
          <w:tcPr/>
          <w:p>
            <w:pPr>
              <w:pStyle w:val="Compact"/>
              <w:jc w:val="left"/>
            </w:pPr>
            <w:r>
              <w:t xml:space="preserve">31,8%</w:t>
            </w:r>
          </w:p>
        </w:tc>
        <w:tc>
          <w:tcPr/>
          <w:p>
            <w:pPr>
              <w:pStyle w:val="Compact"/>
              <w:jc w:val="left"/>
            </w:pPr>
            <w:r>
              <w:t xml:space="preserve">16,0%</w:t>
            </w:r>
          </w:p>
        </w:tc>
        <w:tc>
          <w:tcPr/>
          <w:p>
            <w:pPr>
              <w:pStyle w:val="Compact"/>
              <w:jc w:val="left"/>
            </w:pPr>
            <w:r>
              <w:t xml:space="preserve">2,48×</w:t>
            </w:r>
          </w:p>
        </w:tc>
      </w:tr>
      <w:tr>
        <w:tc>
          <w:tcPr/>
          <w:p>
            <w:pPr>
              <w:pStyle w:val="Compact"/>
              <w:jc w:val="left"/>
            </w:pPr>
            <w:r>
              <w:t xml:space="preserve">CHILLHOUSE</w:t>
            </w:r>
          </w:p>
        </w:tc>
        <w:tc>
          <w:tcPr/>
          <w:p>
            <w:pPr>
              <w:pStyle w:val="Compact"/>
              <w:jc w:val="left"/>
            </w:pPr>
            <w:r>
              <w:t xml:space="preserve">non condizionata</w:t>
            </w:r>
          </w:p>
        </w:tc>
        <w:tc>
          <w:tcPr/>
          <w:p>
            <w:pPr>
              <w:pStyle w:val="Compact"/>
              <w:jc w:val="left"/>
            </w:pPr>
            <w:r>
              <w:t xml:space="preserve">10,5%</w:t>
            </w:r>
          </w:p>
        </w:tc>
        <w:tc>
          <w:tcPr/>
          <w:p>
            <w:pPr>
              <w:pStyle w:val="Compact"/>
              <w:jc w:val="left"/>
            </w:pPr>
            <w:r>
              <w:t xml:space="preserve">6,5%</w:t>
            </w:r>
          </w:p>
        </w:tc>
        <w:tc>
          <w:tcPr/>
          <w:p>
            <w:pPr>
              <w:pStyle w:val="Compact"/>
              <w:jc w:val="left"/>
            </w:pPr>
            <w:r>
              <w:t xml:space="preserve">3,9%</w:t>
            </w:r>
          </w:p>
        </w:tc>
        <w:tc>
          <w:tcPr/>
          <w:p>
            <w:pPr>
              <w:pStyle w:val="Compact"/>
              <w:jc w:val="left"/>
            </w:pPr>
            <w:r>
              <w:t xml:space="preserve">2,0%</w:t>
            </w:r>
          </w:p>
        </w:tc>
        <w:tc>
          <w:tcPr/>
          <w:p>
            <w:pPr>
              <w:pStyle w:val="Compact"/>
              <w:jc w:val="left"/>
            </w:pPr>
            <w:r>
              <w:t xml:space="preserve">0,8%</w:t>
            </w:r>
          </w:p>
        </w:tc>
        <w:tc>
          <w:tcPr/>
          <w:p>
            <w:pPr>
              <w:pStyle w:val="Compact"/>
              <w:jc w:val="left"/>
            </w:pPr>
            <w:r>
              <w:t xml:space="preserve">0,3%</w:t>
            </w:r>
          </w:p>
        </w:tc>
        <w:tc>
          <w:tcPr/>
          <w:p>
            <w:pPr>
              <w:pStyle w:val="Compact"/>
              <w:jc w:val="left"/>
            </w:pPr>
            <w:r>
              <w:t xml:space="preserve">72,5%</w:t>
            </w:r>
          </w:p>
        </w:tc>
        <w:tc>
          <w:tcPr/>
          <w:p>
            <w:pPr>
              <w:pStyle w:val="Compact"/>
              <w:jc w:val="left"/>
            </w:pPr>
            <w:r>
              <w:t xml:space="preserve">48,7%</w:t>
            </w:r>
          </w:p>
        </w:tc>
        <w:tc>
          <w:tcPr/>
          <w:p>
            <w:pPr>
              <w:pStyle w:val="Compact"/>
              <w:jc w:val="left"/>
            </w:pPr>
            <w:r>
              <w:t xml:space="preserve">0,81×</w:t>
            </w:r>
          </w:p>
        </w:tc>
      </w:tr>
      <w:tr>
        <w:tc>
          <w:tcPr/>
          <w:p>
            <w:pPr>
              <w:pStyle w:val="Compact"/>
              <w:jc w:val="left"/>
            </w:pPr>
            <w:r>
              <w:t xml:space="preserve">CHILLHOUSE</w:t>
            </w:r>
          </w:p>
        </w:tc>
        <w:tc>
          <w:tcPr/>
          <w:p>
            <w:pPr>
              <w:pStyle w:val="Compact"/>
              <w:jc w:val="left"/>
            </w:pPr>
            <w:r>
              <w:t xml:space="preserve">SOL ≥ +50%</w:t>
            </w:r>
          </w:p>
        </w:tc>
        <w:tc>
          <w:tcPr/>
          <w:p>
            <w:pPr>
              <w:pStyle w:val="Compact"/>
              <w:jc w:val="left"/>
            </w:pPr>
            <w:r>
              <w:t xml:space="preserve">21,8%</w:t>
            </w:r>
          </w:p>
        </w:tc>
        <w:tc>
          <w:tcPr/>
          <w:p>
            <w:pPr>
              <w:pStyle w:val="Compact"/>
              <w:jc w:val="left"/>
            </w:pPr>
            <w:r>
              <w:t xml:space="preserve">14,3%</w:t>
            </w:r>
          </w:p>
        </w:tc>
        <w:tc>
          <w:tcPr/>
          <w:p>
            <w:pPr>
              <w:pStyle w:val="Compact"/>
              <w:jc w:val="left"/>
            </w:pPr>
            <w:r>
              <w:t xml:space="preserve">9,0%</w:t>
            </w:r>
          </w:p>
        </w:tc>
        <w:tc>
          <w:tcPr/>
          <w:p>
            <w:pPr>
              <w:pStyle w:val="Compact"/>
              <w:jc w:val="left"/>
            </w:pPr>
            <w:r>
              <w:t xml:space="preserve">4,8%</w:t>
            </w:r>
          </w:p>
        </w:tc>
        <w:tc>
          <w:tcPr/>
          <w:p>
            <w:pPr>
              <w:pStyle w:val="Compact"/>
              <w:jc w:val="left"/>
            </w:pPr>
            <w:r>
              <w:t xml:space="preserve">1,8%</w:t>
            </w:r>
          </w:p>
        </w:tc>
        <w:tc>
          <w:tcPr/>
          <w:p>
            <w:pPr>
              <w:pStyle w:val="Compact"/>
              <w:jc w:val="left"/>
            </w:pPr>
            <w:r>
              <w:t xml:space="preserve">0,7%</w:t>
            </w:r>
          </w:p>
        </w:tc>
        <w:tc>
          <w:tcPr/>
          <w:p>
            <w:pPr>
              <w:pStyle w:val="Compact"/>
              <w:jc w:val="left"/>
            </w:pPr>
            <w:r>
              <w:t xml:space="preserve">56,6%</w:t>
            </w:r>
          </w:p>
        </w:tc>
        <w:tc>
          <w:tcPr/>
          <w:p>
            <w:pPr>
              <w:pStyle w:val="Compact"/>
              <w:jc w:val="left"/>
            </w:pPr>
            <w:r>
              <w:t xml:space="preserve">34,5%</w:t>
            </w:r>
          </w:p>
        </w:tc>
        <w:tc>
          <w:tcPr/>
          <w:p>
            <w:pPr>
              <w:pStyle w:val="Compact"/>
              <w:jc w:val="left"/>
            </w:pPr>
            <w:r>
              <w:t xml:space="preserve">1,48×</w:t>
            </w:r>
          </w:p>
        </w:tc>
      </w:tr>
      <w:tr>
        <w:tc>
          <w:tcPr/>
          <w:p>
            <w:pPr>
              <w:pStyle w:val="Compact"/>
              <w:jc w:val="left"/>
            </w:pPr>
            <w:r>
              <w:t xml:space="preserve">CHILLHOUSE</w:t>
            </w:r>
          </w:p>
        </w:tc>
        <w:tc>
          <w:tcPr/>
          <w:p>
            <w:pPr>
              <w:pStyle w:val="Compact"/>
              <w:jc w:val="left"/>
            </w:pPr>
            <w:r>
              <w:t xml:space="preserve">SOL ≥ +100%</w:t>
            </w:r>
          </w:p>
        </w:tc>
        <w:tc>
          <w:tcPr/>
          <w:p>
            <w:pPr>
              <w:pStyle w:val="Compact"/>
              <w:jc w:val="left"/>
            </w:pPr>
            <w:r>
              <w:t xml:space="preserve">24,7%</w:t>
            </w:r>
          </w:p>
        </w:tc>
        <w:tc>
          <w:tcPr/>
          <w:p>
            <w:pPr>
              <w:pStyle w:val="Compact"/>
              <w:jc w:val="left"/>
            </w:pPr>
            <w:r>
              <w:t xml:space="preserve">16,9%</w:t>
            </w:r>
          </w:p>
        </w:tc>
        <w:tc>
          <w:tcPr/>
          <w:p>
            <w:pPr>
              <w:pStyle w:val="Compact"/>
              <w:jc w:val="left"/>
            </w:pPr>
            <w:r>
              <w:t xml:space="preserve">10,9%</w:t>
            </w:r>
          </w:p>
        </w:tc>
        <w:tc>
          <w:tcPr/>
          <w:p>
            <w:pPr>
              <w:pStyle w:val="Compact"/>
              <w:jc w:val="left"/>
            </w:pPr>
            <w:r>
              <w:t xml:space="preserve">5,8%</w:t>
            </w:r>
          </w:p>
        </w:tc>
        <w:tc>
          <w:tcPr/>
          <w:p>
            <w:pPr>
              <w:pStyle w:val="Compact"/>
              <w:jc w:val="left"/>
            </w:pPr>
            <w:r>
              <w:t xml:space="preserve">2,2%</w:t>
            </w:r>
          </w:p>
        </w:tc>
        <w:tc>
          <w:tcPr/>
          <w:p>
            <w:pPr>
              <w:pStyle w:val="Compact"/>
              <w:jc w:val="left"/>
            </w:pPr>
            <w:r>
              <w:t xml:space="preserve">0,9%</w:t>
            </w:r>
          </w:p>
        </w:tc>
        <w:tc>
          <w:tcPr/>
          <w:p>
            <w:pPr>
              <w:pStyle w:val="Compact"/>
              <w:jc w:val="left"/>
            </w:pPr>
            <w:r>
              <w:t xml:space="preserve">54,6%</w:t>
            </w:r>
          </w:p>
        </w:tc>
        <w:tc>
          <w:tcPr/>
          <w:p>
            <w:pPr>
              <w:pStyle w:val="Compact"/>
              <w:jc w:val="left"/>
            </w:pPr>
            <w:r>
              <w:t xml:space="preserve">33,2%</w:t>
            </w:r>
          </w:p>
        </w:tc>
        <w:tc>
          <w:tcPr/>
          <w:p>
            <w:pPr>
              <w:pStyle w:val="Compact"/>
              <w:jc w:val="left"/>
            </w:pPr>
            <w:r>
              <w:t xml:space="preserve">1,68×</w:t>
            </w:r>
          </w:p>
        </w:tc>
      </w:tr>
      <w:tr>
        <w:tc>
          <w:tcPr/>
          <w:p>
            <w:pPr>
              <w:pStyle w:val="Compact"/>
              <w:jc w:val="left"/>
            </w:pPr>
            <w:r>
              <w:t xml:space="preserve">TROLL</w:t>
            </w:r>
          </w:p>
        </w:tc>
        <w:tc>
          <w:tcPr/>
          <w:p>
            <w:pPr>
              <w:pStyle w:val="Compact"/>
              <w:jc w:val="left"/>
            </w:pPr>
            <w:r>
              <w:t xml:space="preserve">non condizionata</w:t>
            </w:r>
          </w:p>
        </w:tc>
        <w:tc>
          <w:tcPr/>
          <w:p>
            <w:pPr>
              <w:pStyle w:val="Compact"/>
              <w:jc w:val="left"/>
            </w:pPr>
            <w:r>
              <w:t xml:space="preserve">25,9%</w:t>
            </w:r>
          </w:p>
        </w:tc>
        <w:tc>
          <w:tcPr/>
          <w:p>
            <w:pPr>
              <w:pStyle w:val="Compact"/>
              <w:jc w:val="left"/>
            </w:pPr>
            <w:r>
              <w:t xml:space="preserve">17,5%</w:t>
            </w:r>
          </w:p>
        </w:tc>
        <w:tc>
          <w:tcPr/>
          <w:p>
            <w:pPr>
              <w:pStyle w:val="Compact"/>
              <w:jc w:val="left"/>
            </w:pPr>
            <w:r>
              <w:t xml:space="preserve">11,5%</w:t>
            </w:r>
          </w:p>
        </w:tc>
        <w:tc>
          <w:tcPr/>
          <w:p>
            <w:pPr>
              <w:pStyle w:val="Compact"/>
              <w:jc w:val="left"/>
            </w:pPr>
            <w:r>
              <w:t xml:space="preserve">6,3%</w:t>
            </w:r>
          </w:p>
        </w:tc>
        <w:tc>
          <w:tcPr/>
          <w:p>
            <w:pPr>
              <w:pStyle w:val="Compact"/>
              <w:jc w:val="left"/>
            </w:pPr>
            <w:r>
              <w:t xml:space="preserve">2,5%</w:t>
            </w:r>
          </w:p>
        </w:tc>
        <w:tc>
          <w:tcPr/>
          <w:p>
            <w:pPr>
              <w:pStyle w:val="Compact"/>
              <w:jc w:val="left"/>
            </w:pPr>
            <w:r>
              <w:t xml:space="preserve">5,4%</w:t>
            </w:r>
          </w:p>
        </w:tc>
        <w:tc>
          <w:tcPr/>
          <w:p>
            <w:pPr>
              <w:pStyle w:val="Compact"/>
              <w:jc w:val="left"/>
            </w:pPr>
            <w:r>
              <w:t xml:space="preserve">54,5%</w:t>
            </w:r>
          </w:p>
        </w:tc>
        <w:tc>
          <w:tcPr/>
          <w:p>
            <w:pPr>
              <w:pStyle w:val="Compact"/>
              <w:jc w:val="left"/>
            </w:pPr>
            <w:r>
              <w:t xml:space="preserve">29,6%</w:t>
            </w:r>
          </w:p>
        </w:tc>
        <w:tc>
          <w:tcPr/>
          <w:p>
            <w:pPr>
              <w:pStyle w:val="Compact"/>
              <w:jc w:val="left"/>
            </w:pPr>
            <w:r>
              <w:t xml:space="preserve">1,79×</w:t>
            </w:r>
          </w:p>
        </w:tc>
      </w:tr>
      <w:tr>
        <w:tc>
          <w:tcPr/>
          <w:p>
            <w:pPr>
              <w:pStyle w:val="Compact"/>
              <w:jc w:val="left"/>
            </w:pPr>
            <w:r>
              <w:t xml:space="preserve">TROLL</w:t>
            </w:r>
          </w:p>
        </w:tc>
        <w:tc>
          <w:tcPr/>
          <w:p>
            <w:pPr>
              <w:pStyle w:val="Compact"/>
              <w:jc w:val="left"/>
            </w:pPr>
            <w:r>
              <w:t xml:space="preserve">SOL ≥ +50%</w:t>
            </w:r>
          </w:p>
        </w:tc>
        <w:tc>
          <w:tcPr/>
          <w:p>
            <w:pPr>
              <w:pStyle w:val="Compact"/>
              <w:jc w:val="left"/>
            </w:pPr>
            <w:r>
              <w:t xml:space="preserve">58,8%</w:t>
            </w:r>
          </w:p>
        </w:tc>
        <w:tc>
          <w:tcPr/>
          <w:p>
            <w:pPr>
              <w:pStyle w:val="Compact"/>
              <w:jc w:val="left"/>
            </w:pPr>
            <w:r>
              <w:t xml:space="preserve">44,8%</w:t>
            </w:r>
          </w:p>
        </w:tc>
        <w:tc>
          <w:tcPr/>
          <w:p>
            <w:pPr>
              <w:pStyle w:val="Compact"/>
              <w:jc w:val="left"/>
            </w:pPr>
            <w:r>
              <w:t xml:space="preserve">31,7%</w:t>
            </w:r>
          </w:p>
        </w:tc>
        <w:tc>
          <w:tcPr/>
          <w:p>
            <w:pPr>
              <w:pStyle w:val="Compact"/>
              <w:jc w:val="left"/>
            </w:pPr>
            <w:r>
              <w:t xml:space="preserve">18,9%</w:t>
            </w:r>
          </w:p>
        </w:tc>
        <w:tc>
          <w:tcPr/>
          <w:p>
            <w:pPr>
              <w:pStyle w:val="Compact"/>
              <w:jc w:val="left"/>
            </w:pPr>
            <w:r>
              <w:t xml:space="preserve">7,8%</w:t>
            </w:r>
          </w:p>
        </w:tc>
        <w:tc>
          <w:tcPr/>
          <w:p>
            <w:pPr>
              <w:pStyle w:val="Compact"/>
              <w:jc w:val="left"/>
            </w:pPr>
            <w:r>
              <w:t xml:space="preserve">16,2%</w:t>
            </w:r>
          </w:p>
        </w:tc>
        <w:tc>
          <w:tcPr/>
          <w:p>
            <w:pPr>
              <w:pStyle w:val="Compact"/>
              <w:jc w:val="left"/>
            </w:pPr>
            <w:r>
              <w:t xml:space="preserve">25,4%</w:t>
            </w:r>
          </w:p>
        </w:tc>
        <w:tc>
          <w:tcPr/>
          <w:p>
            <w:pPr>
              <w:pStyle w:val="Compact"/>
              <w:jc w:val="left"/>
            </w:pPr>
            <w:r>
              <w:t xml:space="preserve">11,9%</w:t>
            </w:r>
          </w:p>
        </w:tc>
        <w:tc>
          <w:tcPr/>
          <w:p>
            <w:pPr>
              <w:pStyle w:val="Compact"/>
              <w:jc w:val="left"/>
            </w:pPr>
            <w:r>
              <w:t xml:space="preserve">4,36×</w:t>
            </w:r>
          </w:p>
        </w:tc>
      </w:tr>
      <w:tr>
        <w:tc>
          <w:tcPr/>
          <w:p>
            <w:pPr>
              <w:pStyle w:val="Compact"/>
              <w:jc w:val="left"/>
            </w:pPr>
            <w:r>
              <w:t xml:space="preserve">TROLL</w:t>
            </w:r>
          </w:p>
        </w:tc>
        <w:tc>
          <w:tcPr/>
          <w:p>
            <w:pPr>
              <w:pStyle w:val="Compact"/>
              <w:jc w:val="left"/>
            </w:pPr>
            <w:r>
              <w:t xml:space="preserve">SOL ≥ +100%</w:t>
            </w:r>
          </w:p>
        </w:tc>
        <w:tc>
          <w:tcPr/>
          <w:p>
            <w:pPr>
              <w:pStyle w:val="Compact"/>
              <w:jc w:val="left"/>
            </w:pPr>
            <w:r>
              <w:t xml:space="preserve">64,9%</w:t>
            </w:r>
          </w:p>
        </w:tc>
        <w:tc>
          <w:tcPr/>
          <w:p>
            <w:pPr>
              <w:pStyle w:val="Compact"/>
              <w:jc w:val="left"/>
            </w:pPr>
            <w:r>
              <w:t xml:space="preserve">51,8%</w:t>
            </w:r>
          </w:p>
        </w:tc>
        <w:tc>
          <w:tcPr/>
          <w:p>
            <w:pPr>
              <w:pStyle w:val="Compact"/>
              <w:jc w:val="left"/>
            </w:pPr>
            <w:r>
              <w:t xml:space="preserve">38,2%</w:t>
            </w:r>
          </w:p>
        </w:tc>
        <w:tc>
          <w:tcPr/>
          <w:p>
            <w:pPr>
              <w:pStyle w:val="Compact"/>
              <w:jc w:val="left"/>
            </w:pPr>
            <w:r>
              <w:t xml:space="preserve">23,3%</w:t>
            </w:r>
          </w:p>
        </w:tc>
        <w:tc>
          <w:tcPr/>
          <w:p>
            <w:pPr>
              <w:pStyle w:val="Compact"/>
              <w:jc w:val="left"/>
            </w:pPr>
            <w:r>
              <w:t xml:space="preserve">9,8%</w:t>
            </w:r>
          </w:p>
        </w:tc>
        <w:tc>
          <w:tcPr/>
          <w:p>
            <w:pPr>
              <w:pStyle w:val="Compact"/>
              <w:jc w:val="left"/>
            </w:pPr>
            <w:r>
              <w:t xml:space="preserve">20,1%</w:t>
            </w:r>
          </w:p>
        </w:tc>
        <w:tc>
          <w:tcPr/>
          <w:p>
            <w:pPr>
              <w:pStyle w:val="Compact"/>
              <w:jc w:val="left"/>
            </w:pPr>
            <w:r>
              <w:t xml:space="preserve">22,4%</w:t>
            </w:r>
          </w:p>
        </w:tc>
        <w:tc>
          <w:tcPr/>
          <w:p>
            <w:pPr>
              <w:pStyle w:val="Compact"/>
              <w:jc w:val="left"/>
            </w:pPr>
            <w:r>
              <w:t xml:space="preserve">10,5%</w:t>
            </w:r>
          </w:p>
        </w:tc>
        <w:tc>
          <w:tcPr/>
          <w:p>
            <w:pPr>
              <w:pStyle w:val="Compact"/>
              <w:jc w:val="left"/>
            </w:pPr>
            <w:r>
              <w:t xml:space="preserve">5,16×</w:t>
            </w:r>
          </w:p>
        </w:tc>
      </w:tr>
      <w:tr>
        <w:tc>
          <w:tcPr/>
          <w:p>
            <w:pPr>
              <w:pStyle w:val="Compact"/>
              <w:jc w:val="left"/>
            </w:pPr>
            <w:r>
              <w:t xml:space="preserve">TRIPLE T</w:t>
            </w:r>
          </w:p>
        </w:tc>
        <w:tc>
          <w:tcPr/>
          <w:p>
            <w:pPr>
              <w:pStyle w:val="Compact"/>
              <w:jc w:val="left"/>
            </w:pPr>
            <w:r>
              <w:t xml:space="preserve">non condizionata</w:t>
            </w:r>
          </w:p>
        </w:tc>
        <w:tc>
          <w:tcPr/>
          <w:p>
            <w:pPr>
              <w:pStyle w:val="Compact"/>
              <w:jc w:val="left"/>
            </w:pPr>
            <w:r>
              <w:t xml:space="preserve">21,0%</w:t>
            </w:r>
          </w:p>
        </w:tc>
        <w:tc>
          <w:tcPr/>
          <w:p>
            <w:pPr>
              <w:pStyle w:val="Compact"/>
              <w:jc w:val="left"/>
            </w:pPr>
            <w:r>
              <w:t xml:space="preserve">13,7%</w:t>
            </w:r>
          </w:p>
        </w:tc>
        <w:tc>
          <w:tcPr/>
          <w:p>
            <w:pPr>
              <w:pStyle w:val="Compact"/>
              <w:jc w:val="left"/>
            </w:pPr>
            <w:r>
              <w:t xml:space="preserve">8,7%</w:t>
            </w:r>
          </w:p>
        </w:tc>
        <w:tc>
          <w:tcPr/>
          <w:p>
            <w:pPr>
              <w:pStyle w:val="Compact"/>
              <w:jc w:val="left"/>
            </w:pPr>
            <w:r>
              <w:t xml:space="preserve">4,7%</w:t>
            </w:r>
          </w:p>
        </w:tc>
        <w:tc>
          <w:tcPr/>
          <w:p>
            <w:pPr>
              <w:pStyle w:val="Compact"/>
              <w:jc w:val="left"/>
            </w:pPr>
            <w:r>
              <w:t xml:space="preserve">1,8%</w:t>
            </w:r>
          </w:p>
        </w:tc>
        <w:tc>
          <w:tcPr/>
          <w:p>
            <w:pPr>
              <w:pStyle w:val="Compact"/>
              <w:jc w:val="left"/>
            </w:pPr>
            <w:r>
              <w:t xml:space="preserve">8,1%</w:t>
            </w:r>
          </w:p>
        </w:tc>
        <w:tc>
          <w:tcPr/>
          <w:p>
            <w:pPr>
              <w:pStyle w:val="Compact"/>
              <w:jc w:val="left"/>
            </w:pPr>
            <w:r>
              <w:t xml:space="preserve">56,6%</w:t>
            </w:r>
          </w:p>
        </w:tc>
        <w:tc>
          <w:tcPr/>
          <w:p>
            <w:pPr>
              <w:pStyle w:val="Compact"/>
              <w:jc w:val="left"/>
            </w:pPr>
            <w:r>
              <w:t xml:space="preserve">31,7%</w:t>
            </w:r>
          </w:p>
        </w:tc>
        <w:tc>
          <w:tcPr/>
          <w:p>
            <w:pPr>
              <w:pStyle w:val="Compact"/>
              <w:jc w:val="left"/>
            </w:pPr>
            <w:r>
              <w:t xml:space="preserve">1,46×</w:t>
            </w:r>
          </w:p>
        </w:tc>
      </w:tr>
      <w:tr>
        <w:tc>
          <w:tcPr/>
          <w:p>
            <w:pPr>
              <w:pStyle w:val="Compact"/>
              <w:jc w:val="left"/>
            </w:pPr>
            <w:r>
              <w:t xml:space="preserve">TRIPLE T</w:t>
            </w:r>
          </w:p>
        </w:tc>
        <w:tc>
          <w:tcPr/>
          <w:p>
            <w:pPr>
              <w:pStyle w:val="Compact"/>
              <w:jc w:val="left"/>
            </w:pPr>
            <w:r>
              <w:t xml:space="preserve">SOL ≥ +50%</w:t>
            </w:r>
          </w:p>
        </w:tc>
        <w:tc>
          <w:tcPr/>
          <w:p>
            <w:pPr>
              <w:pStyle w:val="Compact"/>
              <w:jc w:val="left"/>
            </w:pPr>
            <w:r>
              <w:t xml:space="preserve">39,7%</w:t>
            </w:r>
          </w:p>
        </w:tc>
        <w:tc>
          <w:tcPr/>
          <w:p>
            <w:pPr>
              <w:pStyle w:val="Compact"/>
              <w:jc w:val="left"/>
            </w:pPr>
            <w:r>
              <w:t xml:space="preserve">28,3%</w:t>
            </w:r>
          </w:p>
        </w:tc>
        <w:tc>
          <w:tcPr/>
          <w:p>
            <w:pPr>
              <w:pStyle w:val="Compact"/>
              <w:jc w:val="left"/>
            </w:pPr>
            <w:r>
              <w:t xml:space="preserve">18,9%</w:t>
            </w:r>
          </w:p>
        </w:tc>
        <w:tc>
          <w:tcPr/>
          <w:p>
            <w:pPr>
              <w:pStyle w:val="Compact"/>
              <w:jc w:val="left"/>
            </w:pPr>
            <w:r>
              <w:t xml:space="preserve">10,6%</w:t>
            </w:r>
          </w:p>
        </w:tc>
        <w:tc>
          <w:tcPr/>
          <w:p>
            <w:pPr>
              <w:pStyle w:val="Compact"/>
              <w:jc w:val="left"/>
            </w:pPr>
            <w:r>
              <w:t xml:space="preserve">4,2%</w:t>
            </w:r>
          </w:p>
        </w:tc>
        <w:tc>
          <w:tcPr/>
          <w:p>
            <w:pPr>
              <w:pStyle w:val="Compact"/>
              <w:jc w:val="left"/>
            </w:pPr>
            <w:r>
              <w:t xml:space="preserve">17,7%</w:t>
            </w:r>
          </w:p>
        </w:tc>
        <w:tc>
          <w:tcPr/>
          <w:p>
            <w:pPr>
              <w:pStyle w:val="Compact"/>
              <w:jc w:val="left"/>
            </w:pPr>
            <w:r>
              <w:t xml:space="preserve">38,3%</w:t>
            </w:r>
          </w:p>
        </w:tc>
        <w:tc>
          <w:tcPr/>
          <w:p>
            <w:pPr>
              <w:pStyle w:val="Compact"/>
              <w:jc w:val="left"/>
            </w:pPr>
            <w:r>
              <w:t xml:space="preserve">20,0%</w:t>
            </w:r>
          </w:p>
        </w:tc>
        <w:tc>
          <w:tcPr/>
          <w:p>
            <w:pPr>
              <w:pStyle w:val="Compact"/>
              <w:jc w:val="left"/>
            </w:pPr>
            <w:r>
              <w:t xml:space="preserve">2,73×</w:t>
            </w:r>
          </w:p>
        </w:tc>
      </w:tr>
      <w:tr>
        <w:tc>
          <w:tcPr/>
          <w:p>
            <w:pPr>
              <w:pStyle w:val="Compact"/>
              <w:jc w:val="left"/>
            </w:pPr>
            <w:r>
              <w:t xml:space="preserve">TRIPLE T</w:t>
            </w:r>
          </w:p>
        </w:tc>
        <w:tc>
          <w:tcPr/>
          <w:p>
            <w:pPr>
              <w:pStyle w:val="Compact"/>
              <w:jc w:val="left"/>
            </w:pPr>
            <w:r>
              <w:t xml:space="preserve">SOL ≥ +100%</w:t>
            </w:r>
          </w:p>
        </w:tc>
        <w:tc>
          <w:tcPr/>
          <w:p>
            <w:pPr>
              <w:pStyle w:val="Compact"/>
              <w:jc w:val="left"/>
            </w:pPr>
            <w:r>
              <w:t xml:space="preserve">43,8%</w:t>
            </w:r>
          </w:p>
        </w:tc>
        <w:tc>
          <w:tcPr/>
          <w:p>
            <w:pPr>
              <w:pStyle w:val="Compact"/>
              <w:jc w:val="left"/>
            </w:pPr>
            <w:r>
              <w:t xml:space="preserve">32,5%</w:t>
            </w:r>
          </w:p>
        </w:tc>
        <w:tc>
          <w:tcPr/>
          <w:p>
            <w:pPr>
              <w:pStyle w:val="Compact"/>
              <w:jc w:val="left"/>
            </w:pPr>
            <w:r>
              <w:t xml:space="preserve">22,4%</w:t>
            </w:r>
          </w:p>
        </w:tc>
        <w:tc>
          <w:tcPr/>
          <w:p>
            <w:pPr>
              <w:pStyle w:val="Compact"/>
              <w:jc w:val="left"/>
            </w:pPr>
            <w:r>
              <w:t xml:space="preserve">12,8%</w:t>
            </w:r>
          </w:p>
        </w:tc>
        <w:tc>
          <w:tcPr/>
          <w:p>
            <w:pPr>
              <w:pStyle w:val="Compact"/>
              <w:jc w:val="left"/>
            </w:pPr>
            <w:r>
              <w:t xml:space="preserve">5,1%</w:t>
            </w:r>
          </w:p>
        </w:tc>
        <w:tc>
          <w:tcPr/>
          <w:p>
            <w:pPr>
              <w:pStyle w:val="Compact"/>
              <w:jc w:val="left"/>
            </w:pPr>
            <w:r>
              <w:t xml:space="preserve">21,1%</w:t>
            </w:r>
          </w:p>
        </w:tc>
        <w:tc>
          <w:tcPr/>
          <w:p>
            <w:pPr>
              <w:pStyle w:val="Compact"/>
              <w:jc w:val="left"/>
            </w:pPr>
            <w:r>
              <w:t xml:space="preserve">36,3%</w:t>
            </w:r>
          </w:p>
        </w:tc>
        <w:tc>
          <w:tcPr/>
          <w:p>
            <w:pPr>
              <w:pStyle w:val="Compact"/>
              <w:jc w:val="left"/>
            </w:pPr>
            <w:r>
              <w:t xml:space="preserve">19,1%</w:t>
            </w:r>
          </w:p>
        </w:tc>
        <w:tc>
          <w:tcPr/>
          <w:p>
            <w:pPr>
              <w:pStyle w:val="Compact"/>
              <w:jc w:val="left"/>
            </w:pPr>
            <w:r>
              <w:t xml:space="preserve">3,13×</w:t>
            </w:r>
          </w:p>
        </w:tc>
      </w:tr>
      <w:tr>
        <w:tc>
          <w:tcPr/>
          <w:p>
            <w:pPr>
              <w:pStyle w:val="Compact"/>
              <w:jc w:val="left"/>
            </w:pPr>
            <w:r>
              <w:t xml:space="preserve">CUPSEY</w:t>
            </w:r>
          </w:p>
        </w:tc>
        <w:tc>
          <w:tcPr/>
          <w:p>
            <w:pPr>
              <w:pStyle w:val="Compact"/>
              <w:jc w:val="left"/>
            </w:pPr>
            <w:r>
              <w:t xml:space="preserve">non condizionata</w:t>
            </w:r>
          </w:p>
        </w:tc>
        <w:tc>
          <w:tcPr/>
          <w:p>
            <w:pPr>
              <w:pStyle w:val="Compact"/>
              <w:jc w:val="left"/>
            </w:pPr>
            <w:r>
              <w:t xml:space="preserve">14,8%</w:t>
            </w:r>
          </w:p>
        </w:tc>
        <w:tc>
          <w:tcPr/>
          <w:p>
            <w:pPr>
              <w:pStyle w:val="Compact"/>
              <w:jc w:val="left"/>
            </w:pPr>
            <w:r>
              <w:t xml:space="preserve">9,4%</w:t>
            </w:r>
          </w:p>
        </w:tc>
        <w:tc>
          <w:tcPr/>
          <w:p>
            <w:pPr>
              <w:pStyle w:val="Compact"/>
              <w:jc w:val="left"/>
            </w:pPr>
            <w:r>
              <w:t xml:space="preserve">5,8%</w:t>
            </w:r>
          </w:p>
        </w:tc>
        <w:tc>
          <w:tcPr/>
          <w:p>
            <w:pPr>
              <w:pStyle w:val="Compact"/>
              <w:jc w:val="left"/>
            </w:pPr>
            <w:r>
              <w:t xml:space="preserve">3,0%</w:t>
            </w:r>
          </w:p>
        </w:tc>
        <w:tc>
          <w:tcPr/>
          <w:p>
            <w:pPr>
              <w:pStyle w:val="Compact"/>
              <w:jc w:val="left"/>
            </w:pPr>
            <w:r>
              <w:t xml:space="preserve">1,1%</w:t>
            </w:r>
          </w:p>
        </w:tc>
        <w:tc>
          <w:tcPr/>
          <w:p>
            <w:pPr>
              <w:pStyle w:val="Compact"/>
              <w:jc w:val="left"/>
            </w:pPr>
            <w:r>
              <w:t xml:space="preserve">5,3%</w:t>
            </w:r>
          </w:p>
        </w:tc>
        <w:tc>
          <w:tcPr/>
          <w:p>
            <w:pPr>
              <w:pStyle w:val="Compact"/>
              <w:jc w:val="left"/>
            </w:pPr>
            <w:r>
              <w:t xml:space="preserve">63,2%</w:t>
            </w:r>
          </w:p>
        </w:tc>
        <w:tc>
          <w:tcPr/>
          <w:p>
            <w:pPr>
              <w:pStyle w:val="Compact"/>
              <w:jc w:val="left"/>
            </w:pPr>
            <w:r>
              <w:t xml:space="preserve">38,0%</w:t>
            </w:r>
          </w:p>
        </w:tc>
        <w:tc>
          <w:tcPr/>
          <w:p>
            <w:pPr>
              <w:pStyle w:val="Compact"/>
              <w:jc w:val="left"/>
            </w:pPr>
            <w:r>
              <w:t xml:space="preserve">1,09×</w:t>
            </w:r>
          </w:p>
        </w:tc>
      </w:tr>
      <w:tr>
        <w:tc>
          <w:tcPr/>
          <w:p>
            <w:pPr>
              <w:pStyle w:val="Compact"/>
              <w:jc w:val="left"/>
            </w:pPr>
            <w:r>
              <w:t xml:space="preserve">CUPSEY</w:t>
            </w:r>
          </w:p>
        </w:tc>
        <w:tc>
          <w:tcPr/>
          <w:p>
            <w:pPr>
              <w:pStyle w:val="Compact"/>
              <w:jc w:val="left"/>
            </w:pPr>
            <w:r>
              <w:t xml:space="preserve">SOL ≥ +50%</w:t>
            </w:r>
          </w:p>
        </w:tc>
        <w:tc>
          <w:tcPr/>
          <w:p>
            <w:pPr>
              <w:pStyle w:val="Compact"/>
              <w:jc w:val="left"/>
            </w:pPr>
            <w:r>
              <w:t xml:space="preserve">29,7%</w:t>
            </w:r>
          </w:p>
        </w:tc>
        <w:tc>
          <w:tcPr/>
          <w:p>
            <w:pPr>
              <w:pStyle w:val="Compact"/>
              <w:jc w:val="left"/>
            </w:pPr>
            <w:r>
              <w:t xml:space="preserve">20,2%</w:t>
            </w:r>
          </w:p>
        </w:tc>
        <w:tc>
          <w:tcPr/>
          <w:p>
            <w:pPr>
              <w:pStyle w:val="Compact"/>
              <w:jc w:val="left"/>
            </w:pPr>
            <w:r>
              <w:t xml:space="preserve">13,0%</w:t>
            </w:r>
          </w:p>
        </w:tc>
        <w:tc>
          <w:tcPr/>
          <w:p>
            <w:pPr>
              <w:pStyle w:val="Compact"/>
              <w:jc w:val="left"/>
            </w:pPr>
            <w:r>
              <w:t xml:space="preserve">7,1%</w:t>
            </w:r>
          </w:p>
        </w:tc>
        <w:tc>
          <w:tcPr/>
          <w:p>
            <w:pPr>
              <w:pStyle w:val="Compact"/>
              <w:jc w:val="left"/>
            </w:pPr>
            <w:r>
              <w:t xml:space="preserve">2,7%</w:t>
            </w:r>
          </w:p>
        </w:tc>
        <w:tc>
          <w:tcPr/>
          <w:p>
            <w:pPr>
              <w:pStyle w:val="Compact"/>
              <w:jc w:val="left"/>
            </w:pPr>
            <w:r>
              <w:t xml:space="preserve">11,9%</w:t>
            </w:r>
          </w:p>
        </w:tc>
        <w:tc>
          <w:tcPr/>
          <w:p>
            <w:pPr>
              <w:pStyle w:val="Compact"/>
              <w:jc w:val="left"/>
            </w:pPr>
            <w:r>
              <w:t xml:space="preserve">45,3%</w:t>
            </w:r>
          </w:p>
        </w:tc>
        <w:tc>
          <w:tcPr/>
          <w:p>
            <w:pPr>
              <w:pStyle w:val="Compact"/>
              <w:jc w:val="left"/>
            </w:pPr>
            <w:r>
              <w:t xml:space="preserve">25,0%</w:t>
            </w:r>
          </w:p>
        </w:tc>
        <w:tc>
          <w:tcPr/>
          <w:p>
            <w:pPr>
              <w:pStyle w:val="Compact"/>
              <w:jc w:val="left"/>
            </w:pPr>
            <w:r>
              <w:t xml:space="preserve">2,00×</w:t>
            </w:r>
          </w:p>
        </w:tc>
      </w:tr>
      <w:tr>
        <w:tc>
          <w:tcPr/>
          <w:p>
            <w:pPr>
              <w:pStyle w:val="Compact"/>
              <w:jc w:val="left"/>
            </w:pPr>
            <w:r>
              <w:t xml:space="preserve">CUPSEY</w:t>
            </w:r>
          </w:p>
        </w:tc>
        <w:tc>
          <w:tcPr/>
          <w:p>
            <w:pPr>
              <w:pStyle w:val="Compact"/>
              <w:jc w:val="left"/>
            </w:pPr>
            <w:r>
              <w:t xml:space="preserve">SOL ≥ +100%</w:t>
            </w:r>
          </w:p>
        </w:tc>
        <w:tc>
          <w:tcPr/>
          <w:p>
            <w:pPr>
              <w:pStyle w:val="Compact"/>
              <w:jc w:val="left"/>
            </w:pPr>
            <w:r>
              <w:t xml:space="preserve">33,2%</w:t>
            </w:r>
          </w:p>
        </w:tc>
        <w:tc>
          <w:tcPr/>
          <w:p>
            <w:pPr>
              <w:pStyle w:val="Compact"/>
              <w:jc w:val="left"/>
            </w:pPr>
            <w:r>
              <w:t xml:space="preserve">23,5%</w:t>
            </w:r>
          </w:p>
        </w:tc>
        <w:tc>
          <w:tcPr/>
          <w:p>
            <w:pPr>
              <w:pStyle w:val="Compact"/>
              <w:jc w:val="left"/>
            </w:pPr>
            <w:r>
              <w:t xml:space="preserve">15,6%</w:t>
            </w:r>
          </w:p>
        </w:tc>
        <w:tc>
          <w:tcPr/>
          <w:p>
            <w:pPr>
              <w:pStyle w:val="Compact"/>
              <w:jc w:val="left"/>
            </w:pPr>
            <w:r>
              <w:t xml:space="preserve">8,5%</w:t>
            </w:r>
          </w:p>
        </w:tc>
        <w:tc>
          <w:tcPr/>
          <w:p>
            <w:pPr>
              <w:pStyle w:val="Compact"/>
              <w:jc w:val="left"/>
            </w:pPr>
            <w:r>
              <w:t xml:space="preserve">3,3%</w:t>
            </w:r>
          </w:p>
        </w:tc>
        <w:tc>
          <w:tcPr/>
          <w:p>
            <w:pPr>
              <w:pStyle w:val="Compact"/>
              <w:jc w:val="left"/>
            </w:pPr>
            <w:r>
              <w:t xml:space="preserve">14,3%</w:t>
            </w:r>
          </w:p>
        </w:tc>
        <w:tc>
          <w:tcPr/>
          <w:p>
            <w:pPr>
              <w:pStyle w:val="Compact"/>
              <w:jc w:val="left"/>
            </w:pPr>
            <w:r>
              <w:t xml:space="preserve">43,2%</w:t>
            </w:r>
          </w:p>
        </w:tc>
        <w:tc>
          <w:tcPr/>
          <w:p>
            <w:pPr>
              <w:pStyle w:val="Compact"/>
              <w:jc w:val="left"/>
            </w:pPr>
            <w:r>
              <w:t xml:space="preserve">23,9%</w:t>
            </w:r>
          </w:p>
        </w:tc>
        <w:tc>
          <w:tcPr/>
          <w:p>
            <w:pPr>
              <w:pStyle w:val="Compact"/>
              <w:jc w:val="left"/>
            </w:pPr>
            <w:r>
              <w:t xml:space="preserve">2,29×</w:t>
            </w:r>
          </w:p>
        </w:tc>
      </w:tr>
      <w:tr>
        <w:tc>
          <w:tcPr/>
          <w:p>
            <w:pPr>
              <w:pStyle w:val="Compact"/>
              <w:jc w:val="left"/>
            </w:pPr>
            <w:r>
              <w:t xml:space="preserve">WOJAK</w:t>
            </w:r>
          </w:p>
        </w:tc>
        <w:tc>
          <w:tcPr/>
          <w:p>
            <w:pPr>
              <w:pStyle w:val="Compact"/>
              <w:jc w:val="left"/>
            </w:pPr>
            <w:r>
              <w:t xml:space="preserve">non condizionata</w:t>
            </w:r>
          </w:p>
        </w:tc>
        <w:tc>
          <w:tcPr/>
          <w:p>
            <w:pPr>
              <w:pStyle w:val="Compact"/>
              <w:jc w:val="left"/>
            </w:pPr>
            <w:r>
              <w:t xml:space="preserve">19,3%</w:t>
            </w:r>
          </w:p>
        </w:tc>
        <w:tc>
          <w:tcPr/>
          <w:p>
            <w:pPr>
              <w:pStyle w:val="Compact"/>
              <w:jc w:val="left"/>
            </w:pPr>
            <w:r>
              <w:t xml:space="preserve">12,5%</w:t>
            </w:r>
          </w:p>
        </w:tc>
        <w:tc>
          <w:tcPr/>
          <w:p>
            <w:pPr>
              <w:pStyle w:val="Compact"/>
              <w:jc w:val="left"/>
            </w:pPr>
            <w:r>
              <w:t xml:space="preserve">7,8%</w:t>
            </w:r>
          </w:p>
        </w:tc>
        <w:tc>
          <w:tcPr/>
          <w:p>
            <w:pPr>
              <w:pStyle w:val="Compact"/>
              <w:jc w:val="left"/>
            </w:pPr>
            <w:r>
              <w:t xml:space="preserve">4,2%</w:t>
            </w:r>
          </w:p>
        </w:tc>
        <w:tc>
          <w:tcPr/>
          <w:p>
            <w:pPr>
              <w:pStyle w:val="Compact"/>
              <w:jc w:val="left"/>
            </w:pPr>
            <w:r>
              <w:t xml:space="preserve">1,6%</w:t>
            </w:r>
          </w:p>
        </w:tc>
        <w:tc>
          <w:tcPr/>
          <w:p>
            <w:pPr>
              <w:pStyle w:val="Compact"/>
              <w:jc w:val="left"/>
            </w:pPr>
            <w:r>
              <w:t xml:space="preserve">8,0%</w:t>
            </w:r>
          </w:p>
        </w:tc>
        <w:tc>
          <w:tcPr/>
          <w:p>
            <w:pPr>
              <w:pStyle w:val="Compact"/>
              <w:jc w:val="left"/>
            </w:pPr>
            <w:r>
              <w:t xml:space="preserve">59,6%</w:t>
            </w:r>
          </w:p>
        </w:tc>
        <w:tc>
          <w:tcPr/>
          <w:p>
            <w:pPr>
              <w:pStyle w:val="Compact"/>
              <w:jc w:val="left"/>
            </w:pPr>
            <w:r>
              <w:t xml:space="preserve">34,3%</w:t>
            </w:r>
          </w:p>
        </w:tc>
        <w:tc>
          <w:tcPr/>
          <w:p>
            <w:pPr>
              <w:pStyle w:val="Compact"/>
              <w:jc w:val="left"/>
            </w:pPr>
            <w:r>
              <w:t xml:space="preserve">1,34×</w:t>
            </w:r>
          </w:p>
        </w:tc>
      </w:tr>
      <w:tr>
        <w:tc>
          <w:tcPr/>
          <w:p>
            <w:pPr>
              <w:pStyle w:val="Compact"/>
              <w:jc w:val="left"/>
            </w:pPr>
            <w:r>
              <w:t xml:space="preserve">WOJAK</w:t>
            </w:r>
          </w:p>
        </w:tc>
        <w:tc>
          <w:tcPr/>
          <w:p>
            <w:pPr>
              <w:pStyle w:val="Compact"/>
              <w:jc w:val="left"/>
            </w:pPr>
            <w:r>
              <w:t xml:space="preserve">ETH ≥ +50%</w:t>
            </w:r>
          </w:p>
        </w:tc>
        <w:tc>
          <w:tcPr/>
          <w:p>
            <w:pPr>
              <w:pStyle w:val="Compact"/>
              <w:jc w:val="left"/>
            </w:pPr>
            <w:r>
              <w:t xml:space="preserve">40,8%</w:t>
            </w:r>
          </w:p>
        </w:tc>
        <w:tc>
          <w:tcPr/>
          <w:p>
            <w:pPr>
              <w:pStyle w:val="Compact"/>
              <w:jc w:val="left"/>
            </w:pPr>
            <w:r>
              <w:t xml:space="preserve">28,9%</w:t>
            </w:r>
          </w:p>
        </w:tc>
        <w:tc>
          <w:tcPr/>
          <w:p>
            <w:pPr>
              <w:pStyle w:val="Compact"/>
              <w:jc w:val="left"/>
            </w:pPr>
            <w:r>
              <w:t xml:space="preserve">19,2%</w:t>
            </w:r>
          </w:p>
        </w:tc>
        <w:tc>
          <w:tcPr/>
          <w:p>
            <w:pPr>
              <w:pStyle w:val="Compact"/>
              <w:jc w:val="left"/>
            </w:pPr>
            <w:r>
              <w:t xml:space="preserve">10,7%</w:t>
            </w:r>
          </w:p>
        </w:tc>
        <w:tc>
          <w:tcPr/>
          <w:p>
            <w:pPr>
              <w:pStyle w:val="Compact"/>
              <w:jc w:val="left"/>
            </w:pPr>
            <w:r>
              <w:t xml:space="preserve">4,2%</w:t>
            </w:r>
          </w:p>
        </w:tc>
        <w:tc>
          <w:tcPr/>
          <w:p>
            <w:pPr>
              <w:pStyle w:val="Compact"/>
              <w:jc w:val="left"/>
            </w:pPr>
            <w:r>
              <w:t xml:space="preserve">19,6%</w:t>
            </w:r>
          </w:p>
        </w:tc>
        <w:tc>
          <w:tcPr/>
          <w:p>
            <w:pPr>
              <w:pStyle w:val="Compact"/>
              <w:jc w:val="left"/>
            </w:pPr>
            <w:r>
              <w:t xml:space="preserve">37,9%</w:t>
            </w:r>
          </w:p>
        </w:tc>
        <w:tc>
          <w:tcPr/>
          <w:p>
            <w:pPr>
              <w:pStyle w:val="Compact"/>
              <w:jc w:val="left"/>
            </w:pPr>
            <w:r>
              <w:t xml:space="preserve">19,7%</w:t>
            </w:r>
          </w:p>
        </w:tc>
        <w:tc>
          <w:tcPr/>
          <w:p>
            <w:pPr>
              <w:pStyle w:val="Compact"/>
              <w:jc w:val="left"/>
            </w:pPr>
            <w:r>
              <w:t xml:space="preserve">2,75×</w:t>
            </w:r>
          </w:p>
        </w:tc>
      </w:tr>
      <w:tr>
        <w:tc>
          <w:tcPr/>
          <w:p>
            <w:pPr>
              <w:pStyle w:val="Compact"/>
              <w:jc w:val="left"/>
            </w:pPr>
            <w:r>
              <w:t xml:space="preserve">WOJAK</w:t>
            </w:r>
          </w:p>
        </w:tc>
        <w:tc>
          <w:tcPr/>
          <w:p>
            <w:pPr>
              <w:pStyle w:val="Compact"/>
              <w:jc w:val="left"/>
            </w:pPr>
            <w:r>
              <w:t xml:space="preserve">ETH ≥ +100%</w:t>
            </w:r>
          </w:p>
        </w:tc>
        <w:tc>
          <w:tcPr/>
          <w:p>
            <w:pPr>
              <w:pStyle w:val="Compact"/>
              <w:jc w:val="left"/>
            </w:pPr>
            <w:r>
              <w:t xml:space="preserve">45,7%</w:t>
            </w:r>
          </w:p>
        </w:tc>
        <w:tc>
          <w:tcPr/>
          <w:p>
            <w:pPr>
              <w:pStyle w:val="Compact"/>
              <w:jc w:val="left"/>
            </w:pPr>
            <w:r>
              <w:t xml:space="preserve">33,8%</w:t>
            </w:r>
          </w:p>
        </w:tc>
        <w:tc>
          <w:tcPr/>
          <w:p>
            <w:pPr>
              <w:pStyle w:val="Compact"/>
              <w:jc w:val="left"/>
            </w:pPr>
            <w:r>
              <w:t xml:space="preserve">23,3%</w:t>
            </w:r>
          </w:p>
        </w:tc>
        <w:tc>
          <w:tcPr/>
          <w:p>
            <w:pPr>
              <w:pStyle w:val="Compact"/>
              <w:jc w:val="left"/>
            </w:pPr>
            <w:r>
              <w:t xml:space="preserve">13,2%</w:t>
            </w:r>
          </w:p>
        </w:tc>
        <w:tc>
          <w:tcPr/>
          <w:p>
            <w:pPr>
              <w:pStyle w:val="Compact"/>
              <w:jc w:val="left"/>
            </w:pPr>
            <w:r>
              <w:t xml:space="preserve">5,2%</w:t>
            </w:r>
          </w:p>
        </w:tc>
        <w:tc>
          <w:tcPr/>
          <w:p>
            <w:pPr>
              <w:pStyle w:val="Compact"/>
              <w:jc w:val="left"/>
            </w:pPr>
            <w:r>
              <w:t xml:space="preserve">23,7%</w:t>
            </w:r>
          </w:p>
        </w:tc>
        <w:tc>
          <w:tcPr/>
          <w:p>
            <w:pPr>
              <w:pStyle w:val="Compact"/>
              <w:jc w:val="left"/>
            </w:pPr>
            <w:r>
              <w:t xml:space="preserve">35,4%</w:t>
            </w:r>
          </w:p>
        </w:tc>
        <w:tc>
          <w:tcPr/>
          <w:p>
            <w:pPr>
              <w:pStyle w:val="Compact"/>
              <w:jc w:val="left"/>
            </w:pPr>
            <w:r>
              <w:t xml:space="preserve">18,5%</w:t>
            </w:r>
          </w:p>
        </w:tc>
        <w:tc>
          <w:tcPr/>
          <w:p>
            <w:pPr>
              <w:pStyle w:val="Compact"/>
              <w:jc w:val="left"/>
            </w:pPr>
            <w:r>
              <w:t xml:space="preserve">3,21×</w:t>
            </w:r>
          </w:p>
        </w:tc>
      </w:tr>
      <w:tr>
        <w:tc>
          <w:tcPr/>
          <w:p>
            <w:pPr>
              <w:pStyle w:val="Compact"/>
              <w:jc w:val="left"/>
            </w:pPr>
            <w:r>
              <w:t xml:space="preserve">CASHCAT</w:t>
            </w:r>
          </w:p>
        </w:tc>
        <w:tc>
          <w:tcPr/>
          <w:p>
            <w:pPr>
              <w:pStyle w:val="Compact"/>
              <w:jc w:val="left"/>
            </w:pPr>
            <w:r>
              <w:t xml:space="preserve">non condizionata</w:t>
            </w:r>
          </w:p>
        </w:tc>
        <w:tc>
          <w:tcPr/>
          <w:p>
            <w:pPr>
              <w:pStyle w:val="Compact"/>
              <w:jc w:val="left"/>
            </w:pPr>
            <w:r>
              <w:t xml:space="preserve">20,8%</w:t>
            </w:r>
          </w:p>
        </w:tc>
        <w:tc>
          <w:tcPr/>
          <w:p>
            <w:pPr>
              <w:pStyle w:val="Compact"/>
              <w:jc w:val="left"/>
            </w:pPr>
            <w:r>
              <w:t xml:space="preserve">13,7%</w:t>
            </w:r>
          </w:p>
        </w:tc>
        <w:tc>
          <w:tcPr/>
          <w:p>
            <w:pPr>
              <w:pStyle w:val="Compact"/>
              <w:jc w:val="left"/>
            </w:pPr>
            <w:r>
              <w:t xml:space="preserve">8,8%</w:t>
            </w:r>
          </w:p>
        </w:tc>
        <w:tc>
          <w:tcPr/>
          <w:p>
            <w:pPr>
              <w:pStyle w:val="Compact"/>
              <w:jc w:val="left"/>
            </w:pPr>
            <w:r>
              <w:t xml:space="preserve">4,7%</w:t>
            </w:r>
          </w:p>
        </w:tc>
        <w:tc>
          <w:tcPr/>
          <w:p>
            <w:pPr>
              <w:pStyle w:val="Compact"/>
              <w:jc w:val="left"/>
            </w:pPr>
            <w:r>
              <w:t xml:space="preserve">1,8%</w:t>
            </w:r>
          </w:p>
        </w:tc>
        <w:tc>
          <w:tcPr/>
          <w:p>
            <w:pPr>
              <w:pStyle w:val="Compact"/>
              <w:jc w:val="left"/>
            </w:pPr>
            <w:r>
              <w:t xml:space="preserve">9,8%</w:t>
            </w:r>
          </w:p>
        </w:tc>
        <w:tc>
          <w:tcPr/>
          <w:p>
            <w:pPr>
              <w:pStyle w:val="Compact"/>
              <w:jc w:val="left"/>
            </w:pPr>
            <w:r>
              <w:t xml:space="preserve">65,8%</w:t>
            </w:r>
          </w:p>
        </w:tc>
        <w:tc>
          <w:tcPr/>
          <w:p>
            <w:pPr>
              <w:pStyle w:val="Compact"/>
              <w:jc w:val="left"/>
            </w:pPr>
            <w:r>
              <w:t xml:space="preserve">41,3%</w:t>
            </w:r>
          </w:p>
        </w:tc>
        <w:tc>
          <w:tcPr/>
          <w:p>
            <w:pPr>
              <w:pStyle w:val="Compact"/>
              <w:jc w:val="left"/>
            </w:pPr>
            <w:r>
              <w:t xml:space="preserve">1,39×</w:t>
            </w:r>
          </w:p>
        </w:tc>
      </w:tr>
      <w:tr>
        <w:tc>
          <w:tcPr/>
          <w:p>
            <w:pPr>
              <w:pStyle w:val="Compact"/>
              <w:jc w:val="left"/>
            </w:pPr>
            <w:r>
              <w:t xml:space="preserve">CASHCAT</w:t>
            </w:r>
          </w:p>
        </w:tc>
        <w:tc>
          <w:tcPr/>
          <w:p>
            <w:pPr>
              <w:pStyle w:val="Compact"/>
              <w:jc w:val="left"/>
            </w:pPr>
            <w:r>
              <w:t xml:space="preserve">ETH ≥ +50%</w:t>
            </w:r>
          </w:p>
        </w:tc>
        <w:tc>
          <w:tcPr/>
          <w:p>
            <w:pPr>
              <w:pStyle w:val="Compact"/>
              <w:jc w:val="left"/>
            </w:pPr>
            <w:r>
              <w:t xml:space="preserve">36,8%</w:t>
            </w:r>
          </w:p>
        </w:tc>
        <w:tc>
          <w:tcPr/>
          <w:p>
            <w:pPr>
              <w:pStyle w:val="Compact"/>
              <w:jc w:val="left"/>
            </w:pPr>
            <w:r>
              <w:t xml:space="preserve">26,4%</w:t>
            </w:r>
          </w:p>
        </w:tc>
        <w:tc>
          <w:tcPr/>
          <w:p>
            <w:pPr>
              <w:pStyle w:val="Compact"/>
              <w:jc w:val="left"/>
            </w:pPr>
            <w:r>
              <w:t xml:space="preserve">17,9%</w:t>
            </w:r>
          </w:p>
        </w:tc>
        <w:tc>
          <w:tcPr/>
          <w:p>
            <w:pPr>
              <w:pStyle w:val="Compact"/>
              <w:jc w:val="left"/>
            </w:pPr>
            <w:r>
              <w:t xml:space="preserve">10,2%</w:t>
            </w:r>
          </w:p>
        </w:tc>
        <w:tc>
          <w:tcPr/>
          <w:p>
            <w:pPr>
              <w:pStyle w:val="Compact"/>
              <w:jc w:val="left"/>
            </w:pPr>
            <w:r>
              <w:t xml:space="preserve">4,1%</w:t>
            </w:r>
          </w:p>
        </w:tc>
        <w:tc>
          <w:tcPr/>
          <w:p>
            <w:pPr>
              <w:pStyle w:val="Compact"/>
              <w:jc w:val="left"/>
            </w:pPr>
            <w:r>
              <w:t xml:space="preserve">19,7%</w:t>
            </w:r>
          </w:p>
        </w:tc>
        <w:tc>
          <w:tcPr/>
          <w:p>
            <w:pPr>
              <w:pStyle w:val="Compact"/>
              <w:jc w:val="left"/>
            </w:pPr>
            <w:r>
              <w:t xml:space="preserve">50,8%</w:t>
            </w:r>
          </w:p>
        </w:tc>
        <w:tc>
          <w:tcPr/>
          <w:p>
            <w:pPr>
              <w:pStyle w:val="Compact"/>
              <w:jc w:val="left"/>
            </w:pPr>
            <w:r>
              <w:t xml:space="preserve">29,6%</w:t>
            </w:r>
          </w:p>
        </w:tc>
        <w:tc>
          <w:tcPr/>
          <w:p>
            <w:pPr>
              <w:pStyle w:val="Compact"/>
              <w:jc w:val="left"/>
            </w:pPr>
            <w:r>
              <w:t xml:space="preserve">2,54×</w:t>
            </w:r>
          </w:p>
        </w:tc>
      </w:tr>
      <w:tr>
        <w:tc>
          <w:tcPr/>
          <w:p>
            <w:pPr>
              <w:pStyle w:val="Compact"/>
              <w:jc w:val="left"/>
            </w:pPr>
            <w:r>
              <w:t xml:space="preserve">CASHCAT</w:t>
            </w:r>
          </w:p>
        </w:tc>
        <w:tc>
          <w:tcPr/>
          <w:p>
            <w:pPr>
              <w:pStyle w:val="Compact"/>
              <w:jc w:val="left"/>
            </w:pPr>
            <w:r>
              <w:t xml:space="preserve">ETH ≥ +100%</w:t>
            </w:r>
          </w:p>
        </w:tc>
        <w:tc>
          <w:tcPr/>
          <w:p>
            <w:pPr>
              <w:pStyle w:val="Compact"/>
              <w:jc w:val="left"/>
            </w:pPr>
            <w:r>
              <w:t xml:space="preserve">40,3%</w:t>
            </w:r>
          </w:p>
        </w:tc>
        <w:tc>
          <w:tcPr/>
          <w:p>
            <w:pPr>
              <w:pStyle w:val="Compact"/>
              <w:jc w:val="left"/>
            </w:pPr>
            <w:r>
              <w:t xml:space="preserve">30,1%</w:t>
            </w:r>
          </w:p>
        </w:tc>
        <w:tc>
          <w:tcPr/>
          <w:p>
            <w:pPr>
              <w:pStyle w:val="Compact"/>
              <w:jc w:val="left"/>
            </w:pPr>
            <w:r>
              <w:t xml:space="preserve">21,0%</w:t>
            </w:r>
          </w:p>
        </w:tc>
        <w:tc>
          <w:tcPr/>
          <w:p>
            <w:pPr>
              <w:pStyle w:val="Compact"/>
              <w:jc w:val="left"/>
            </w:pPr>
            <w:r>
              <w:t xml:space="preserve">12,2%</w:t>
            </w:r>
          </w:p>
        </w:tc>
        <w:tc>
          <w:tcPr/>
          <w:p>
            <w:pPr>
              <w:pStyle w:val="Compact"/>
              <w:jc w:val="left"/>
            </w:pPr>
            <w:r>
              <w:t xml:space="preserve">5,0%</w:t>
            </w:r>
          </w:p>
        </w:tc>
        <w:tc>
          <w:tcPr/>
          <w:p>
            <w:pPr>
              <w:pStyle w:val="Compact"/>
              <w:jc w:val="left"/>
            </w:pPr>
            <w:r>
              <w:t xml:space="preserve">23,0%</w:t>
            </w:r>
          </w:p>
        </w:tc>
        <w:tc>
          <w:tcPr/>
          <w:p>
            <w:pPr>
              <w:pStyle w:val="Compact"/>
              <w:jc w:val="left"/>
            </w:pPr>
            <w:r>
              <w:t xml:space="preserve">48,9%</w:t>
            </w:r>
          </w:p>
        </w:tc>
        <w:tc>
          <w:tcPr/>
          <w:p>
            <w:pPr>
              <w:pStyle w:val="Compact"/>
              <w:jc w:val="left"/>
            </w:pPr>
            <w:r>
              <w:t xml:space="preserve">28,6%</w:t>
            </w:r>
          </w:p>
        </w:tc>
        <w:tc>
          <w:tcPr/>
          <w:p>
            <w:pPr>
              <w:pStyle w:val="Compact"/>
              <w:jc w:val="left"/>
            </w:pPr>
            <w:r>
              <w:t xml:space="preserve">2,91×</w:t>
            </w:r>
          </w:p>
        </w:tc>
      </w:tr>
      <w:tr>
        <w:tc>
          <w:tcPr/>
          <w:p>
            <w:pPr>
              <w:pStyle w:val="Compact"/>
              <w:jc w:val="left"/>
            </w:pPr>
            <w:r>
              <w:t xml:space="preserve">PEPE</w:t>
            </w:r>
          </w:p>
        </w:tc>
        <w:tc>
          <w:tcPr/>
          <w:p>
            <w:pPr>
              <w:pStyle w:val="Compact"/>
              <w:jc w:val="left"/>
            </w:pPr>
            <w:r>
              <w:t xml:space="preserve">non condizionata</w:t>
            </w:r>
          </w:p>
        </w:tc>
        <w:tc>
          <w:tcPr/>
          <w:p>
            <w:pPr>
              <w:pStyle w:val="Compact"/>
              <w:jc w:val="left"/>
            </w:pPr>
            <w:r>
              <w:t xml:space="preserve">21,8%</w:t>
            </w:r>
          </w:p>
        </w:tc>
        <w:tc>
          <w:tcPr/>
          <w:p>
            <w:pPr>
              <w:pStyle w:val="Compact"/>
              <w:jc w:val="left"/>
            </w:pPr>
            <w:r>
              <w:t xml:space="preserve">13,5%</w:t>
            </w:r>
          </w:p>
        </w:tc>
        <w:tc>
          <w:tcPr/>
          <w:p>
            <w:pPr>
              <w:pStyle w:val="Compact"/>
              <w:jc w:val="left"/>
            </w:pPr>
            <w:r>
              <w:t xml:space="preserve">7,6%</w:t>
            </w:r>
          </w:p>
        </w:tc>
        <w:tc>
          <w:tcPr/>
          <w:p>
            <w:pPr>
              <w:pStyle w:val="Compact"/>
              <w:jc w:val="left"/>
            </w:pPr>
            <w:r>
              <w:t xml:space="preserve">3,0%</w:t>
            </w:r>
          </w:p>
        </w:tc>
        <w:tc>
          <w:tcPr/>
          <w:p>
            <w:pPr>
              <w:pStyle w:val="Compact"/>
              <w:jc w:val="left"/>
            </w:pPr>
            <w:r>
              <w:t xml:space="preserve">0,7%</w:t>
            </w:r>
          </w:p>
        </w:tc>
        <w:tc>
          <w:tcPr/>
          <w:p>
            <w:pPr>
              <w:pStyle w:val="Compact"/>
              <w:jc w:val="left"/>
            </w:pPr>
            <w:r>
              <w:t xml:space="preserve">1,6%</w:t>
            </w:r>
          </w:p>
        </w:tc>
        <w:tc>
          <w:tcPr/>
          <w:p>
            <w:pPr>
              <w:pStyle w:val="Compact"/>
              <w:jc w:val="left"/>
            </w:pPr>
            <w:r>
              <w:t xml:space="preserve">42,5%</w:t>
            </w:r>
          </w:p>
        </w:tc>
        <w:tc>
          <w:tcPr/>
          <w:p>
            <w:pPr>
              <w:pStyle w:val="Compact"/>
              <w:jc w:val="left"/>
            </w:pPr>
            <w:r>
              <w:t xml:space="preserve">12,0%</w:t>
            </w:r>
          </w:p>
        </w:tc>
        <w:tc>
          <w:tcPr/>
          <w:p>
            <w:pPr>
              <w:pStyle w:val="Compact"/>
              <w:jc w:val="left"/>
            </w:pPr>
            <w:r>
              <w:t xml:space="preserve">1,22×</w:t>
            </w:r>
          </w:p>
        </w:tc>
      </w:tr>
      <w:tr>
        <w:tc>
          <w:tcPr/>
          <w:p>
            <w:pPr>
              <w:pStyle w:val="Compact"/>
              <w:jc w:val="left"/>
            </w:pPr>
            <w:r>
              <w:t xml:space="preserve">PEPE</w:t>
            </w:r>
          </w:p>
        </w:tc>
        <w:tc>
          <w:tcPr/>
          <w:p>
            <w:pPr>
              <w:pStyle w:val="Compact"/>
              <w:jc w:val="left"/>
            </w:pPr>
            <w:r>
              <w:t xml:space="preserve">ETH ≥ +50%</w:t>
            </w:r>
          </w:p>
        </w:tc>
        <w:tc>
          <w:tcPr/>
          <w:p>
            <w:pPr>
              <w:pStyle w:val="Compact"/>
              <w:jc w:val="left"/>
            </w:pPr>
            <w:r>
              <w:t xml:space="preserve">74,8%</w:t>
            </w:r>
          </w:p>
        </w:tc>
        <w:tc>
          <w:tcPr/>
          <w:p>
            <w:pPr>
              <w:pStyle w:val="Compact"/>
              <w:jc w:val="left"/>
            </w:pPr>
            <w:r>
              <w:t xml:space="preserve">53,7%</w:t>
            </w:r>
          </w:p>
        </w:tc>
        <w:tc>
          <w:tcPr/>
          <w:p>
            <w:pPr>
              <w:pStyle w:val="Compact"/>
              <w:jc w:val="left"/>
            </w:pPr>
            <w:r>
              <w:t xml:space="preserve">32,2%</w:t>
            </w:r>
          </w:p>
        </w:tc>
        <w:tc>
          <w:tcPr/>
          <w:p>
            <w:pPr>
              <w:pStyle w:val="Compact"/>
              <w:jc w:val="left"/>
            </w:pPr>
            <w:r>
              <w:t xml:space="preserve">13,4%</w:t>
            </w:r>
          </w:p>
        </w:tc>
        <w:tc>
          <w:tcPr/>
          <w:p>
            <w:pPr>
              <w:pStyle w:val="Compact"/>
              <w:jc w:val="left"/>
            </w:pPr>
            <w:r>
              <w:t xml:space="preserve">3,2%</w:t>
            </w:r>
          </w:p>
        </w:tc>
        <w:tc>
          <w:tcPr/>
          <w:p>
            <w:pPr>
              <w:pStyle w:val="Compact"/>
              <w:jc w:val="left"/>
            </w:pPr>
            <w:r>
              <w:t xml:space="preserve">6,9%</w:t>
            </w:r>
          </w:p>
        </w:tc>
        <w:tc>
          <w:tcPr/>
          <w:p>
            <w:pPr>
              <w:pStyle w:val="Compact"/>
              <w:jc w:val="left"/>
            </w:pPr>
            <w:r>
              <w:t xml:space="preserve">7,7%</w:t>
            </w:r>
          </w:p>
        </w:tc>
        <w:tc>
          <w:tcPr/>
          <w:p>
            <w:pPr>
              <w:pStyle w:val="Compact"/>
              <w:jc w:val="left"/>
            </w:pPr>
            <w:r>
              <w:t xml:space="preserve">1,0%</w:t>
            </w:r>
          </w:p>
        </w:tc>
        <w:tc>
          <w:tcPr/>
          <w:p>
            <w:pPr>
              <w:pStyle w:val="Compact"/>
              <w:jc w:val="left"/>
            </w:pPr>
            <w:r>
              <w:t xml:space="preserve">3,10×</w:t>
            </w:r>
          </w:p>
        </w:tc>
      </w:tr>
      <w:tr>
        <w:tc>
          <w:tcPr/>
          <w:p>
            <w:pPr>
              <w:pStyle w:val="Compact"/>
              <w:jc w:val="left"/>
            </w:pPr>
            <w:r>
              <w:t xml:space="preserve">PEPE</w:t>
            </w:r>
          </w:p>
        </w:tc>
        <w:tc>
          <w:tcPr/>
          <w:p>
            <w:pPr>
              <w:pStyle w:val="Compact"/>
              <w:jc w:val="left"/>
            </w:pPr>
            <w:r>
              <w:t xml:space="preserve">ETH ≥ +100%</w:t>
            </w:r>
          </w:p>
        </w:tc>
        <w:tc>
          <w:tcPr/>
          <w:p>
            <w:pPr>
              <w:pStyle w:val="Compact"/>
              <w:jc w:val="left"/>
            </w:pPr>
            <w:r>
              <w:t xml:space="preserve">85,5%</w:t>
            </w:r>
          </w:p>
        </w:tc>
        <w:tc>
          <w:tcPr/>
          <w:p>
            <w:pPr>
              <w:pStyle w:val="Compact"/>
              <w:jc w:val="left"/>
            </w:pPr>
            <w:r>
              <w:t xml:space="preserve">67,8%</w:t>
            </w:r>
          </w:p>
        </w:tc>
        <w:tc>
          <w:tcPr/>
          <w:p>
            <w:pPr>
              <w:pStyle w:val="Compact"/>
              <w:jc w:val="left"/>
            </w:pPr>
            <w:r>
              <w:t xml:space="preserve">42,7%</w:t>
            </w:r>
          </w:p>
        </w:tc>
        <w:tc>
          <w:tcPr/>
          <w:p>
            <w:pPr>
              <w:pStyle w:val="Compact"/>
              <w:jc w:val="left"/>
            </w:pPr>
            <w:r>
              <w:t xml:space="preserve">18,6%</w:t>
            </w:r>
          </w:p>
        </w:tc>
        <w:tc>
          <w:tcPr/>
          <w:p>
            <w:pPr>
              <w:pStyle w:val="Compact"/>
              <w:jc w:val="left"/>
            </w:pPr>
            <w:r>
              <w:t xml:space="preserve">4,6%</w:t>
            </w:r>
          </w:p>
        </w:tc>
        <w:tc>
          <w:tcPr/>
          <w:p>
            <w:pPr>
              <w:pStyle w:val="Compact"/>
              <w:jc w:val="left"/>
            </w:pPr>
            <w:r>
              <w:t xml:space="preserve">9,7%</w:t>
            </w:r>
          </w:p>
        </w:tc>
        <w:tc>
          <w:tcPr/>
          <w:p>
            <w:pPr>
              <w:pStyle w:val="Compact"/>
              <w:jc w:val="left"/>
            </w:pPr>
            <w:r>
              <w:t xml:space="preserve">5,4%</w:t>
            </w:r>
          </w:p>
        </w:tc>
        <w:tc>
          <w:tcPr/>
          <w:p>
            <w:pPr>
              <w:pStyle w:val="Compact"/>
              <w:jc w:val="left"/>
            </w:pPr>
            <w:r>
              <w:t xml:space="preserve">0,4%</w:t>
            </w:r>
          </w:p>
        </w:tc>
        <w:tc>
          <w:tcPr/>
          <w:p>
            <w:pPr>
              <w:pStyle w:val="Compact"/>
              <w:jc w:val="left"/>
            </w:pPr>
            <w:r>
              <w:t xml:space="preserve">3,79×</w:t>
            </w:r>
          </w:p>
        </w:tc>
      </w:tr>
    </w:tbl>
    <w:p>
      <w:pPr>
        <w:pStyle w:val="BodyText"/>
      </w:pPr>
      <w:r>
        <w:t xml:space="preserve">Stime del modello (metodo tabellare, blend Base). La lettura per token.</w:t>
      </w:r>
      <w:r>
        <w:t xml:space="preserve"> </w:t>
      </w:r>
      <w:r>
        <w:rPr>
          <w:bCs/>
          <w:b/>
        </w:rPr>
        <w:t xml:space="preserve">TROLL</w:t>
      </w:r>
      <w:r>
        <w:t xml:space="preserve">: 1 su 4 di essere a +50%, 1 su 6 di raddoppiare, 1 su 16 di fare 5×, 5% di nuovo ATH (che dista 5,6×); se SOL raddoppia, il raddoppio diventa più probabile che no (52%) e il nuovo ATH arriva a 1 su 5; ma anche in quel caso 1 su 5 di perdere metà del valore.</w:t>
      </w:r>
      <w:r>
        <w:t xml:space="preserve"> </w:t>
      </w:r>
      <w:r>
        <w:rPr>
          <w:bCs/>
          <w:b/>
        </w:rPr>
        <w:t xml:space="preserve">TRIPLE T</w:t>
      </w:r>
      <w:r>
        <w:t xml:space="preserve">: 1 su 5 e 1 su 7, con la probabilità di nuovo ATH più alta fra i token Solana (8%, perché l'ATH dista solo 3,2×), che sale al 21% se SOL raddoppia; la maggior parte del suo rialzo però non dipende da SOL.</w:t>
      </w:r>
      <w:r>
        <w:t xml:space="preserve"> </w:t>
      </w:r>
      <w:r>
        <w:rPr>
          <w:bCs/>
          <w:b/>
        </w:rPr>
        <w:t xml:space="preserve">WOJAK</w:t>
      </w:r>
      <w:r>
        <w:t xml:space="preserve">: numeri simili a TRIPLE T (19%, 12,5%, 8% di ATH) ma legati a ETH; se ETH raddoppia, 1 su 3 di raddoppio e 1 su 4 di nuovo ATH.</w:t>
      </w:r>
      <w:r>
        <w:t xml:space="preserve"> </w:t>
      </w:r>
      <w:r>
        <w:rPr>
          <w:bCs/>
          <w:b/>
        </w:rPr>
        <w:t xml:space="preserve">CUPSEY</w:t>
      </w:r>
      <w:r>
        <w:t xml:space="preserve">: 1 su 7 e 1 su 10, con 38% di "morte".</w:t>
      </w:r>
      <w:r>
        <w:t xml:space="preserve"> </w:t>
      </w:r>
      <w:r>
        <w:rPr>
          <w:bCs/>
          <w:b/>
        </w:rPr>
        <w:t xml:space="preserve">CHILLGUY</w:t>
      </w:r>
      <w:r>
        <w:t xml:space="preserve">: 1 su 8 e 1 su 14; il nuovo ATH (53× di distanza) è di fatto escluso (0,1–0,4%) anche se SOL raddoppia (0,3–0,8%); ma è, con TROLL, il token che più guadagna da un rally fra quelli Solana: la probabilità di raddoppio passa dal 2,5% se SOL chiude in calo al 26% se SOL raddoppia, un rapporto di 10 a 1 contro 4–5 a 1 per i token "di attenzione".</w:t>
      </w:r>
      <w:r>
        <w:t xml:space="preserve"> </w:t>
      </w:r>
      <w:r>
        <w:rPr>
          <w:bCs/>
          <w:b/>
        </w:rPr>
        <w:t xml:space="preserve">CHILLHOUSE</w:t>
      </w:r>
      <w:r>
        <w:t xml:space="preserve">: 1 su 10 e 1 su 15, quasi 1 su 2 di essere morta, e nemmeno un raddoppio di SOL la porta oltre il 17% di raddoppio.</w:t>
      </w:r>
      <w:r>
        <w:t xml:space="preserve"> </w:t>
      </w:r>
      <w:r>
        <w:rPr>
          <w:bCs/>
          <w:b/>
        </w:rPr>
        <w:t xml:space="preserve">CASHCAT</w:t>
      </w:r>
      <w:r>
        <w:t xml:space="preserve">: 1 su 5 e 1 su 7, la probabilità di nuovo ATH più alta del gruppo (9,8–13%, perché l'ATH dista solo 2,7×, la distanza minore dopo WOJAK), ma 2 su 3 di dimezzarsi e 4 su 10 di morire; un raddoppio di ETH porta il raddoppio solo al 30% e il nuovo ATH al 23%, perché solo il 45% del suo destino è legato a ETH.</w:t>
      </w:r>
      <w:r>
        <w:t xml:space="preserve"> </w:t>
      </w:r>
      <w:r>
        <w:rPr>
          <w:bCs/>
          <w:b/>
        </w:rPr>
        <w:t xml:space="preserve">PEPE</w:t>
      </w:r>
      <w:r>
        <w:t xml:space="preserve">: 1 su 5 e 1 su 7 come i piccoli, ma con un profilo di rischio di un altro mondo: 42,5% di dimezzarsi (contro 55–72%), 12% di morire (contro 30–49%), 3% di 5× e 1,6–2,6% di nuovo ATH (che dista 6,9×); se ETH sale del 50%, PEPE ha 3 probabilità su 4 di essere a +50% e più di 1 su 2 di raddoppiare, se ETH raddoppia 85% e 68%, e in quei casi la probabilità di dimezzarsi scende sotto l'8%.</w:t>
      </w:r>
    </w:p>
    <w:p>
      <w:pPr>
        <w:pStyle w:val="BodyText"/>
      </w:pPr>
      <w:r>
        <w:t xml:space="preserve">Il</w:t>
      </w:r>
      <w:r>
        <w:t xml:space="preserve"> </w:t>
      </w:r>
      <w:r>
        <w:rPr>
          <w:bCs/>
          <w:b/>
        </w:rPr>
        <w:t xml:space="preserve">Monte Carlo</w:t>
      </w:r>
      <w:r>
        <w:t xml:space="preserve"> </w:t>
      </w:r>
      <w:r>
        <w:t xml:space="preserve">(100.000 percorsi, stesso blend) conferma le cifre principali entro pochi punti, perché è calibrato su +50%, 2x e −50%, ma dice due cose in più. La prima è che le code sono più grasse di quanto il metodo tabellare estrapoli: le probabilità di 10× e di nuovo ATH risultano da 1,3 a 4 volte più alte (TROLL 5,9% di 10× e 8,9% di ATH; TRIPLE T 4,3% e 10,4%; WOJAK 3,9% e 10,0%; CUPSEY 2,6% e 6,6%; CHILLHOUSE 2,0% e 1,3%; CHILLGUY 1,3% e 0,4%;</w:t>
      </w:r>
      <w:r>
        <w:t xml:space="preserve"> </w:t>
      </w:r>
      <w:r>
        <w:rPr>
          <w:bCs/>
          <w:b/>
        </w:rPr>
        <w:t xml:space="preserve">CASHCAT 6,1% e 13,0%</w:t>
      </w:r>
      <w:r>
        <w:t xml:space="preserve">, il divario più ampio perché il suo shock idiosincratico calibrato, s = 3,0, è il più largo degli otto;</w:t>
      </w:r>
      <w:r>
        <w:t xml:space="preserve"> </w:t>
      </w:r>
      <w:r>
        <w:rPr>
          <w:bCs/>
          <w:b/>
        </w:rPr>
        <w:t xml:space="preserve">PEPE 1,4% e 2,6%</w:t>
      </w:r>
      <w:r>
        <w:t xml:space="preserve">, con lo shock più stretto, s = 0,85, il corrispettivo quantitativo di "bellwether"), quindi la lettura onesta di queste colonne è un intervallo, come nella tabella iniziale. La seconda è la</w:t>
      </w:r>
      <w:r>
        <w:t xml:space="preserve"> </w:t>
      </w:r>
      <w:r>
        <w:rPr>
          <w:bCs/>
          <w:b/>
        </w:rPr>
        <w:t xml:space="preserve">mediana</w:t>
      </w:r>
      <w:r>
        <w:t xml:space="preserve">: 0,33× per CHILLGUY, 0,23× per CHILLHOUSE, 0,42× per TROLL, 0,40× per TRIPLE T, 0,33× per CUPSEY, 0,36× per WOJAK,</w:t>
      </w:r>
      <w:r>
        <w:t xml:space="preserve"> </w:t>
      </w:r>
      <w:r>
        <w:rPr>
          <w:bCs/>
          <w:b/>
        </w:rPr>
        <w:t xml:space="preserve">0,22× per CASHCAT, la peggiore degli otto, e 0,58× per PEPE, la migliore</w:t>
      </w:r>
      <w:r>
        <w:t xml:space="preserve">; anche condizionata a un raddoppio della chain, la mediana dei piccoli è 0,4–1,6× (TROLL 1,58×, CHILLGUY 1,21×, WOJAK 0,92×, TRIPLE T 0,91×, CUPSEY 0,75×, CHILLHOUSE 0,53×, CASHCAT 0,44×), mentre quella di PEPE sale a</w:t>
      </w:r>
      <w:r>
        <w:t xml:space="preserve"> </w:t>
      </w:r>
      <w:r>
        <w:rPr>
          <w:bCs/>
          <w:b/>
        </w:rPr>
        <w:t xml:space="preserve">3,25×</w:t>
      </w:r>
      <w:r>
        <w:t xml:space="preserve"> </w:t>
      </w:r>
      <w:r>
        <w:t xml:space="preserve">(2,45× con ETH a +50%): è l'unico token per cui il percorso tipico in un rally di ETH è un guadagno netto. Il valore atteso nel Monte Carlo è più alto (0,93–2,30× per gli otto; CASHCAT 2,18×, PEPE 1,32×) per lo stesso motivo delle code, ed è comunque un numero guidato dal tetto di 30× imposto alla coda: va letto come ordine di grandezza, non con due decimali. Per CASHCAT i numeri condizionati del Monte Carlo sono più bassi di quelli tabellari (27% contro 40% per ≥ +50% dato ETH ≥ +100%) perché con λ = 0,45 il contributo della chain nei percorsi è solo β = 0,68/0,59, mentre la tabella mescola il 45% della condizionata generica piena; per PEPE sono più alti (78% contro 68% di raddoppio dato ETH ≥ +100%) perché con β = 1,76 e uno shock piccolo il Monte Carlo è quasi un puro gioco di beta. In entrambi i casi la coppia va citata come intervallo.</w:t>
      </w:r>
    </w:p>
    <w:p>
      <w:pPr>
        <w:pStyle w:val="BodyText"/>
      </w:pPr>
      <w:r>
        <w:t xml:space="preserve">Per CASHCAT la scomposizione per stato della chain, qui non condizionata su ETH, è la tabella da usare per chi ha una propria opinione su Robinhood Chain.</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Stato della chain</w:t>
            </w:r>
          </w:p>
        </w:tc>
        <w:tc>
          <w:tcPr/>
          <w:p>
            <w:pPr>
              <w:pStyle w:val="Compact"/>
              <w:jc w:val="left"/>
            </w:pPr>
            <w:r>
              <w:t xml:space="preserve">Probabilità</w:t>
            </w:r>
          </w:p>
        </w:tc>
        <w:tc>
          <w:tcPr/>
          <w:p>
            <w:pPr>
              <w:pStyle w:val="Compact"/>
              <w:jc w:val="left"/>
            </w:pPr>
            <w:r>
              <w:t xml:space="preserve">≥ +50%</w:t>
            </w:r>
          </w:p>
        </w:tc>
        <w:tc>
          <w:tcPr/>
          <w:p>
            <w:pPr>
              <w:pStyle w:val="Compact"/>
              <w:jc w:val="left"/>
            </w:pPr>
            <w:r>
              <w:t xml:space="preserve">≥ 2x</w:t>
            </w:r>
          </w:p>
        </w:tc>
        <w:tc>
          <w:tcPr/>
          <w:p>
            <w:pPr>
              <w:pStyle w:val="Compact"/>
              <w:jc w:val="left"/>
            </w:pPr>
            <w:r>
              <w:t xml:space="preserve">≥ 5x</w:t>
            </w:r>
          </w:p>
        </w:tc>
        <w:tc>
          <w:tcPr/>
          <w:p>
            <w:pPr>
              <w:pStyle w:val="Compact"/>
              <w:jc w:val="left"/>
            </w:pPr>
            <w:r>
              <w:t xml:space="preserve">≥ 10x</w:t>
            </w:r>
          </w:p>
        </w:tc>
        <w:tc>
          <w:tcPr/>
          <w:p>
            <w:pPr>
              <w:pStyle w:val="Compact"/>
              <w:jc w:val="left"/>
            </w:pPr>
            <w:r>
              <w:t xml:space="preserve">≤ −50%</w:t>
            </w:r>
          </w:p>
        </w:tc>
        <w:tc>
          <w:tcPr/>
          <w:p>
            <w:pPr>
              <w:pStyle w:val="Compact"/>
              <w:jc w:val="left"/>
            </w:pPr>
            <w:r>
              <w:t xml:space="preserve">Morta</w:t>
            </w:r>
          </w:p>
        </w:tc>
        <w:tc>
          <w:tcPr/>
          <w:p>
            <w:pPr>
              <w:pStyle w:val="Compact"/>
              <w:jc w:val="left"/>
            </w:pPr>
            <w:r>
              <w:t xml:space="preserve">Nuovo ATH</w:t>
            </w:r>
          </w:p>
        </w:tc>
        <w:tc>
          <w:tcPr/>
          <w:p>
            <w:pPr>
              <w:pStyle w:val="Compact"/>
              <w:jc w:val="left"/>
            </w:pPr>
            <w:r>
              <w:t xml:space="preserve">EV</w:t>
            </w:r>
          </w:p>
        </w:tc>
        <w:tc>
          <w:tcPr/>
          <w:p>
            <w:pPr>
              <w:pStyle w:val="Compact"/>
              <w:jc w:val="left"/>
            </w:pPr>
            <w:r>
              <w:t xml:space="preserve">Mediana MC</w:t>
            </w:r>
          </w:p>
        </w:tc>
      </w:tr>
      <w:tr>
        <w:tc>
          <w:tcPr/>
          <w:p>
            <w:pPr>
              <w:pStyle w:val="Compact"/>
              <w:jc w:val="left"/>
            </w:pPr>
            <w:r>
              <w:t xml:space="preserve">Rilancio</w:t>
            </w:r>
          </w:p>
        </w:tc>
        <w:tc>
          <w:tcPr/>
          <w:p>
            <w:pPr>
              <w:pStyle w:val="Compact"/>
              <w:jc w:val="left"/>
            </w:pPr>
            <w:r>
              <w:t xml:space="preserve">20%</w:t>
            </w:r>
          </w:p>
        </w:tc>
        <w:tc>
          <w:tcPr/>
          <w:p>
            <w:pPr>
              <w:pStyle w:val="Compact"/>
              <w:jc w:val="left"/>
            </w:pPr>
            <w:r>
              <w:t xml:space="preserve">34% / 28%</w:t>
            </w:r>
          </w:p>
        </w:tc>
        <w:tc>
          <w:tcPr/>
          <w:p>
            <w:pPr>
              <w:pStyle w:val="Compact"/>
              <w:jc w:val="left"/>
            </w:pPr>
            <w:r>
              <w:t xml:space="preserve">24% / 24%</w:t>
            </w:r>
          </w:p>
        </w:tc>
        <w:tc>
          <w:tcPr/>
          <w:p>
            <w:pPr>
              <w:pStyle w:val="Compact"/>
              <w:jc w:val="left"/>
            </w:pPr>
            <w:r>
              <w:t xml:space="preserve">9% / 14%</w:t>
            </w:r>
          </w:p>
        </w:tc>
        <w:tc>
          <w:tcPr/>
          <w:p>
            <w:pPr>
              <w:pStyle w:val="Compact"/>
              <w:jc w:val="left"/>
            </w:pPr>
            <w:r>
              <w:t xml:space="preserve">3% / 9%</w:t>
            </w:r>
          </w:p>
        </w:tc>
        <w:tc>
          <w:tcPr/>
          <w:p>
            <w:pPr>
              <w:pStyle w:val="Compact"/>
              <w:jc w:val="left"/>
            </w:pPr>
            <w:r>
              <w:t xml:space="preserve">53% / 51%</w:t>
            </w:r>
          </w:p>
        </w:tc>
        <w:tc>
          <w:tcPr/>
          <w:p>
            <w:pPr>
              <w:pStyle w:val="Compact"/>
              <w:jc w:val="left"/>
            </w:pPr>
            <w:r>
              <w:t xml:space="preserve">29% / 33%</w:t>
            </w:r>
          </w:p>
        </w:tc>
        <w:tc>
          <w:tcPr/>
          <w:p>
            <w:pPr>
              <w:pStyle w:val="Compact"/>
              <w:jc w:val="left"/>
            </w:pPr>
            <w:r>
              <w:t xml:space="preserve">17,5% / 19,8%</w:t>
            </w:r>
          </w:p>
        </w:tc>
        <w:tc>
          <w:tcPr/>
          <w:p>
            <w:pPr>
              <w:pStyle w:val="Compact"/>
              <w:jc w:val="left"/>
            </w:pPr>
            <w:r>
              <w:t xml:space="preserve">2,28× / 3,19×</w:t>
            </w:r>
          </w:p>
        </w:tc>
        <w:tc>
          <w:tcPr/>
          <w:p>
            <w:pPr>
              <w:pStyle w:val="Compact"/>
              <w:jc w:val="left"/>
            </w:pPr>
            <w:r>
              <w:t xml:space="preserve">0,47×</w:t>
            </w:r>
          </w:p>
        </w:tc>
      </w:tr>
      <w:tr>
        <w:tc>
          <w:tcPr/>
          <w:p>
            <w:pPr>
              <w:pStyle w:val="Compact"/>
              <w:jc w:val="left"/>
            </w:pPr>
            <w:r>
              <w:t xml:space="preserve">Stabile</w:t>
            </w:r>
          </w:p>
        </w:tc>
        <w:tc>
          <w:tcPr/>
          <w:p>
            <w:pPr>
              <w:pStyle w:val="Compact"/>
              <w:jc w:val="left"/>
            </w:pPr>
            <w:r>
              <w:t xml:space="preserve">45%</w:t>
            </w:r>
          </w:p>
        </w:tc>
        <w:tc>
          <w:tcPr/>
          <w:p>
            <w:pPr>
              <w:pStyle w:val="Compact"/>
              <w:jc w:val="left"/>
            </w:pPr>
            <w:r>
              <w:t xml:space="preserve">21% / 19%</w:t>
            </w:r>
          </w:p>
        </w:tc>
        <w:tc>
          <w:tcPr/>
          <w:p>
            <w:pPr>
              <w:pStyle w:val="Compact"/>
              <w:jc w:val="left"/>
            </w:pPr>
            <w:r>
              <w:t xml:space="preserve">14% / 16%</w:t>
            </w:r>
          </w:p>
        </w:tc>
        <w:tc>
          <w:tcPr/>
          <w:p>
            <w:pPr>
              <w:pStyle w:val="Compact"/>
              <w:jc w:val="left"/>
            </w:pPr>
            <w:r>
              <w:t xml:space="preserve">5% / 9%</w:t>
            </w:r>
          </w:p>
        </w:tc>
        <w:tc>
          <w:tcPr/>
          <w:p>
            <w:pPr>
              <w:pStyle w:val="Compact"/>
              <w:jc w:val="left"/>
            </w:pPr>
            <w:r>
              <w:t xml:space="preserve">2% / 6%</w:t>
            </w:r>
          </w:p>
        </w:tc>
        <w:tc>
          <w:tcPr/>
          <w:p>
            <w:pPr>
              <w:pStyle w:val="Compact"/>
              <w:jc w:val="left"/>
            </w:pPr>
            <w:r>
              <w:t xml:space="preserve">65% / 64%</w:t>
            </w:r>
          </w:p>
        </w:tc>
        <w:tc>
          <w:tcPr/>
          <w:p>
            <w:pPr>
              <w:pStyle w:val="Compact"/>
              <w:jc w:val="left"/>
            </w:pPr>
            <w:r>
              <w:t xml:space="preserve">40% / 46%</w:t>
            </w:r>
          </w:p>
        </w:tc>
        <w:tc>
          <w:tcPr/>
          <w:p>
            <w:pPr>
              <w:pStyle w:val="Compact"/>
              <w:jc w:val="left"/>
            </w:pPr>
            <w:r>
              <w:t xml:space="preserve">9,9% / 13,5%</w:t>
            </w:r>
          </w:p>
        </w:tc>
        <w:tc>
          <w:tcPr/>
          <w:p>
            <w:pPr>
              <w:pStyle w:val="Compact"/>
              <w:jc w:val="left"/>
            </w:pPr>
            <w:r>
              <w:t xml:space="preserve">1,40× / 2,25×</w:t>
            </w:r>
          </w:p>
        </w:tc>
        <w:tc>
          <w:tcPr/>
          <w:p>
            <w:pPr>
              <w:pStyle w:val="Compact"/>
              <w:jc w:val="left"/>
            </w:pPr>
            <w:r>
              <w:t xml:space="preserve">0,25×</w:t>
            </w:r>
          </w:p>
        </w:tc>
      </w:tr>
      <w:tr>
        <w:tc>
          <w:tcPr/>
          <w:p>
            <w:pPr>
              <w:pStyle w:val="Compact"/>
              <w:jc w:val="left"/>
            </w:pPr>
            <w:r>
              <w:t xml:space="preserve">Decadimento</w:t>
            </w:r>
          </w:p>
        </w:tc>
        <w:tc>
          <w:tcPr/>
          <w:p>
            <w:pPr>
              <w:pStyle w:val="Compact"/>
              <w:jc w:val="left"/>
            </w:pPr>
            <w:r>
              <w:t xml:space="preserve">35%</w:t>
            </w:r>
          </w:p>
        </w:tc>
        <w:tc>
          <w:tcPr/>
          <w:p>
            <w:pPr>
              <w:pStyle w:val="Compact"/>
              <w:jc w:val="left"/>
            </w:pPr>
            <w:r>
              <w:t xml:space="preserve">12% / 12%</w:t>
            </w:r>
          </w:p>
        </w:tc>
        <w:tc>
          <w:tcPr/>
          <w:p>
            <w:pPr>
              <w:pStyle w:val="Compact"/>
              <w:jc w:val="left"/>
            </w:pPr>
            <w:r>
              <w:t xml:space="preserve">8% / 10%</w:t>
            </w:r>
          </w:p>
        </w:tc>
        <w:tc>
          <w:tcPr/>
          <w:p>
            <w:pPr>
              <w:pStyle w:val="Compact"/>
              <w:jc w:val="left"/>
            </w:pPr>
            <w:r>
              <w:t xml:space="preserve">2% / 6%</w:t>
            </w:r>
          </w:p>
        </w:tc>
        <w:tc>
          <w:tcPr/>
          <w:p>
            <w:pPr>
              <w:pStyle w:val="Compact"/>
              <w:jc w:val="left"/>
            </w:pPr>
            <w:r>
              <w:t xml:space="preserve">1% / 4%</w:t>
            </w:r>
          </w:p>
        </w:tc>
        <w:tc>
          <w:tcPr/>
          <w:p>
            <w:pPr>
              <w:pStyle w:val="Compact"/>
              <w:jc w:val="left"/>
            </w:pPr>
            <w:r>
              <w:t xml:space="preserve">74% / 76%</w:t>
            </w:r>
          </w:p>
        </w:tc>
        <w:tc>
          <w:tcPr/>
          <w:p>
            <w:pPr>
              <w:pStyle w:val="Compact"/>
              <w:jc w:val="left"/>
            </w:pPr>
            <w:r>
              <w:t xml:space="preserve">51% / 60%</w:t>
            </w:r>
          </w:p>
        </w:tc>
        <w:tc>
          <w:tcPr/>
          <w:p>
            <w:pPr>
              <w:pStyle w:val="Compact"/>
              <w:jc w:val="left"/>
            </w:pPr>
            <w:r>
              <w:t xml:space="preserve">5,3% / 8,6%</w:t>
            </w:r>
          </w:p>
        </w:tc>
        <w:tc>
          <w:tcPr/>
          <w:p>
            <w:pPr>
              <w:pStyle w:val="Compact"/>
              <w:jc w:val="left"/>
            </w:pPr>
            <w:r>
              <w:t xml:space="preserve">0,87× / 1,52×</w:t>
            </w:r>
          </w:p>
        </w:tc>
        <w:tc>
          <w:tcPr/>
          <w:p>
            <w:pPr>
              <w:pStyle w:val="Compact"/>
              <w:jc w:val="left"/>
            </w:pPr>
            <w:r>
              <w:t xml:space="preserve">0,12×</w:t>
            </w:r>
          </w:p>
        </w:tc>
      </w:tr>
    </w:tbl>
    <w:p>
      <w:pPr>
        <w:pStyle w:val="BodyText"/>
      </w:pPr>
      <w:r>
        <w:t xml:space="preserve">Stime del modello (metodo tabellare / Monte Carlo). Il messaggio è che</w:t>
      </w:r>
      <w:r>
        <w:t xml:space="preserve"> </w:t>
      </w:r>
      <w:r>
        <w:rPr>
          <w:bCs/>
          <w:b/>
        </w:rPr>
        <w:t xml:space="preserve">lo stato della chain sposta la probabilità di raddoppio di CASHCAT dall'8% al 24%, tre volte più di quanto la sposti la visione su ETH</w:t>
      </w:r>
      <w:r>
        <w:t xml:space="preserve"> </w:t>
      </w:r>
      <w:r>
        <w:t xml:space="preserve">(dal 12,5% al 14,7% tra blend Pessimistico e Ottimistico): la tesi delle note, "un proxy a leva sull'attenzione verso Robinhood Chain", resa numerica. Chi crede che Robinhood continuerà a spingere la propria chain (i risultati del 27 ottobre, il business da $15 mld in azioni tokenizzate, il "funziona benissimo anche per le meme" di Tenev) dovrebbe leggere la riga Rilancio; chi legge le fee a −97%, la sparizione di Noxa e la fine del sussidio come la fine della mania dovrebbe leggere la riga Decadimento, in cui la "morte" è più probabile che no (51–60%).</w:t>
      </w:r>
    </w:p>
    <w:p>
      <w:pPr>
        <w:pStyle w:val="BodyText"/>
      </w:pPr>
      <w:r>
        <w:t xml:space="preserve">La</w:t>
      </w:r>
      <w:r>
        <w:t xml:space="preserve"> </w:t>
      </w:r>
      <w:r>
        <w:rPr>
          <w:bCs/>
          <w:b/>
        </w:rPr>
        <w:t xml:space="preserve">sensibilità</w:t>
      </w:r>
      <w:r>
        <w:t xml:space="preserve"> </w:t>
      </w:r>
      <w:r>
        <w:t xml:space="preserve">al quadro macro di SOL (o ETH) è, per sette token su otto, modesta. Passando dal blend Pessimistico (P(SOL ≥ +50%) = 14,8%) a quello Ottimistico (24,4%), la probabilità di raddoppio di ogni token Solana si muove di circa ±10–15% in termini relativi e la classifica non cambia; per CASHCAT il movimento è di appena ±8%, il minore del gruppo; per PEPE è di −27%/+24%, il maggiore, come deve essere per un bellwether.</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Token</w:t>
            </w:r>
          </w:p>
        </w:tc>
        <w:tc>
          <w:tcPr/>
          <w:p>
            <w:pPr>
              <w:pStyle w:val="Compact"/>
              <w:jc w:val="left"/>
            </w:pPr>
            <w:r>
              <w:t xml:space="preserve">Scenario SOL/ETH</w:t>
            </w:r>
          </w:p>
        </w:tc>
        <w:tc>
          <w:tcPr/>
          <w:p>
            <w:pPr>
              <w:pStyle w:val="Compact"/>
              <w:jc w:val="left"/>
            </w:pPr>
            <w:r>
              <w:t xml:space="preserve">P(chain ≥ +50%)</w:t>
            </w:r>
          </w:p>
        </w:tc>
        <w:tc>
          <w:tcPr/>
          <w:p>
            <w:pPr>
              <w:pStyle w:val="Compact"/>
              <w:jc w:val="left"/>
            </w:pPr>
            <w:r>
              <w:t xml:space="preserve">P(≥ +50%)</w:t>
            </w:r>
          </w:p>
        </w:tc>
        <w:tc>
          <w:tcPr/>
          <w:p>
            <w:pPr>
              <w:pStyle w:val="Compact"/>
              <w:jc w:val="left"/>
            </w:pPr>
            <w:r>
              <w:t xml:space="preserve">P(≥ 2x)</w:t>
            </w:r>
          </w:p>
        </w:tc>
        <w:tc>
          <w:tcPr/>
          <w:p>
            <w:pPr>
              <w:pStyle w:val="Compact"/>
              <w:jc w:val="left"/>
            </w:pPr>
            <w:r>
              <w:t xml:space="preserve">P(≥ 5x)</w:t>
            </w:r>
          </w:p>
        </w:tc>
        <w:tc>
          <w:tcPr/>
          <w:p>
            <w:pPr>
              <w:pStyle w:val="Compact"/>
              <w:jc w:val="left"/>
            </w:pPr>
            <w:r>
              <w:t xml:space="preserve">P(nuovo ATH)</w:t>
            </w:r>
          </w:p>
        </w:tc>
        <w:tc>
          <w:tcPr/>
          <w:p>
            <w:pPr>
              <w:pStyle w:val="Compact"/>
              <w:jc w:val="left"/>
            </w:pPr>
            <w:r>
              <w:t xml:space="preserve">P(≤ −50%)</w:t>
            </w:r>
          </w:p>
        </w:tc>
        <w:tc>
          <w:tcPr/>
          <w:p>
            <w:pPr>
              <w:pStyle w:val="Compact"/>
              <w:jc w:val="left"/>
            </w:pPr>
            <w:r>
              <w:t xml:space="preserve">P(morta)</w:t>
            </w:r>
          </w:p>
        </w:tc>
        <w:tc>
          <w:tcPr/>
          <w:p>
            <w:pPr>
              <w:pStyle w:val="Compact"/>
              <w:jc w:val="left"/>
            </w:pPr>
            <w:r>
              <w:t xml:space="preserve">EV</w:t>
            </w:r>
          </w:p>
        </w:tc>
      </w:tr>
      <w:tr>
        <w:tc>
          <w:tcPr/>
          <w:p>
            <w:pPr>
              <w:pStyle w:val="Compact"/>
              <w:jc w:val="left"/>
            </w:pPr>
            <w:r>
              <w:t xml:space="preserve">CHILLGUY</w:t>
            </w:r>
          </w:p>
        </w:tc>
        <w:tc>
          <w:tcPr/>
          <w:p>
            <w:pPr>
              <w:pStyle w:val="Compact"/>
              <w:jc w:val="left"/>
            </w:pPr>
            <w:r>
              <w:t xml:space="preserve">Ottimistico</w:t>
            </w:r>
          </w:p>
        </w:tc>
        <w:tc>
          <w:tcPr/>
          <w:p>
            <w:pPr>
              <w:pStyle w:val="Compact"/>
              <w:jc w:val="left"/>
            </w:pPr>
            <w:r>
              <w:t xml:space="preserve">24,4%</w:t>
            </w:r>
          </w:p>
        </w:tc>
        <w:tc>
          <w:tcPr/>
          <w:p>
            <w:pPr>
              <w:pStyle w:val="Compact"/>
              <w:jc w:val="left"/>
            </w:pPr>
            <w:r>
              <w:t xml:space="preserve">13,4%</w:t>
            </w:r>
          </w:p>
        </w:tc>
        <w:tc>
          <w:tcPr/>
          <w:p>
            <w:pPr>
              <w:pStyle w:val="Compact"/>
              <w:jc w:val="left"/>
            </w:pPr>
            <w:r>
              <w:t xml:space="preserve">8,4%</w:t>
            </w:r>
          </w:p>
        </w:tc>
        <w:tc>
          <w:tcPr/>
          <w:p>
            <w:pPr>
              <w:pStyle w:val="Compact"/>
              <w:jc w:val="left"/>
            </w:pPr>
            <w:r>
              <w:t xml:space="preserve">2,7%</w:t>
            </w:r>
          </w:p>
        </w:tc>
        <w:tc>
          <w:tcPr/>
          <w:p>
            <w:pPr>
              <w:pStyle w:val="Compact"/>
              <w:jc w:val="left"/>
            </w:pPr>
            <w:r>
              <w:t xml:space="preserve">0,1%</w:t>
            </w:r>
          </w:p>
        </w:tc>
        <w:tc>
          <w:tcPr/>
          <w:p>
            <w:pPr>
              <w:pStyle w:val="Compact"/>
              <w:jc w:val="left"/>
            </w:pPr>
            <w:r>
              <w:t xml:space="preserve">62,2%</w:t>
            </w:r>
          </w:p>
        </w:tc>
        <w:tc>
          <w:tcPr/>
          <w:p>
            <w:pPr>
              <w:pStyle w:val="Compact"/>
              <w:jc w:val="left"/>
            </w:pPr>
            <w:r>
              <w:t xml:space="preserve">37,9%</w:t>
            </w:r>
          </w:p>
        </w:tc>
        <w:tc>
          <w:tcPr/>
          <w:p>
            <w:pPr>
              <w:pStyle w:val="Compact"/>
              <w:jc w:val="left"/>
            </w:pPr>
            <w:r>
              <w:t xml:space="preserve">1,02×</w:t>
            </w:r>
          </w:p>
        </w:tc>
      </w:tr>
      <w:tr>
        <w:tc>
          <w:tcPr/>
          <w:p>
            <w:pPr>
              <w:pStyle w:val="Compact"/>
              <w:jc w:val="left"/>
            </w:pPr>
            <w:r>
              <w:t xml:space="preserve">CHILLGUY</w:t>
            </w:r>
          </w:p>
        </w:tc>
        <w:tc>
          <w:tcPr/>
          <w:p>
            <w:pPr>
              <w:pStyle w:val="Compact"/>
              <w:jc w:val="left"/>
            </w:pPr>
            <w:r>
              <w:rPr>
                <w:bCs/>
                <w:b/>
              </w:rPr>
              <w:t xml:space="preserve">Base</w:t>
            </w:r>
          </w:p>
        </w:tc>
        <w:tc>
          <w:tcPr/>
          <w:p>
            <w:pPr>
              <w:pStyle w:val="Compact"/>
              <w:jc w:val="left"/>
            </w:pPr>
            <w:r>
              <w:t xml:space="preserve">20,0%</w:t>
            </w:r>
          </w:p>
        </w:tc>
        <w:tc>
          <w:tcPr/>
          <w:p>
            <w:pPr>
              <w:pStyle w:val="Compact"/>
              <w:jc w:val="left"/>
            </w:pPr>
            <w:r>
              <w:t xml:space="preserve">11,9%</w:t>
            </w:r>
          </w:p>
        </w:tc>
        <w:tc>
          <w:tcPr/>
          <w:p>
            <w:pPr>
              <w:pStyle w:val="Compact"/>
              <w:jc w:val="left"/>
            </w:pPr>
            <w:r>
              <w:t xml:space="preserve">7,3%</w:t>
            </w:r>
          </w:p>
        </w:tc>
        <w:tc>
          <w:tcPr/>
          <w:p>
            <w:pPr>
              <w:pStyle w:val="Compact"/>
              <w:jc w:val="left"/>
            </w:pPr>
            <w:r>
              <w:t xml:space="preserve">2,3%</w:t>
            </w:r>
          </w:p>
        </w:tc>
        <w:tc>
          <w:tcPr/>
          <w:p>
            <w:pPr>
              <w:pStyle w:val="Compact"/>
              <w:jc w:val="left"/>
            </w:pPr>
            <w:r>
              <w:t xml:space="preserve">0,1%</w:t>
            </w:r>
          </w:p>
        </w:tc>
        <w:tc>
          <w:tcPr/>
          <w:p>
            <w:pPr>
              <w:pStyle w:val="Compact"/>
              <w:jc w:val="left"/>
            </w:pPr>
            <w:r>
              <w:t xml:space="preserve">64,3%</w:t>
            </w:r>
          </w:p>
        </w:tc>
        <w:tc>
          <w:tcPr/>
          <w:p>
            <w:pPr>
              <w:pStyle w:val="Compact"/>
              <w:jc w:val="left"/>
            </w:pPr>
            <w:r>
              <w:t xml:space="preserve">39,5%</w:t>
            </w:r>
          </w:p>
        </w:tc>
        <w:tc>
          <w:tcPr/>
          <w:p>
            <w:pPr>
              <w:pStyle w:val="Compact"/>
              <w:jc w:val="left"/>
            </w:pPr>
            <w:r>
              <w:t xml:space="preserve">0,93×</w:t>
            </w:r>
          </w:p>
        </w:tc>
      </w:tr>
      <w:tr>
        <w:tc>
          <w:tcPr/>
          <w:p>
            <w:pPr>
              <w:pStyle w:val="Compact"/>
              <w:jc w:val="left"/>
            </w:pPr>
            <w:r>
              <w:t xml:space="preserve">CHILLGUY</w:t>
            </w:r>
          </w:p>
        </w:tc>
        <w:tc>
          <w:tcPr/>
          <w:p>
            <w:pPr>
              <w:pStyle w:val="Compact"/>
              <w:jc w:val="left"/>
            </w:pPr>
            <w:r>
              <w:t xml:space="preserve">Pessimistico</w:t>
            </w:r>
          </w:p>
        </w:tc>
        <w:tc>
          <w:tcPr/>
          <w:p>
            <w:pPr>
              <w:pStyle w:val="Compact"/>
              <w:jc w:val="left"/>
            </w:pPr>
            <w:r>
              <w:t xml:space="preserve">14,8%</w:t>
            </w:r>
          </w:p>
        </w:tc>
        <w:tc>
          <w:tcPr/>
          <w:p>
            <w:pPr>
              <w:pStyle w:val="Compact"/>
              <w:jc w:val="left"/>
            </w:pPr>
            <w:r>
              <w:t xml:space="preserve">9,9%</w:t>
            </w:r>
          </w:p>
        </w:tc>
        <w:tc>
          <w:tcPr/>
          <w:p>
            <w:pPr>
              <w:pStyle w:val="Compact"/>
              <w:jc w:val="left"/>
            </w:pPr>
            <w:r>
              <w:t xml:space="preserve">6,0%</w:t>
            </w:r>
          </w:p>
        </w:tc>
        <w:tc>
          <w:tcPr/>
          <w:p>
            <w:pPr>
              <w:pStyle w:val="Compact"/>
              <w:jc w:val="left"/>
            </w:pPr>
            <w:r>
              <w:t xml:space="preserve">1,8%</w:t>
            </w:r>
          </w:p>
        </w:tc>
        <w:tc>
          <w:tcPr/>
          <w:p>
            <w:pPr>
              <w:pStyle w:val="Compact"/>
              <w:jc w:val="left"/>
            </w:pPr>
            <w:r>
              <w:t xml:space="preserve">0,1%</w:t>
            </w:r>
          </w:p>
        </w:tc>
        <w:tc>
          <w:tcPr/>
          <w:p>
            <w:pPr>
              <w:pStyle w:val="Compact"/>
              <w:jc w:val="left"/>
            </w:pPr>
            <w:r>
              <w:t xml:space="preserve">67,6%</w:t>
            </w:r>
          </w:p>
        </w:tc>
        <w:tc>
          <w:tcPr/>
          <w:p>
            <w:pPr>
              <w:pStyle w:val="Compact"/>
              <w:jc w:val="left"/>
            </w:pPr>
            <w:r>
              <w:t xml:space="preserve">42,2%</w:t>
            </w:r>
          </w:p>
        </w:tc>
        <w:tc>
          <w:tcPr/>
          <w:p>
            <w:pPr>
              <w:pStyle w:val="Compact"/>
              <w:jc w:val="left"/>
            </w:pPr>
            <w:r>
              <w:t xml:space="preserve">0,81×</w:t>
            </w:r>
          </w:p>
        </w:tc>
      </w:tr>
      <w:tr>
        <w:tc>
          <w:tcPr/>
          <w:p>
            <w:pPr>
              <w:pStyle w:val="Compact"/>
              <w:jc w:val="left"/>
            </w:pPr>
            <w:r>
              <w:t xml:space="preserve">CHILLHOUSE</w:t>
            </w:r>
          </w:p>
        </w:tc>
        <w:tc>
          <w:tcPr/>
          <w:p>
            <w:pPr>
              <w:pStyle w:val="Compact"/>
              <w:jc w:val="left"/>
            </w:pPr>
            <w:r>
              <w:t xml:space="preserve">Ottimistico</w:t>
            </w:r>
          </w:p>
        </w:tc>
        <w:tc>
          <w:tcPr/>
          <w:p>
            <w:pPr>
              <w:pStyle w:val="Compact"/>
              <w:jc w:val="left"/>
            </w:pPr>
            <w:r>
              <w:t xml:space="preserve">24,4%</w:t>
            </w:r>
          </w:p>
        </w:tc>
        <w:tc>
          <w:tcPr/>
          <w:p>
            <w:pPr>
              <w:pStyle w:val="Compact"/>
              <w:jc w:val="left"/>
            </w:pPr>
            <w:r>
              <w:t xml:space="preserve">11,3%</w:t>
            </w:r>
          </w:p>
        </w:tc>
        <w:tc>
          <w:tcPr/>
          <w:p>
            <w:pPr>
              <w:pStyle w:val="Compact"/>
              <w:jc w:val="left"/>
            </w:pPr>
            <w:r>
              <w:t xml:space="preserve">7,1%</w:t>
            </w:r>
          </w:p>
        </w:tc>
        <w:tc>
          <w:tcPr/>
          <w:p>
            <w:pPr>
              <w:pStyle w:val="Compact"/>
              <w:jc w:val="left"/>
            </w:pPr>
            <w:r>
              <w:t xml:space="preserve">2,3%</w:t>
            </w:r>
          </w:p>
        </w:tc>
        <w:tc>
          <w:tcPr/>
          <w:p>
            <w:pPr>
              <w:pStyle w:val="Compact"/>
              <w:jc w:val="left"/>
            </w:pPr>
            <w:r>
              <w:t xml:space="preserve">0,3%</w:t>
            </w:r>
          </w:p>
        </w:tc>
        <w:tc>
          <w:tcPr/>
          <w:p>
            <w:pPr>
              <w:pStyle w:val="Compact"/>
              <w:jc w:val="left"/>
            </w:pPr>
            <w:r>
              <w:t xml:space="preserve">71,4%</w:t>
            </w:r>
          </w:p>
        </w:tc>
        <w:tc>
          <w:tcPr/>
          <w:p>
            <w:pPr>
              <w:pStyle w:val="Compact"/>
              <w:jc w:val="left"/>
            </w:pPr>
            <w:r>
              <w:t xml:space="preserve">47,7%</w:t>
            </w:r>
          </w:p>
        </w:tc>
        <w:tc>
          <w:tcPr/>
          <w:p>
            <w:pPr>
              <w:pStyle w:val="Compact"/>
              <w:jc w:val="left"/>
            </w:pPr>
            <w:r>
              <w:t xml:space="preserve">0,86×</w:t>
            </w:r>
          </w:p>
        </w:tc>
      </w:tr>
      <w:tr>
        <w:tc>
          <w:tcPr/>
          <w:p>
            <w:pPr>
              <w:pStyle w:val="Compact"/>
              <w:jc w:val="left"/>
            </w:pPr>
            <w:r>
              <w:t xml:space="preserve">CHILLHOUSE</w:t>
            </w:r>
          </w:p>
        </w:tc>
        <w:tc>
          <w:tcPr/>
          <w:p>
            <w:pPr>
              <w:pStyle w:val="Compact"/>
              <w:jc w:val="left"/>
            </w:pPr>
            <w:r>
              <w:rPr>
                <w:bCs/>
                <w:b/>
              </w:rPr>
              <w:t xml:space="preserve">Base</w:t>
            </w:r>
          </w:p>
        </w:tc>
        <w:tc>
          <w:tcPr/>
          <w:p>
            <w:pPr>
              <w:pStyle w:val="Compact"/>
              <w:jc w:val="left"/>
            </w:pPr>
            <w:r>
              <w:t xml:space="preserve">20,0%</w:t>
            </w:r>
          </w:p>
        </w:tc>
        <w:tc>
          <w:tcPr/>
          <w:p>
            <w:pPr>
              <w:pStyle w:val="Compact"/>
              <w:jc w:val="left"/>
            </w:pPr>
            <w:r>
              <w:t xml:space="preserve">10,5%</w:t>
            </w:r>
          </w:p>
        </w:tc>
        <w:tc>
          <w:tcPr/>
          <w:p>
            <w:pPr>
              <w:pStyle w:val="Compact"/>
              <w:jc w:val="left"/>
            </w:pPr>
            <w:r>
              <w:t xml:space="preserve">6,5%</w:t>
            </w:r>
          </w:p>
        </w:tc>
        <w:tc>
          <w:tcPr/>
          <w:p>
            <w:pPr>
              <w:pStyle w:val="Compact"/>
              <w:jc w:val="left"/>
            </w:pPr>
            <w:r>
              <w:t xml:space="preserve">2,0%</w:t>
            </w:r>
          </w:p>
        </w:tc>
        <w:tc>
          <w:tcPr/>
          <w:p>
            <w:pPr>
              <w:pStyle w:val="Compact"/>
              <w:jc w:val="left"/>
            </w:pPr>
            <w:r>
              <w:t xml:space="preserve">0,3%</w:t>
            </w:r>
          </w:p>
        </w:tc>
        <w:tc>
          <w:tcPr/>
          <w:p>
            <w:pPr>
              <w:pStyle w:val="Compact"/>
              <w:jc w:val="left"/>
            </w:pPr>
            <w:r>
              <w:t xml:space="preserve">72,5%</w:t>
            </w:r>
          </w:p>
        </w:tc>
        <w:tc>
          <w:tcPr/>
          <w:p>
            <w:pPr>
              <w:pStyle w:val="Compact"/>
              <w:jc w:val="left"/>
            </w:pPr>
            <w:r>
              <w:t xml:space="preserve">48,7%</w:t>
            </w:r>
          </w:p>
        </w:tc>
        <w:tc>
          <w:tcPr/>
          <w:p>
            <w:pPr>
              <w:pStyle w:val="Compact"/>
              <w:jc w:val="left"/>
            </w:pPr>
            <w:r>
              <w:t xml:space="preserve">0,81×</w:t>
            </w:r>
          </w:p>
        </w:tc>
      </w:tr>
      <w:tr>
        <w:tc>
          <w:tcPr/>
          <w:p>
            <w:pPr>
              <w:pStyle w:val="Compact"/>
              <w:jc w:val="left"/>
            </w:pPr>
            <w:r>
              <w:t xml:space="preserve">CHILLHOUSE</w:t>
            </w:r>
          </w:p>
        </w:tc>
        <w:tc>
          <w:tcPr/>
          <w:p>
            <w:pPr>
              <w:pStyle w:val="Compact"/>
              <w:jc w:val="left"/>
            </w:pPr>
            <w:r>
              <w:t xml:space="preserve">Pessimistico</w:t>
            </w:r>
          </w:p>
        </w:tc>
        <w:tc>
          <w:tcPr/>
          <w:p>
            <w:pPr>
              <w:pStyle w:val="Compact"/>
              <w:jc w:val="left"/>
            </w:pPr>
            <w:r>
              <w:t xml:space="preserve">14,8%</w:t>
            </w:r>
          </w:p>
        </w:tc>
        <w:tc>
          <w:tcPr/>
          <w:p>
            <w:pPr>
              <w:pStyle w:val="Compact"/>
              <w:jc w:val="left"/>
            </w:pPr>
            <w:r>
              <w:t xml:space="preserve">9,4%</w:t>
            </w:r>
          </w:p>
        </w:tc>
        <w:tc>
          <w:tcPr/>
          <w:p>
            <w:pPr>
              <w:pStyle w:val="Compact"/>
              <w:jc w:val="left"/>
            </w:pPr>
            <w:r>
              <w:t xml:space="preserve">5,7%</w:t>
            </w:r>
          </w:p>
        </w:tc>
        <w:tc>
          <w:tcPr/>
          <w:p>
            <w:pPr>
              <w:pStyle w:val="Compact"/>
              <w:jc w:val="left"/>
            </w:pPr>
            <w:r>
              <w:t xml:space="preserve">1,8%</w:t>
            </w:r>
          </w:p>
        </w:tc>
        <w:tc>
          <w:tcPr/>
          <w:p>
            <w:pPr>
              <w:pStyle w:val="Compact"/>
              <w:jc w:val="left"/>
            </w:pPr>
            <w:r>
              <w:t xml:space="preserve">0,3%</w:t>
            </w:r>
          </w:p>
        </w:tc>
        <w:tc>
          <w:tcPr/>
          <w:p>
            <w:pPr>
              <w:pStyle w:val="Compact"/>
              <w:jc w:val="left"/>
            </w:pPr>
            <w:r>
              <w:t xml:space="preserve">74,4%</w:t>
            </w:r>
          </w:p>
        </w:tc>
        <w:tc>
          <w:tcPr/>
          <w:p>
            <w:pPr>
              <w:pStyle w:val="Compact"/>
              <w:jc w:val="left"/>
            </w:pPr>
            <w:r>
              <w:t xml:space="preserve">50,5%</w:t>
            </w:r>
          </w:p>
        </w:tc>
        <w:tc>
          <w:tcPr/>
          <w:p>
            <w:pPr>
              <w:pStyle w:val="Compact"/>
              <w:jc w:val="left"/>
            </w:pPr>
            <w:r>
              <w:t xml:space="preserve">0,74×</w:t>
            </w:r>
          </w:p>
        </w:tc>
      </w:tr>
      <w:tr>
        <w:tc>
          <w:tcPr/>
          <w:p>
            <w:pPr>
              <w:pStyle w:val="Compact"/>
              <w:jc w:val="left"/>
            </w:pPr>
            <w:r>
              <w:t xml:space="preserve">TROLL</w:t>
            </w:r>
          </w:p>
        </w:tc>
        <w:tc>
          <w:tcPr/>
          <w:p>
            <w:pPr>
              <w:pStyle w:val="Compact"/>
              <w:jc w:val="left"/>
            </w:pPr>
            <w:r>
              <w:t xml:space="preserve">Ottimistico</w:t>
            </w:r>
          </w:p>
        </w:tc>
        <w:tc>
          <w:tcPr/>
          <w:p>
            <w:pPr>
              <w:pStyle w:val="Compact"/>
              <w:jc w:val="left"/>
            </w:pPr>
            <w:r>
              <w:t xml:space="preserve">24,4%</w:t>
            </w:r>
          </w:p>
        </w:tc>
        <w:tc>
          <w:tcPr/>
          <w:p>
            <w:pPr>
              <w:pStyle w:val="Compact"/>
              <w:jc w:val="left"/>
            </w:pPr>
            <w:r>
              <w:t xml:space="preserve">28,3%</w:t>
            </w:r>
          </w:p>
        </w:tc>
        <w:tc>
          <w:tcPr/>
          <w:p>
            <w:pPr>
              <w:pStyle w:val="Compact"/>
              <w:jc w:val="left"/>
            </w:pPr>
            <w:r>
              <w:t xml:space="preserve">19,5%</w:t>
            </w:r>
          </w:p>
        </w:tc>
        <w:tc>
          <w:tcPr/>
          <w:p>
            <w:pPr>
              <w:pStyle w:val="Compact"/>
              <w:jc w:val="left"/>
            </w:pPr>
            <w:r>
              <w:t xml:space="preserve">7,3%</w:t>
            </w:r>
          </w:p>
        </w:tc>
        <w:tc>
          <w:tcPr/>
          <w:p>
            <w:pPr>
              <w:pStyle w:val="Compact"/>
              <w:jc w:val="left"/>
            </w:pPr>
            <w:r>
              <w:t xml:space="preserve">6,2%</w:t>
            </w:r>
          </w:p>
        </w:tc>
        <w:tc>
          <w:tcPr/>
          <w:p>
            <w:pPr>
              <w:pStyle w:val="Compact"/>
              <w:jc w:val="left"/>
            </w:pPr>
            <w:r>
              <w:t xml:space="preserve">52,4%</w:t>
            </w:r>
          </w:p>
        </w:tc>
        <w:tc>
          <w:tcPr/>
          <w:p>
            <w:pPr>
              <w:pStyle w:val="Compact"/>
              <w:jc w:val="left"/>
            </w:pPr>
            <w:r>
              <w:t xml:space="preserve">28,3%</w:t>
            </w:r>
          </w:p>
        </w:tc>
        <w:tc>
          <w:tcPr/>
          <w:p>
            <w:pPr>
              <w:pStyle w:val="Compact"/>
              <w:jc w:val="left"/>
            </w:pPr>
            <w:r>
              <w:t xml:space="preserve">1,99×</w:t>
            </w:r>
          </w:p>
        </w:tc>
      </w:tr>
      <w:tr>
        <w:tc>
          <w:tcPr/>
          <w:p>
            <w:pPr>
              <w:pStyle w:val="Compact"/>
              <w:jc w:val="left"/>
            </w:pPr>
            <w:r>
              <w:t xml:space="preserve">TROLL</w:t>
            </w:r>
          </w:p>
        </w:tc>
        <w:tc>
          <w:tcPr/>
          <w:p>
            <w:pPr>
              <w:pStyle w:val="Compact"/>
              <w:jc w:val="left"/>
            </w:pPr>
            <w:r>
              <w:rPr>
                <w:bCs/>
                <w:b/>
              </w:rPr>
              <w:t xml:space="preserve">Base</w:t>
            </w:r>
          </w:p>
        </w:tc>
        <w:tc>
          <w:tcPr/>
          <w:p>
            <w:pPr>
              <w:pStyle w:val="Compact"/>
              <w:jc w:val="left"/>
            </w:pPr>
            <w:r>
              <w:t xml:space="preserve">20,0%</w:t>
            </w:r>
          </w:p>
        </w:tc>
        <w:tc>
          <w:tcPr/>
          <w:p>
            <w:pPr>
              <w:pStyle w:val="Compact"/>
              <w:jc w:val="left"/>
            </w:pPr>
            <w:r>
              <w:t xml:space="preserve">25,9%</w:t>
            </w:r>
          </w:p>
        </w:tc>
        <w:tc>
          <w:tcPr/>
          <w:p>
            <w:pPr>
              <w:pStyle w:val="Compact"/>
              <w:jc w:val="left"/>
            </w:pPr>
            <w:r>
              <w:t xml:space="preserve">17,5%</w:t>
            </w:r>
          </w:p>
        </w:tc>
        <w:tc>
          <w:tcPr/>
          <w:p>
            <w:pPr>
              <w:pStyle w:val="Compact"/>
              <w:jc w:val="left"/>
            </w:pPr>
            <w:r>
              <w:t xml:space="preserve">6,3%</w:t>
            </w:r>
          </w:p>
        </w:tc>
        <w:tc>
          <w:tcPr/>
          <w:p>
            <w:pPr>
              <w:pStyle w:val="Compact"/>
              <w:jc w:val="left"/>
            </w:pPr>
            <w:r>
              <w:t xml:space="preserve">5,4%</w:t>
            </w:r>
          </w:p>
        </w:tc>
        <w:tc>
          <w:tcPr/>
          <w:p>
            <w:pPr>
              <w:pStyle w:val="Compact"/>
              <w:jc w:val="left"/>
            </w:pPr>
            <w:r>
              <w:t xml:space="preserve">54,5%</w:t>
            </w:r>
          </w:p>
        </w:tc>
        <w:tc>
          <w:tcPr/>
          <w:p>
            <w:pPr>
              <w:pStyle w:val="Compact"/>
              <w:jc w:val="left"/>
            </w:pPr>
            <w:r>
              <w:t xml:space="preserve">29,6%</w:t>
            </w:r>
          </w:p>
        </w:tc>
        <w:tc>
          <w:tcPr/>
          <w:p>
            <w:pPr>
              <w:pStyle w:val="Compact"/>
              <w:jc w:val="left"/>
            </w:pPr>
            <w:r>
              <w:t xml:space="preserve">1,79×</w:t>
            </w:r>
          </w:p>
        </w:tc>
      </w:tr>
      <w:tr>
        <w:tc>
          <w:tcPr/>
          <w:p>
            <w:pPr>
              <w:pStyle w:val="Compact"/>
              <w:jc w:val="left"/>
            </w:pPr>
            <w:r>
              <w:t xml:space="preserve">TROLL</w:t>
            </w:r>
          </w:p>
        </w:tc>
        <w:tc>
          <w:tcPr/>
          <w:p>
            <w:pPr>
              <w:pStyle w:val="Compact"/>
              <w:jc w:val="left"/>
            </w:pPr>
            <w:r>
              <w:t xml:space="preserve">Pessimistico</w:t>
            </w:r>
          </w:p>
        </w:tc>
        <w:tc>
          <w:tcPr/>
          <w:p>
            <w:pPr>
              <w:pStyle w:val="Compact"/>
              <w:jc w:val="left"/>
            </w:pPr>
            <w:r>
              <w:t xml:space="preserve">14,8%</w:t>
            </w:r>
          </w:p>
        </w:tc>
        <w:tc>
          <w:tcPr/>
          <w:p>
            <w:pPr>
              <w:pStyle w:val="Compact"/>
              <w:jc w:val="left"/>
            </w:pPr>
            <w:r>
              <w:t xml:space="preserve">22,6%</w:t>
            </w:r>
          </w:p>
        </w:tc>
        <w:tc>
          <w:tcPr/>
          <w:p>
            <w:pPr>
              <w:pStyle w:val="Compact"/>
              <w:jc w:val="left"/>
            </w:pPr>
            <w:r>
              <w:t xml:space="preserve">14,8%</w:t>
            </w:r>
          </w:p>
        </w:tc>
        <w:tc>
          <w:tcPr/>
          <w:p>
            <w:pPr>
              <w:pStyle w:val="Compact"/>
              <w:jc w:val="left"/>
            </w:pPr>
            <w:r>
              <w:t xml:space="preserve">5,2%</w:t>
            </w:r>
          </w:p>
        </w:tc>
        <w:tc>
          <w:tcPr/>
          <w:p>
            <w:pPr>
              <w:pStyle w:val="Compact"/>
              <w:jc w:val="left"/>
            </w:pPr>
            <w:r>
              <w:t xml:space="preserve">4,4%</w:t>
            </w:r>
          </w:p>
        </w:tc>
        <w:tc>
          <w:tcPr/>
          <w:p>
            <w:pPr>
              <w:pStyle w:val="Compact"/>
              <w:jc w:val="left"/>
            </w:pPr>
            <w:r>
              <w:t xml:space="preserve">58,0%</w:t>
            </w:r>
          </w:p>
        </w:tc>
        <w:tc>
          <w:tcPr/>
          <w:p>
            <w:pPr>
              <w:pStyle w:val="Compact"/>
              <w:jc w:val="left"/>
            </w:pPr>
            <w:r>
              <w:t xml:space="preserve">32,0%</w:t>
            </w:r>
          </w:p>
        </w:tc>
        <w:tc>
          <w:tcPr/>
          <w:p>
            <w:pPr>
              <w:pStyle w:val="Compact"/>
              <w:jc w:val="left"/>
            </w:pPr>
            <w:r>
              <w:t xml:space="preserve">1,55×</w:t>
            </w:r>
          </w:p>
        </w:tc>
      </w:tr>
      <w:tr>
        <w:tc>
          <w:tcPr/>
          <w:p>
            <w:pPr>
              <w:pStyle w:val="Compact"/>
              <w:jc w:val="left"/>
            </w:pPr>
            <w:r>
              <w:t xml:space="preserve">TRIPLE T</w:t>
            </w:r>
          </w:p>
        </w:tc>
        <w:tc>
          <w:tcPr/>
          <w:p>
            <w:pPr>
              <w:pStyle w:val="Compact"/>
              <w:jc w:val="left"/>
            </w:pPr>
            <w:r>
              <w:t xml:space="preserve">Ottimistico</w:t>
            </w:r>
          </w:p>
        </w:tc>
        <w:tc>
          <w:tcPr/>
          <w:p>
            <w:pPr>
              <w:pStyle w:val="Compact"/>
              <w:jc w:val="left"/>
            </w:pPr>
            <w:r>
              <w:t xml:space="preserve">24,4%</w:t>
            </w:r>
          </w:p>
        </w:tc>
        <w:tc>
          <w:tcPr/>
          <w:p>
            <w:pPr>
              <w:pStyle w:val="Compact"/>
              <w:jc w:val="left"/>
            </w:pPr>
            <w:r>
              <w:t xml:space="preserve">22,3%</w:t>
            </w:r>
          </w:p>
        </w:tc>
        <w:tc>
          <w:tcPr/>
          <w:p>
            <w:pPr>
              <w:pStyle w:val="Compact"/>
              <w:jc w:val="left"/>
            </w:pPr>
            <w:r>
              <w:t xml:space="preserve">14,8%</w:t>
            </w:r>
          </w:p>
        </w:tc>
        <w:tc>
          <w:tcPr/>
          <w:p>
            <w:pPr>
              <w:pStyle w:val="Compact"/>
              <w:jc w:val="left"/>
            </w:pPr>
            <w:r>
              <w:t xml:space="preserve">5,1%</w:t>
            </w:r>
          </w:p>
        </w:tc>
        <w:tc>
          <w:tcPr/>
          <w:p>
            <w:pPr>
              <w:pStyle w:val="Compact"/>
              <w:jc w:val="left"/>
            </w:pPr>
            <w:r>
              <w:t xml:space="preserve">8,9%</w:t>
            </w:r>
          </w:p>
        </w:tc>
        <w:tc>
          <w:tcPr/>
          <w:p>
            <w:pPr>
              <w:pStyle w:val="Compact"/>
              <w:jc w:val="left"/>
            </w:pPr>
            <w:r>
              <w:t xml:space="preserve">55,3%</w:t>
            </w:r>
          </w:p>
        </w:tc>
        <w:tc>
          <w:tcPr/>
          <w:p>
            <w:pPr>
              <w:pStyle w:val="Compact"/>
              <w:jc w:val="left"/>
            </w:pPr>
            <w:r>
              <w:t xml:space="preserve">30,8%</w:t>
            </w:r>
          </w:p>
        </w:tc>
        <w:tc>
          <w:tcPr/>
          <w:p>
            <w:pPr>
              <w:pStyle w:val="Compact"/>
              <w:jc w:val="left"/>
            </w:pPr>
            <w:r>
              <w:t xml:space="preserve">1,56×</w:t>
            </w:r>
          </w:p>
        </w:tc>
      </w:tr>
      <w:tr>
        <w:tc>
          <w:tcPr/>
          <w:p>
            <w:pPr>
              <w:pStyle w:val="Compact"/>
              <w:jc w:val="left"/>
            </w:pPr>
            <w:r>
              <w:t xml:space="preserve">TRIPLE T</w:t>
            </w:r>
          </w:p>
        </w:tc>
        <w:tc>
          <w:tcPr/>
          <w:p>
            <w:pPr>
              <w:pStyle w:val="Compact"/>
              <w:jc w:val="left"/>
            </w:pPr>
            <w:r>
              <w:rPr>
                <w:bCs/>
                <w:b/>
              </w:rPr>
              <w:t xml:space="preserve">Base</w:t>
            </w:r>
          </w:p>
        </w:tc>
        <w:tc>
          <w:tcPr/>
          <w:p>
            <w:pPr>
              <w:pStyle w:val="Compact"/>
              <w:jc w:val="left"/>
            </w:pPr>
            <w:r>
              <w:t xml:space="preserve">20,0%</w:t>
            </w:r>
          </w:p>
        </w:tc>
        <w:tc>
          <w:tcPr/>
          <w:p>
            <w:pPr>
              <w:pStyle w:val="Compact"/>
              <w:jc w:val="left"/>
            </w:pPr>
            <w:r>
              <w:t xml:space="preserve">21,0%</w:t>
            </w:r>
          </w:p>
        </w:tc>
        <w:tc>
          <w:tcPr/>
          <w:p>
            <w:pPr>
              <w:pStyle w:val="Compact"/>
              <w:jc w:val="left"/>
            </w:pPr>
            <w:r>
              <w:t xml:space="preserve">13,7%</w:t>
            </w:r>
          </w:p>
        </w:tc>
        <w:tc>
          <w:tcPr/>
          <w:p>
            <w:pPr>
              <w:pStyle w:val="Compact"/>
              <w:jc w:val="left"/>
            </w:pPr>
            <w:r>
              <w:t xml:space="preserve">4,7%</w:t>
            </w:r>
          </w:p>
        </w:tc>
        <w:tc>
          <w:tcPr/>
          <w:p>
            <w:pPr>
              <w:pStyle w:val="Compact"/>
              <w:jc w:val="left"/>
            </w:pPr>
            <w:r>
              <w:t xml:space="preserve">8,1%</w:t>
            </w:r>
          </w:p>
        </w:tc>
        <w:tc>
          <w:tcPr/>
          <w:p>
            <w:pPr>
              <w:pStyle w:val="Compact"/>
              <w:jc w:val="left"/>
            </w:pPr>
            <w:r>
              <w:t xml:space="preserve">56,6%</w:t>
            </w:r>
          </w:p>
        </w:tc>
        <w:tc>
          <w:tcPr/>
          <w:p>
            <w:pPr>
              <w:pStyle w:val="Compact"/>
              <w:jc w:val="left"/>
            </w:pPr>
            <w:r>
              <w:t xml:space="preserve">31,7%</w:t>
            </w:r>
          </w:p>
        </w:tc>
        <w:tc>
          <w:tcPr/>
          <w:p>
            <w:pPr>
              <w:pStyle w:val="Compact"/>
              <w:jc w:val="left"/>
            </w:pPr>
            <w:r>
              <w:t xml:space="preserve">1,46×</w:t>
            </w:r>
          </w:p>
        </w:tc>
      </w:tr>
      <w:tr>
        <w:tc>
          <w:tcPr/>
          <w:p>
            <w:pPr>
              <w:pStyle w:val="Compact"/>
              <w:jc w:val="left"/>
            </w:pPr>
            <w:r>
              <w:t xml:space="preserve">TRIPLE T</w:t>
            </w:r>
          </w:p>
        </w:tc>
        <w:tc>
          <w:tcPr/>
          <w:p>
            <w:pPr>
              <w:pStyle w:val="Compact"/>
              <w:jc w:val="left"/>
            </w:pPr>
            <w:r>
              <w:t xml:space="preserve">Pessimistico</w:t>
            </w:r>
          </w:p>
        </w:tc>
        <w:tc>
          <w:tcPr/>
          <w:p>
            <w:pPr>
              <w:pStyle w:val="Compact"/>
              <w:jc w:val="left"/>
            </w:pPr>
            <w:r>
              <w:t xml:space="preserve">14,8%</w:t>
            </w:r>
          </w:p>
        </w:tc>
        <w:tc>
          <w:tcPr/>
          <w:p>
            <w:pPr>
              <w:pStyle w:val="Compact"/>
              <w:jc w:val="left"/>
            </w:pPr>
            <w:r>
              <w:t xml:space="preserve">19,1%</w:t>
            </w:r>
          </w:p>
        </w:tc>
        <w:tc>
          <w:tcPr/>
          <w:p>
            <w:pPr>
              <w:pStyle w:val="Compact"/>
              <w:jc w:val="left"/>
            </w:pPr>
            <w:r>
              <w:t xml:space="preserve">12,3%</w:t>
            </w:r>
          </w:p>
        </w:tc>
        <w:tc>
          <w:tcPr/>
          <w:p>
            <w:pPr>
              <w:pStyle w:val="Compact"/>
              <w:jc w:val="left"/>
            </w:pPr>
            <w:r>
              <w:t xml:space="preserve">4,1%</w:t>
            </w:r>
          </w:p>
        </w:tc>
        <w:tc>
          <w:tcPr/>
          <w:p>
            <w:pPr>
              <w:pStyle w:val="Compact"/>
              <w:jc w:val="left"/>
            </w:pPr>
            <w:r>
              <w:t xml:space="preserve">7,2%</w:t>
            </w:r>
          </w:p>
        </w:tc>
        <w:tc>
          <w:tcPr/>
          <w:p>
            <w:pPr>
              <w:pStyle w:val="Compact"/>
              <w:jc w:val="left"/>
            </w:pPr>
            <w:r>
              <w:t xml:space="preserve">58,8%</w:t>
            </w:r>
          </w:p>
        </w:tc>
        <w:tc>
          <w:tcPr/>
          <w:p>
            <w:pPr>
              <w:pStyle w:val="Compact"/>
              <w:jc w:val="left"/>
            </w:pPr>
            <w:r>
              <w:t xml:space="preserve">33,2%</w:t>
            </w:r>
          </w:p>
        </w:tc>
        <w:tc>
          <w:tcPr/>
          <w:p>
            <w:pPr>
              <w:pStyle w:val="Compact"/>
              <w:jc w:val="left"/>
            </w:pPr>
            <w:r>
              <w:t xml:space="preserve">1,34×</w:t>
            </w:r>
          </w:p>
        </w:tc>
      </w:tr>
      <w:tr>
        <w:tc>
          <w:tcPr/>
          <w:p>
            <w:pPr>
              <w:pStyle w:val="Compact"/>
              <w:jc w:val="left"/>
            </w:pPr>
            <w:r>
              <w:t xml:space="preserve">CUPSEY</w:t>
            </w:r>
          </w:p>
        </w:tc>
        <w:tc>
          <w:tcPr/>
          <w:p>
            <w:pPr>
              <w:pStyle w:val="Compact"/>
              <w:jc w:val="left"/>
            </w:pPr>
            <w:r>
              <w:t xml:space="preserve">Ottimistico</w:t>
            </w:r>
          </w:p>
        </w:tc>
        <w:tc>
          <w:tcPr/>
          <w:p>
            <w:pPr>
              <w:pStyle w:val="Compact"/>
              <w:jc w:val="left"/>
            </w:pPr>
            <w:r>
              <w:t xml:space="preserve">24,4%</w:t>
            </w:r>
          </w:p>
        </w:tc>
        <w:tc>
          <w:tcPr/>
          <w:p>
            <w:pPr>
              <w:pStyle w:val="Compact"/>
              <w:jc w:val="left"/>
            </w:pPr>
            <w:r>
              <w:t xml:space="preserve">15,9%</w:t>
            </w:r>
          </w:p>
        </w:tc>
        <w:tc>
          <w:tcPr/>
          <w:p>
            <w:pPr>
              <w:pStyle w:val="Compact"/>
              <w:jc w:val="left"/>
            </w:pPr>
            <w:r>
              <w:t xml:space="preserve">10,2%</w:t>
            </w:r>
          </w:p>
        </w:tc>
        <w:tc>
          <w:tcPr/>
          <w:p>
            <w:pPr>
              <w:pStyle w:val="Compact"/>
              <w:jc w:val="left"/>
            </w:pPr>
            <w:r>
              <w:t xml:space="preserve">3,4%</w:t>
            </w:r>
          </w:p>
        </w:tc>
        <w:tc>
          <w:tcPr/>
          <w:p>
            <w:pPr>
              <w:pStyle w:val="Compact"/>
              <w:jc w:val="left"/>
            </w:pPr>
            <w:r>
              <w:t xml:space="preserve">5,8%</w:t>
            </w:r>
          </w:p>
        </w:tc>
        <w:tc>
          <w:tcPr/>
          <w:p>
            <w:pPr>
              <w:pStyle w:val="Compact"/>
              <w:jc w:val="left"/>
            </w:pPr>
            <w:r>
              <w:t xml:space="preserve">61,9%</w:t>
            </w:r>
          </w:p>
        </w:tc>
        <w:tc>
          <w:tcPr/>
          <w:p>
            <w:pPr>
              <w:pStyle w:val="Compact"/>
              <w:jc w:val="left"/>
            </w:pPr>
            <w:r>
              <w:t xml:space="preserve">37,0%</w:t>
            </w:r>
          </w:p>
        </w:tc>
        <w:tc>
          <w:tcPr/>
          <w:p>
            <w:pPr>
              <w:pStyle w:val="Compact"/>
              <w:jc w:val="left"/>
            </w:pPr>
            <w:r>
              <w:t xml:space="preserve">1,16×</w:t>
            </w:r>
          </w:p>
        </w:tc>
      </w:tr>
      <w:tr>
        <w:tc>
          <w:tcPr/>
          <w:p>
            <w:pPr>
              <w:pStyle w:val="Compact"/>
              <w:jc w:val="left"/>
            </w:pPr>
            <w:r>
              <w:t xml:space="preserve">CUPSEY</w:t>
            </w:r>
          </w:p>
        </w:tc>
        <w:tc>
          <w:tcPr/>
          <w:p>
            <w:pPr>
              <w:pStyle w:val="Compact"/>
              <w:jc w:val="left"/>
            </w:pPr>
            <w:r>
              <w:rPr>
                <w:bCs/>
                <w:b/>
              </w:rPr>
              <w:t xml:space="preserve">Base</w:t>
            </w:r>
          </w:p>
        </w:tc>
        <w:tc>
          <w:tcPr/>
          <w:p>
            <w:pPr>
              <w:pStyle w:val="Compact"/>
              <w:jc w:val="left"/>
            </w:pPr>
            <w:r>
              <w:t xml:space="preserve">20,0%</w:t>
            </w:r>
          </w:p>
        </w:tc>
        <w:tc>
          <w:tcPr/>
          <w:p>
            <w:pPr>
              <w:pStyle w:val="Compact"/>
              <w:jc w:val="left"/>
            </w:pPr>
            <w:r>
              <w:t xml:space="preserve">14,8%</w:t>
            </w:r>
          </w:p>
        </w:tc>
        <w:tc>
          <w:tcPr/>
          <w:p>
            <w:pPr>
              <w:pStyle w:val="Compact"/>
              <w:jc w:val="left"/>
            </w:pPr>
            <w:r>
              <w:t xml:space="preserve">9,4%</w:t>
            </w:r>
          </w:p>
        </w:tc>
        <w:tc>
          <w:tcPr/>
          <w:p>
            <w:pPr>
              <w:pStyle w:val="Compact"/>
              <w:jc w:val="left"/>
            </w:pPr>
            <w:r>
              <w:t xml:space="preserve">3,0%</w:t>
            </w:r>
          </w:p>
        </w:tc>
        <w:tc>
          <w:tcPr/>
          <w:p>
            <w:pPr>
              <w:pStyle w:val="Compact"/>
              <w:jc w:val="left"/>
            </w:pPr>
            <w:r>
              <w:t xml:space="preserve">5,3%</w:t>
            </w:r>
          </w:p>
        </w:tc>
        <w:tc>
          <w:tcPr/>
          <w:p>
            <w:pPr>
              <w:pStyle w:val="Compact"/>
              <w:jc w:val="left"/>
            </w:pPr>
            <w:r>
              <w:t xml:space="preserve">63,2%</w:t>
            </w:r>
          </w:p>
        </w:tc>
        <w:tc>
          <w:tcPr/>
          <w:p>
            <w:pPr>
              <w:pStyle w:val="Compact"/>
              <w:jc w:val="left"/>
            </w:pPr>
            <w:r>
              <w:t xml:space="preserve">38,0%</w:t>
            </w:r>
          </w:p>
        </w:tc>
        <w:tc>
          <w:tcPr/>
          <w:p>
            <w:pPr>
              <w:pStyle w:val="Compact"/>
              <w:jc w:val="left"/>
            </w:pPr>
            <w:r>
              <w:t xml:space="preserve">1,09×</w:t>
            </w:r>
          </w:p>
        </w:tc>
      </w:tr>
      <w:tr>
        <w:tc>
          <w:tcPr/>
          <w:p>
            <w:pPr>
              <w:pStyle w:val="Compact"/>
              <w:jc w:val="left"/>
            </w:pPr>
            <w:r>
              <w:t xml:space="preserve">CUPSEY</w:t>
            </w:r>
          </w:p>
        </w:tc>
        <w:tc>
          <w:tcPr/>
          <w:p>
            <w:pPr>
              <w:pStyle w:val="Compact"/>
              <w:jc w:val="left"/>
            </w:pPr>
            <w:r>
              <w:t xml:space="preserve">Pessimistico</w:t>
            </w:r>
          </w:p>
        </w:tc>
        <w:tc>
          <w:tcPr/>
          <w:p>
            <w:pPr>
              <w:pStyle w:val="Compact"/>
              <w:jc w:val="left"/>
            </w:pPr>
            <w:r>
              <w:t xml:space="preserve">14,8%</w:t>
            </w:r>
          </w:p>
        </w:tc>
        <w:tc>
          <w:tcPr/>
          <w:p>
            <w:pPr>
              <w:pStyle w:val="Compact"/>
              <w:jc w:val="left"/>
            </w:pPr>
            <w:r>
              <w:t xml:space="preserve">13,4%</w:t>
            </w:r>
          </w:p>
        </w:tc>
        <w:tc>
          <w:tcPr/>
          <w:p>
            <w:pPr>
              <w:pStyle w:val="Compact"/>
              <w:jc w:val="left"/>
            </w:pPr>
            <w:r>
              <w:t xml:space="preserve">8,3%</w:t>
            </w:r>
          </w:p>
        </w:tc>
        <w:tc>
          <w:tcPr/>
          <w:p>
            <w:pPr>
              <w:pStyle w:val="Compact"/>
              <w:jc w:val="left"/>
            </w:pPr>
            <w:r>
              <w:t xml:space="preserve">2,7%</w:t>
            </w:r>
          </w:p>
        </w:tc>
        <w:tc>
          <w:tcPr/>
          <w:p>
            <w:pPr>
              <w:pStyle w:val="Compact"/>
              <w:jc w:val="left"/>
            </w:pPr>
            <w:r>
              <w:t xml:space="preserve">4,7%</w:t>
            </w:r>
          </w:p>
        </w:tc>
        <w:tc>
          <w:tcPr/>
          <w:p>
            <w:pPr>
              <w:pStyle w:val="Compact"/>
              <w:jc w:val="left"/>
            </w:pPr>
            <w:r>
              <w:t xml:space="preserve">65,2%</w:t>
            </w:r>
          </w:p>
        </w:tc>
        <w:tc>
          <w:tcPr/>
          <w:p>
            <w:pPr>
              <w:pStyle w:val="Compact"/>
              <w:jc w:val="left"/>
            </w:pPr>
            <w:r>
              <w:t xml:space="preserve">39,7%</w:t>
            </w:r>
          </w:p>
        </w:tc>
        <w:tc>
          <w:tcPr/>
          <w:p>
            <w:pPr>
              <w:pStyle w:val="Compact"/>
              <w:jc w:val="left"/>
            </w:pPr>
            <w:r>
              <w:t xml:space="preserve">1,00×</w:t>
            </w:r>
          </w:p>
        </w:tc>
      </w:tr>
      <w:tr>
        <w:tc>
          <w:tcPr/>
          <w:p>
            <w:pPr>
              <w:pStyle w:val="Compact"/>
              <w:jc w:val="left"/>
            </w:pPr>
            <w:r>
              <w:t xml:space="preserve">WOJAK (ETH)</w:t>
            </w:r>
          </w:p>
        </w:tc>
        <w:tc>
          <w:tcPr/>
          <w:p>
            <w:pPr>
              <w:pStyle w:val="Compact"/>
              <w:jc w:val="left"/>
            </w:pPr>
            <w:r>
              <w:t xml:space="preserve">Ottimistico</w:t>
            </w:r>
          </w:p>
        </w:tc>
        <w:tc>
          <w:tcPr/>
          <w:p>
            <w:pPr>
              <w:pStyle w:val="Compact"/>
              <w:jc w:val="left"/>
            </w:pPr>
            <w:r>
              <w:t xml:space="preserve">23,9%</w:t>
            </w:r>
          </w:p>
        </w:tc>
        <w:tc>
          <w:tcPr/>
          <w:p>
            <w:pPr>
              <w:pStyle w:val="Compact"/>
              <w:jc w:val="left"/>
            </w:pPr>
            <w:r>
              <w:t xml:space="preserve">20,9%</w:t>
            </w:r>
          </w:p>
        </w:tc>
        <w:tc>
          <w:tcPr/>
          <w:p>
            <w:pPr>
              <w:pStyle w:val="Compact"/>
              <w:jc w:val="left"/>
            </w:pPr>
            <w:r>
              <w:t xml:space="preserve">13,7%</w:t>
            </w:r>
          </w:p>
        </w:tc>
        <w:tc>
          <w:tcPr/>
          <w:p>
            <w:pPr>
              <w:pStyle w:val="Compact"/>
              <w:jc w:val="left"/>
            </w:pPr>
            <w:r>
              <w:t xml:space="preserve">4,7%</w:t>
            </w:r>
          </w:p>
        </w:tc>
        <w:tc>
          <w:tcPr/>
          <w:p>
            <w:pPr>
              <w:pStyle w:val="Compact"/>
              <w:jc w:val="left"/>
            </w:pPr>
            <w:r>
              <w:t xml:space="preserve">9,0%</w:t>
            </w:r>
          </w:p>
        </w:tc>
        <w:tc>
          <w:tcPr/>
          <w:p>
            <w:pPr>
              <w:pStyle w:val="Compact"/>
              <w:jc w:val="left"/>
            </w:pPr>
            <w:r>
              <w:t xml:space="preserve">58,1%</w:t>
            </w:r>
          </w:p>
        </w:tc>
        <w:tc>
          <w:tcPr/>
          <w:p>
            <w:pPr>
              <w:pStyle w:val="Compact"/>
              <w:jc w:val="left"/>
            </w:pPr>
            <w:r>
              <w:t xml:space="preserve">33,3%</w:t>
            </w:r>
          </w:p>
        </w:tc>
        <w:tc>
          <w:tcPr/>
          <w:p>
            <w:pPr>
              <w:pStyle w:val="Compact"/>
              <w:jc w:val="left"/>
            </w:pPr>
            <w:r>
              <w:t xml:space="preserve">1,45×</w:t>
            </w:r>
          </w:p>
        </w:tc>
      </w:tr>
      <w:tr>
        <w:tc>
          <w:tcPr/>
          <w:p>
            <w:pPr>
              <w:pStyle w:val="Compact"/>
              <w:jc w:val="left"/>
            </w:pPr>
            <w:r>
              <w:t xml:space="preserve">WOJAK (ETH)</w:t>
            </w:r>
          </w:p>
        </w:tc>
        <w:tc>
          <w:tcPr/>
          <w:p>
            <w:pPr>
              <w:pStyle w:val="Compact"/>
              <w:jc w:val="left"/>
            </w:pPr>
            <w:r>
              <w:rPr>
                <w:bCs/>
                <w:b/>
              </w:rPr>
              <w:t xml:space="preserve">Base</w:t>
            </w:r>
          </w:p>
        </w:tc>
        <w:tc>
          <w:tcPr/>
          <w:p>
            <w:pPr>
              <w:pStyle w:val="Compact"/>
              <w:jc w:val="left"/>
            </w:pPr>
            <w:r>
              <w:t xml:space="preserve">19,3%</w:t>
            </w:r>
          </w:p>
        </w:tc>
        <w:tc>
          <w:tcPr/>
          <w:p>
            <w:pPr>
              <w:pStyle w:val="Compact"/>
              <w:jc w:val="left"/>
            </w:pPr>
            <w:r>
              <w:t xml:space="preserve">19,3%</w:t>
            </w:r>
          </w:p>
        </w:tc>
        <w:tc>
          <w:tcPr/>
          <w:p>
            <w:pPr>
              <w:pStyle w:val="Compact"/>
              <w:jc w:val="left"/>
            </w:pPr>
            <w:r>
              <w:t xml:space="preserve">12,5%</w:t>
            </w:r>
          </w:p>
        </w:tc>
        <w:tc>
          <w:tcPr/>
          <w:p>
            <w:pPr>
              <w:pStyle w:val="Compact"/>
              <w:jc w:val="left"/>
            </w:pPr>
            <w:r>
              <w:t xml:space="preserve">4,2%</w:t>
            </w:r>
          </w:p>
        </w:tc>
        <w:tc>
          <w:tcPr/>
          <w:p>
            <w:pPr>
              <w:pStyle w:val="Compact"/>
              <w:jc w:val="left"/>
            </w:pPr>
            <w:r>
              <w:t xml:space="preserve">8,0%</w:t>
            </w:r>
          </w:p>
        </w:tc>
        <w:tc>
          <w:tcPr/>
          <w:p>
            <w:pPr>
              <w:pStyle w:val="Compact"/>
              <w:jc w:val="left"/>
            </w:pPr>
            <w:r>
              <w:t xml:space="preserve">59,6%</w:t>
            </w:r>
          </w:p>
        </w:tc>
        <w:tc>
          <w:tcPr/>
          <w:p>
            <w:pPr>
              <w:pStyle w:val="Compact"/>
              <w:jc w:val="left"/>
            </w:pPr>
            <w:r>
              <w:t xml:space="preserve">34,3%</w:t>
            </w:r>
          </w:p>
        </w:tc>
        <w:tc>
          <w:tcPr/>
          <w:p>
            <w:pPr>
              <w:pStyle w:val="Compact"/>
              <w:jc w:val="left"/>
            </w:pPr>
            <w:r>
              <w:t xml:space="preserve">1,34×</w:t>
            </w:r>
          </w:p>
        </w:tc>
      </w:tr>
      <w:tr>
        <w:tc>
          <w:tcPr/>
          <w:p>
            <w:pPr>
              <w:pStyle w:val="Compact"/>
              <w:jc w:val="left"/>
            </w:pPr>
            <w:r>
              <w:t xml:space="preserve">WOJAK (ETH)</w:t>
            </w:r>
          </w:p>
        </w:tc>
        <w:tc>
          <w:tcPr/>
          <w:p>
            <w:pPr>
              <w:pStyle w:val="Compact"/>
              <w:jc w:val="left"/>
            </w:pPr>
            <w:r>
              <w:t xml:space="preserve">Pessimistico</w:t>
            </w:r>
          </w:p>
        </w:tc>
        <w:tc>
          <w:tcPr/>
          <w:p>
            <w:pPr>
              <w:pStyle w:val="Compact"/>
              <w:jc w:val="left"/>
            </w:pPr>
            <w:r>
              <w:t xml:space="preserve">13,9%</w:t>
            </w:r>
          </w:p>
        </w:tc>
        <w:tc>
          <w:tcPr/>
          <w:p>
            <w:pPr>
              <w:pStyle w:val="Compact"/>
              <w:jc w:val="left"/>
            </w:pPr>
            <w:r>
              <w:t xml:space="preserve">17,2%</w:t>
            </w:r>
          </w:p>
        </w:tc>
        <w:tc>
          <w:tcPr/>
          <w:p>
            <w:pPr>
              <w:pStyle w:val="Compact"/>
              <w:jc w:val="left"/>
            </w:pPr>
            <w:r>
              <w:t xml:space="preserve">10,9%</w:t>
            </w:r>
          </w:p>
        </w:tc>
        <w:tc>
          <w:tcPr/>
          <w:p>
            <w:pPr>
              <w:pStyle w:val="Compact"/>
              <w:jc w:val="left"/>
            </w:pPr>
            <w:r>
              <w:t xml:space="preserve">3,5%</w:t>
            </w:r>
          </w:p>
        </w:tc>
        <w:tc>
          <w:tcPr/>
          <w:p>
            <w:pPr>
              <w:pStyle w:val="Compact"/>
              <w:jc w:val="left"/>
            </w:pPr>
            <w:r>
              <w:t xml:space="preserve">6,9%</w:t>
            </w:r>
          </w:p>
        </w:tc>
        <w:tc>
          <w:tcPr/>
          <w:p>
            <w:pPr>
              <w:pStyle w:val="Compact"/>
              <w:jc w:val="left"/>
            </w:pPr>
            <w:r>
              <w:t xml:space="preserve">62,2%</w:t>
            </w:r>
          </w:p>
        </w:tc>
        <w:tc>
          <w:tcPr/>
          <w:p>
            <w:pPr>
              <w:pStyle w:val="Compact"/>
              <w:jc w:val="left"/>
            </w:pPr>
            <w:r>
              <w:t xml:space="preserve">36,3%</w:t>
            </w:r>
          </w:p>
        </w:tc>
        <w:tc>
          <w:tcPr/>
          <w:p>
            <w:pPr>
              <w:pStyle w:val="Compact"/>
              <w:jc w:val="left"/>
            </w:pPr>
            <w:r>
              <w:t xml:space="preserve">1,20×</w:t>
            </w:r>
          </w:p>
        </w:tc>
      </w:tr>
      <w:tr>
        <w:tc>
          <w:tcPr/>
          <w:p>
            <w:pPr>
              <w:pStyle w:val="Compact"/>
              <w:jc w:val="left"/>
            </w:pPr>
            <w:r>
              <w:t xml:space="preserve">CASHCAT (ETH)</w:t>
            </w:r>
          </w:p>
        </w:tc>
        <w:tc>
          <w:tcPr/>
          <w:p>
            <w:pPr>
              <w:pStyle w:val="Compact"/>
              <w:jc w:val="left"/>
            </w:pPr>
            <w:r>
              <w:t xml:space="preserve">Ottimistico</w:t>
            </w:r>
          </w:p>
        </w:tc>
        <w:tc>
          <w:tcPr/>
          <w:p>
            <w:pPr>
              <w:pStyle w:val="Compact"/>
              <w:jc w:val="left"/>
            </w:pPr>
            <w:r>
              <w:t xml:space="preserve">23,9%</w:t>
            </w:r>
          </w:p>
        </w:tc>
        <w:tc>
          <w:tcPr/>
          <w:p>
            <w:pPr>
              <w:pStyle w:val="Compact"/>
              <w:jc w:val="left"/>
            </w:pPr>
            <w:r>
              <w:t xml:space="preserve">22,0%</w:t>
            </w:r>
          </w:p>
        </w:tc>
        <w:tc>
          <w:tcPr/>
          <w:p>
            <w:pPr>
              <w:pStyle w:val="Compact"/>
              <w:jc w:val="left"/>
            </w:pPr>
            <w:r>
              <w:t xml:space="preserve">14,7%</w:t>
            </w:r>
          </w:p>
        </w:tc>
        <w:tc>
          <w:tcPr/>
          <w:p>
            <w:pPr>
              <w:pStyle w:val="Compact"/>
              <w:jc w:val="left"/>
            </w:pPr>
            <w:r>
              <w:t xml:space="preserve">5,2%</w:t>
            </w:r>
          </w:p>
        </w:tc>
        <w:tc>
          <w:tcPr/>
          <w:p>
            <w:pPr>
              <w:pStyle w:val="Compact"/>
              <w:jc w:val="left"/>
            </w:pPr>
            <w:r>
              <w:t xml:space="preserve">10,6%</w:t>
            </w:r>
          </w:p>
        </w:tc>
        <w:tc>
          <w:tcPr/>
          <w:p>
            <w:pPr>
              <w:pStyle w:val="Compact"/>
              <w:jc w:val="left"/>
            </w:pPr>
            <w:r>
              <w:t xml:space="preserve">64,7%</w:t>
            </w:r>
          </w:p>
        </w:tc>
        <w:tc>
          <w:tcPr/>
          <w:p>
            <w:pPr>
              <w:pStyle w:val="Compact"/>
              <w:jc w:val="left"/>
            </w:pPr>
            <w:r>
              <w:t xml:space="preserve">40,5%</w:t>
            </w:r>
          </w:p>
        </w:tc>
        <w:tc>
          <w:tcPr/>
          <w:p>
            <w:pPr>
              <w:pStyle w:val="Compact"/>
              <w:jc w:val="left"/>
            </w:pPr>
            <w:r>
              <w:t xml:space="preserve">1,48×</w:t>
            </w:r>
          </w:p>
        </w:tc>
      </w:tr>
      <w:tr>
        <w:tc>
          <w:tcPr/>
          <w:p>
            <w:pPr>
              <w:pStyle w:val="Compact"/>
              <w:jc w:val="left"/>
            </w:pPr>
            <w:r>
              <w:t xml:space="preserve">CASHCAT (ETH)</w:t>
            </w:r>
          </w:p>
        </w:tc>
        <w:tc>
          <w:tcPr/>
          <w:p>
            <w:pPr>
              <w:pStyle w:val="Compact"/>
              <w:jc w:val="left"/>
            </w:pPr>
            <w:r>
              <w:rPr>
                <w:bCs/>
                <w:b/>
              </w:rPr>
              <w:t xml:space="preserve">Base</w:t>
            </w:r>
          </w:p>
        </w:tc>
        <w:tc>
          <w:tcPr/>
          <w:p>
            <w:pPr>
              <w:pStyle w:val="Compact"/>
              <w:jc w:val="left"/>
            </w:pPr>
            <w:r>
              <w:t xml:space="preserve">19,3%</w:t>
            </w:r>
          </w:p>
        </w:tc>
        <w:tc>
          <w:tcPr/>
          <w:p>
            <w:pPr>
              <w:pStyle w:val="Compact"/>
              <w:jc w:val="left"/>
            </w:pPr>
            <w:r>
              <w:t xml:space="preserve">20,8%</w:t>
            </w:r>
          </w:p>
        </w:tc>
        <w:tc>
          <w:tcPr/>
          <w:p>
            <w:pPr>
              <w:pStyle w:val="Compact"/>
              <w:jc w:val="left"/>
            </w:pPr>
            <w:r>
              <w:t xml:space="preserve">13,7%</w:t>
            </w:r>
          </w:p>
        </w:tc>
        <w:tc>
          <w:tcPr/>
          <w:p>
            <w:pPr>
              <w:pStyle w:val="Compact"/>
              <w:jc w:val="left"/>
            </w:pPr>
            <w:r>
              <w:t xml:space="preserve">4,7%</w:t>
            </w:r>
          </w:p>
        </w:tc>
        <w:tc>
          <w:tcPr/>
          <w:p>
            <w:pPr>
              <w:pStyle w:val="Compact"/>
              <w:jc w:val="left"/>
            </w:pPr>
            <w:r>
              <w:t xml:space="preserve">9,8%</w:t>
            </w:r>
          </w:p>
        </w:tc>
        <w:tc>
          <w:tcPr/>
          <w:p>
            <w:pPr>
              <w:pStyle w:val="Compact"/>
              <w:jc w:val="left"/>
            </w:pPr>
            <w:r>
              <w:t xml:space="preserve">65,8%</w:t>
            </w:r>
          </w:p>
        </w:tc>
        <w:tc>
          <w:tcPr/>
          <w:p>
            <w:pPr>
              <w:pStyle w:val="Compact"/>
              <w:jc w:val="left"/>
            </w:pPr>
            <w:r>
              <w:t xml:space="preserve">41,3%</w:t>
            </w:r>
          </w:p>
        </w:tc>
        <w:tc>
          <w:tcPr/>
          <w:p>
            <w:pPr>
              <w:pStyle w:val="Compact"/>
              <w:jc w:val="left"/>
            </w:pPr>
            <w:r>
              <w:t xml:space="preserve">1,39×</w:t>
            </w:r>
          </w:p>
        </w:tc>
      </w:tr>
      <w:tr>
        <w:tc>
          <w:tcPr/>
          <w:p>
            <w:pPr>
              <w:pStyle w:val="Compact"/>
              <w:jc w:val="left"/>
            </w:pPr>
            <w:r>
              <w:t xml:space="preserve">CASHCAT (ETH)</w:t>
            </w:r>
          </w:p>
        </w:tc>
        <w:tc>
          <w:tcPr/>
          <w:p>
            <w:pPr>
              <w:pStyle w:val="Compact"/>
              <w:jc w:val="left"/>
            </w:pPr>
            <w:r>
              <w:t xml:space="preserve">Pessimistico</w:t>
            </w:r>
          </w:p>
        </w:tc>
        <w:tc>
          <w:tcPr/>
          <w:p>
            <w:pPr>
              <w:pStyle w:val="Compact"/>
              <w:jc w:val="left"/>
            </w:pPr>
            <w:r>
              <w:t xml:space="preserve">13,9%</w:t>
            </w:r>
          </w:p>
        </w:tc>
        <w:tc>
          <w:tcPr/>
          <w:p>
            <w:pPr>
              <w:pStyle w:val="Compact"/>
              <w:jc w:val="left"/>
            </w:pPr>
            <w:r>
              <w:t xml:space="preserve">19,2%</w:t>
            </w:r>
          </w:p>
        </w:tc>
        <w:tc>
          <w:tcPr/>
          <w:p>
            <w:pPr>
              <w:pStyle w:val="Compact"/>
              <w:jc w:val="left"/>
            </w:pPr>
            <w:r>
              <w:t xml:space="preserve">12,5%</w:t>
            </w:r>
          </w:p>
        </w:tc>
        <w:tc>
          <w:tcPr/>
          <w:p>
            <w:pPr>
              <w:pStyle w:val="Compact"/>
              <w:jc w:val="left"/>
            </w:pPr>
            <w:r>
              <w:t xml:space="preserve">4,2%</w:t>
            </w:r>
          </w:p>
        </w:tc>
        <w:tc>
          <w:tcPr/>
          <w:p>
            <w:pPr>
              <w:pStyle w:val="Compact"/>
              <w:jc w:val="left"/>
            </w:pPr>
            <w:r>
              <w:t xml:space="preserve">8,9%</w:t>
            </w:r>
          </w:p>
        </w:tc>
        <w:tc>
          <w:tcPr/>
          <w:p>
            <w:pPr>
              <w:pStyle w:val="Compact"/>
              <w:jc w:val="left"/>
            </w:pPr>
            <w:r>
              <w:t xml:space="preserve">67,6%</w:t>
            </w:r>
          </w:p>
        </w:tc>
        <w:tc>
          <w:tcPr/>
          <w:p>
            <w:pPr>
              <w:pStyle w:val="Compact"/>
              <w:jc w:val="left"/>
            </w:pPr>
            <w:r>
              <w:t xml:space="preserve">42,9%</w:t>
            </w:r>
          </w:p>
        </w:tc>
        <w:tc>
          <w:tcPr/>
          <w:p>
            <w:pPr>
              <w:pStyle w:val="Compact"/>
              <w:jc w:val="left"/>
            </w:pPr>
            <w:r>
              <w:t xml:space="preserve">1,28×</w:t>
            </w:r>
          </w:p>
        </w:tc>
      </w:tr>
      <w:tr>
        <w:tc>
          <w:tcPr/>
          <w:p>
            <w:pPr>
              <w:pStyle w:val="Compact"/>
              <w:jc w:val="left"/>
            </w:pPr>
            <w:r>
              <w:t xml:space="preserve">PEPE (ETH)</w:t>
            </w:r>
          </w:p>
        </w:tc>
        <w:tc>
          <w:tcPr/>
          <w:p>
            <w:pPr>
              <w:pStyle w:val="Compact"/>
              <w:jc w:val="left"/>
            </w:pPr>
            <w:r>
              <w:t xml:space="preserve">Ottimistico</w:t>
            </w:r>
          </w:p>
        </w:tc>
        <w:tc>
          <w:tcPr/>
          <w:p>
            <w:pPr>
              <w:pStyle w:val="Compact"/>
              <w:jc w:val="left"/>
            </w:pPr>
            <w:r>
              <w:t xml:space="preserve">23,9%</w:t>
            </w:r>
          </w:p>
        </w:tc>
        <w:tc>
          <w:tcPr/>
          <w:p>
            <w:pPr>
              <w:pStyle w:val="Compact"/>
              <w:jc w:val="left"/>
            </w:pPr>
            <w:r>
              <w:t xml:space="preserve">25,8%</w:t>
            </w:r>
          </w:p>
        </w:tc>
        <w:tc>
          <w:tcPr/>
          <w:p>
            <w:pPr>
              <w:pStyle w:val="Compact"/>
              <w:jc w:val="left"/>
            </w:pPr>
            <w:r>
              <w:t xml:space="preserve">16,7%</w:t>
            </w:r>
          </w:p>
        </w:tc>
        <w:tc>
          <w:tcPr/>
          <w:p>
            <w:pPr>
              <w:pStyle w:val="Compact"/>
              <w:jc w:val="left"/>
            </w:pPr>
            <w:r>
              <w:t xml:space="preserve">3,9%</w:t>
            </w:r>
          </w:p>
        </w:tc>
        <w:tc>
          <w:tcPr/>
          <w:p>
            <w:pPr>
              <w:pStyle w:val="Compact"/>
              <w:jc w:val="left"/>
            </w:pPr>
            <w:r>
              <w:t xml:space="preserve">2,0%</w:t>
            </w:r>
          </w:p>
        </w:tc>
        <w:tc>
          <w:tcPr/>
          <w:p>
            <w:pPr>
              <w:pStyle w:val="Compact"/>
              <w:jc w:val="left"/>
            </w:pPr>
            <w:r>
              <w:t xml:space="preserve">40,0%</w:t>
            </w:r>
          </w:p>
        </w:tc>
        <w:tc>
          <w:tcPr/>
          <w:p>
            <w:pPr>
              <w:pStyle w:val="Compact"/>
              <w:jc w:val="left"/>
            </w:pPr>
            <w:r>
              <w:t xml:space="preserve">11,2%</w:t>
            </w:r>
          </w:p>
        </w:tc>
        <w:tc>
          <w:tcPr/>
          <w:p>
            <w:pPr>
              <w:pStyle w:val="Compact"/>
              <w:jc w:val="left"/>
            </w:pPr>
            <w:r>
              <w:t xml:space="preserve">1,37×</w:t>
            </w:r>
          </w:p>
        </w:tc>
      </w:tr>
      <w:tr>
        <w:tc>
          <w:tcPr/>
          <w:p>
            <w:pPr>
              <w:pStyle w:val="Compact"/>
              <w:jc w:val="left"/>
            </w:pPr>
            <w:r>
              <w:t xml:space="preserve">PEPE (ETH)</w:t>
            </w:r>
          </w:p>
        </w:tc>
        <w:tc>
          <w:tcPr/>
          <w:p>
            <w:pPr>
              <w:pStyle w:val="Compact"/>
              <w:jc w:val="left"/>
            </w:pPr>
            <w:r>
              <w:rPr>
                <w:bCs/>
                <w:b/>
              </w:rPr>
              <w:t xml:space="preserve">Base</w:t>
            </w:r>
          </w:p>
        </w:tc>
        <w:tc>
          <w:tcPr/>
          <w:p>
            <w:pPr>
              <w:pStyle w:val="Compact"/>
              <w:jc w:val="left"/>
            </w:pPr>
            <w:r>
              <w:t xml:space="preserve">19,3%</w:t>
            </w:r>
          </w:p>
        </w:tc>
        <w:tc>
          <w:tcPr/>
          <w:p>
            <w:pPr>
              <w:pStyle w:val="Compact"/>
              <w:jc w:val="left"/>
            </w:pPr>
            <w:r>
              <w:t xml:space="preserve">21,8%</w:t>
            </w:r>
          </w:p>
        </w:tc>
        <w:tc>
          <w:tcPr/>
          <w:p>
            <w:pPr>
              <w:pStyle w:val="Compact"/>
              <w:jc w:val="left"/>
            </w:pPr>
            <w:r>
              <w:t xml:space="preserve">13,5%</w:t>
            </w:r>
          </w:p>
        </w:tc>
        <w:tc>
          <w:tcPr/>
          <w:p>
            <w:pPr>
              <w:pStyle w:val="Compact"/>
              <w:jc w:val="left"/>
            </w:pPr>
            <w:r>
              <w:t xml:space="preserve">3,0%</w:t>
            </w:r>
          </w:p>
        </w:tc>
        <w:tc>
          <w:tcPr/>
          <w:p>
            <w:pPr>
              <w:pStyle w:val="Compact"/>
              <w:jc w:val="left"/>
            </w:pPr>
            <w:r>
              <w:t xml:space="preserve">1,6%</w:t>
            </w:r>
          </w:p>
        </w:tc>
        <w:tc>
          <w:tcPr/>
          <w:p>
            <w:pPr>
              <w:pStyle w:val="Compact"/>
              <w:jc w:val="left"/>
            </w:pPr>
            <w:r>
              <w:t xml:space="preserve">42,5%</w:t>
            </w:r>
          </w:p>
        </w:tc>
        <w:tc>
          <w:tcPr/>
          <w:p>
            <w:pPr>
              <w:pStyle w:val="Compact"/>
              <w:jc w:val="left"/>
            </w:pPr>
            <w:r>
              <w:t xml:space="preserve">12,0%</w:t>
            </w:r>
          </w:p>
        </w:tc>
        <w:tc>
          <w:tcPr/>
          <w:p>
            <w:pPr>
              <w:pStyle w:val="Compact"/>
              <w:jc w:val="left"/>
            </w:pPr>
            <w:r>
              <w:t xml:space="preserve">1,22×</w:t>
            </w:r>
          </w:p>
        </w:tc>
      </w:tr>
      <w:tr>
        <w:tc>
          <w:tcPr/>
          <w:p>
            <w:pPr>
              <w:pStyle w:val="Compact"/>
              <w:jc w:val="left"/>
            </w:pPr>
            <w:r>
              <w:t xml:space="preserve">PEPE (ETH)</w:t>
            </w:r>
          </w:p>
        </w:tc>
        <w:tc>
          <w:tcPr/>
          <w:p>
            <w:pPr>
              <w:pStyle w:val="Compact"/>
              <w:jc w:val="left"/>
            </w:pPr>
            <w:r>
              <w:t xml:space="preserve">Pessimistico</w:t>
            </w:r>
          </w:p>
        </w:tc>
        <w:tc>
          <w:tcPr/>
          <w:p>
            <w:pPr>
              <w:pStyle w:val="Compact"/>
              <w:jc w:val="left"/>
            </w:pPr>
            <w:r>
              <w:t xml:space="preserve">13,9%</w:t>
            </w:r>
          </w:p>
        </w:tc>
        <w:tc>
          <w:tcPr/>
          <w:p>
            <w:pPr>
              <w:pStyle w:val="Compact"/>
              <w:jc w:val="left"/>
            </w:pPr>
            <w:r>
              <w:t xml:space="preserve">16,8%</w:t>
            </w:r>
          </w:p>
        </w:tc>
        <w:tc>
          <w:tcPr/>
          <w:p>
            <w:pPr>
              <w:pStyle w:val="Compact"/>
              <w:jc w:val="left"/>
            </w:pPr>
            <w:r>
              <w:t xml:space="preserve">9,8%</w:t>
            </w:r>
          </w:p>
        </w:tc>
        <w:tc>
          <w:tcPr/>
          <w:p>
            <w:pPr>
              <w:pStyle w:val="Compact"/>
              <w:jc w:val="left"/>
            </w:pPr>
            <w:r>
              <w:t xml:space="preserve">2,0%</w:t>
            </w:r>
          </w:p>
        </w:tc>
        <w:tc>
          <w:tcPr/>
          <w:p>
            <w:pPr>
              <w:pStyle w:val="Compact"/>
              <w:jc w:val="left"/>
            </w:pPr>
            <w:r>
              <w:t xml:space="preserve">1,1%</w:t>
            </w:r>
          </w:p>
        </w:tc>
        <w:tc>
          <w:tcPr/>
          <w:p>
            <w:pPr>
              <w:pStyle w:val="Compact"/>
              <w:jc w:val="left"/>
            </w:pPr>
            <w:r>
              <w:t xml:space="preserve">46,8%</w:t>
            </w:r>
          </w:p>
        </w:tc>
        <w:tc>
          <w:tcPr/>
          <w:p>
            <w:pPr>
              <w:pStyle w:val="Compact"/>
              <w:jc w:val="left"/>
            </w:pPr>
            <w:r>
              <w:t xml:space="preserve">13,6%</w:t>
            </w:r>
          </w:p>
        </w:tc>
        <w:tc>
          <w:tcPr/>
          <w:p>
            <w:pPr>
              <w:pStyle w:val="Compact"/>
              <w:jc w:val="left"/>
            </w:pPr>
            <w:r>
              <w:t xml:space="preserve">1,03×</w:t>
            </w:r>
          </w:p>
        </w:tc>
      </w:tr>
    </w:tbl>
    <w:p>
      <w:pPr>
        <w:pStyle w:val="BodyText"/>
      </w:pPr>
      <w:r>
        <w:t xml:space="preserve">Stime del modello. La conseguenza pratica è che</w:t>
      </w:r>
      <w:r>
        <w:t xml:space="preserve"> </w:t>
      </w:r>
      <w:r>
        <w:rPr>
          <w:bCs/>
          <w:b/>
        </w:rPr>
        <w:t xml:space="preserve">per sette token su otto le conclusioni dipendono molto più dai base rate sulle memecoin (passo 2) e dai fattori per token (passo 3) che dalla visione macro su SOL o ETH</w:t>
      </w:r>
      <w:r>
        <w:t xml:space="preserve">: chi è molto più ottimista del modello su Solana (per esempio chi prende alla lettera i $400 di Standard Chartered) sposta la probabilità di raddoppio di TROLL dal 17,5% al 19,5%, non al 50%. Per arrivare al 50% serve che SOL raddoppi davvero, e quell'evento vale 1 su 8. L'eccezione è PEPE, la cui probabilità di raddoppio va dal 9,8% al 16,7% tra i due blend e, condizionata al raddoppio di ETH, al 68–78%: per PEPE la visione su ETH è quasi tutto. La tabella del legame alla chain lo riassume con un solo rapporto, quello tra P(2x | chain ≥ +100%) e P(2x | chain chiude a zero o in calo):</w:t>
      </w:r>
      <w:r>
        <w:t xml:space="preserve"> </w:t>
      </w:r>
      <w:r>
        <w:rPr>
          <w:bCs/>
          <w:b/>
        </w:rPr>
        <w:t xml:space="preserve">10,4× per CHILLGUY, 7,0× per TROLL, 5,0× per WOJAK, 4,5× per CHILLHOUSE, 4,2× per CUPSEY, 3,8× per TRIPLE T, 3,2× per CASHCAT (il minimo) e 70,5× per PEPE (il massimo)</w:t>
      </w:r>
      <w:r>
        <w:t xml:space="preserve">, con P(2x | ETH in calo) all'1,0% per PEPE e al 9,3% per CASHCAT. Questo è anche il modo corretto di leggere la tabella degli scenari del rapporto descrittivo precedente: i multipli dello scenario "forte" (TROLL 4–6×, WOJAK 3–4×, CHILLGUY 3–5×, TRIPLE T 3–4×, CUPSEY 3–3,5×, CHILLHOUSE 4–8× con SOL a $250) sono obiettivi plausibili condizionati all'euforia, ma nello scenario E il modello dà una probabilità di raggiungere almeno 3× del 42% per TROLL, 25% per WOJAK, 24% per TRIPLE T, 19% per CHILLGUY, 17% per CUPSEY e 12% per CHILLHOUSE, una probabilità di raddoppio del 32% per CASHCAT e del 75% per PEPE, e lo scenario E ha a sua volta il 10% di probabilità: il prodotto (1–7% per token) è esattamente ciò che mostrano le colonne non condizionate.</w:t>
      </w:r>
    </w:p>
    <w:p>
      <w:pPr>
        <w:pStyle w:val="BodyText"/>
      </w:pPr>
      <w:r>
        <w:t xml:space="preserve">Le</w:t>
      </w:r>
      <w:r>
        <w:t xml:space="preserve"> </w:t>
      </w:r>
      <w:r>
        <w:rPr>
          <w:bCs/>
          <w:b/>
        </w:rPr>
        <w:t xml:space="preserve">capitalizzazioni pesate per probabilità</w:t>
      </w:r>
      <w:r>
        <w:t xml:space="preserve"> </w:t>
      </w:r>
      <w:r>
        <w:t xml:space="preserve">(cap attuale × EV, metodo tabellare, Monte Carlo tra parentesi) chiudono il quadro: CHILLGUY $12,1 mln (12,1), CHILLHOUSE $1,2 mln (1,5), TROLL $89,6 mln (115,2), TRIPLE T $11,7 mln (14,7), CUPSEY $7,1 mln (8,4), WOJAK $24,6 mln (31,0),</w:t>
      </w:r>
      <w:r>
        <w:t xml:space="preserve"> </w:t>
      </w:r>
      <w:r>
        <w:rPr>
          <w:bCs/>
          <w:b/>
        </w:rPr>
        <w:t xml:space="preserve">CASHCAT $160 mln (251) sulla base di $115 mln</w:t>
      </w:r>
      <w:r>
        <w:t xml:space="preserve">, che diventano $243–381 mln se si preferisce la lettura di $175 mln del 2 ottobre, e</w:t>
      </w:r>
      <w:r>
        <w:t xml:space="preserve"> </w:t>
      </w:r>
      <w:r>
        <w:rPr>
          <w:bCs/>
          <w:b/>
        </w:rPr>
        <w:t xml:space="preserve">PEPE $2,13 mld (2,32)</w:t>
      </w:r>
      <w:r>
        <w:t xml:space="preserve">; condizionate a un raddoppio della chain, CASHCAT $335 mln (352) e PEPE $6,6 mld (8,0). Se per CASHCAT si usa la cap di $175 mln, le probabilità dei multipli fissi non cambiano, ma la distanza dall'ATH scende da 2,7× a circa 1,8× e la probabilità di nuovo ATH salirebbe nella fascia tra P(≥ 2x) e P(≥ +50%), cioè 14–21%. Anche questi numeri sono guidati dal tetto di 30× e dall'ipotesi sulla coda: ordini di grandezza, non stime puntuali.</w:t>
      </w:r>
    </w:p>
    <w:bookmarkEnd w:id="184"/>
    <w:bookmarkStart w:id="191" w:name="X5d02574d264814ebf12effdd940d8b22d34a2cc"/>
    <w:p>
      <w:pPr>
        <w:pStyle w:val="Heading2"/>
      </w:pPr>
      <w:r>
        <w:t xml:space="preserve">Passo 5: come usare questi numeri, cosa li cambierebbe, cosa monitorare</w:t>
      </w:r>
    </w:p>
    <w:p>
      <w:pPr>
        <w:pStyle w:val="FirstParagraph"/>
      </w:pPr>
      <w:r>
        <w:rPr>
          <w:bCs/>
          <w:b/>
        </w:rPr>
        <w:t xml:space="preserve">Perché i numeri escono così, detto semplicemente.</w:t>
      </w:r>
      <w:r>
        <w:t xml:space="preserve"> </w:t>
      </w:r>
      <w:r>
        <w:t xml:space="preserve">Il risultato è il prodotto di tre probabilità in catena, ciascuna inferiore a uno. La prima è che SOL o ETH salgano davvero (1 su 5 per +50%, 1 su 8 per il raddoppio), e questa è la parte "ottimista" del modello, perché dà peso anche ai mercati predittivi e alla storia del 2023, più generosi delle opzioni. La seconda è che, dato il rialzo, la meme vecchia partecipi: i dati del 2025 e del 2026 dicono che non è scontato, perché il denaro nuovo va ai token nuovi, e perciò anche nello scenario migliore solo una meme consolidata su due raddoppia. La terza è il profilo del singolo token: TROLL parte avvantaggiato, CHILLGUY e CHILLHOUSE svantaggiati, gli altri in mezzo ma con metà del destino scollegato dalla chain. Moltiplicando una probabilità bassa per una media per un aggiustamento si ottengono numeri tra il 6,5% e il 17,5% per il raddoppio.</w:t>
      </w:r>
      <w:r>
        <w:t xml:space="preserve"> </w:t>
      </w:r>
      <w:r>
        <w:rPr>
          <w:bCs/>
          <w:b/>
        </w:rPr>
        <w:t xml:space="preserve">PEPE</w:t>
      </w:r>
      <w:r>
        <w:t xml:space="preserve"> </w:t>
      </w:r>
      <w:r>
        <w:t xml:space="preserve">finisce con circa lo stesso rialzo di testa dei piccoli (1 su 5 per +50%, 1 su 7 per il raddoppio) ma con un ribasso molto migliore (4 su 10 di dimezzarsi, 1 su 8 di perdere l'80%), una coda lontana molto peggiore (3% per un 5×, meno dell'1% per un 10×, meno del 3% per un nuovo ATH a 6,9×) e una mediana che è una perdita ma non un azzeramento (0,58×): è 100 volte più grande degli altri, quindi un 5× è un ritorno al suo record e un 10× ne farebbe la seconda memecoin della storia dopo DOGE, e il biglietto della lotteria non c'è più, come mostra il crollo del beta a ETH da circa 18× a circa 1,5×; ha superato un anno a −79% con holder in crescita, listing su tutti i CEX di prima fascia e un book di perpetual da $323 mln, quindi un −80% da qui richiede un vero crollo di ETH più una cascata di liquidazioni; e segue ETH più di ogni altro token, per cui non è una "scommessa su una memecoin" nel senso degli altri sette ma una scommessa a leva su ETH con un'opzione ETF attaccata.</w:t>
      </w:r>
      <w:r>
        <w:t xml:space="preserve"> </w:t>
      </w:r>
      <w:r>
        <w:rPr>
          <w:bCs/>
          <w:b/>
        </w:rPr>
        <w:t xml:space="preserve">CASHCAT</w:t>
      </w:r>
      <w:r>
        <w:t xml:space="preserve"> </w:t>
      </w:r>
      <w:r>
        <w:t xml:space="preserve">finisce come il token a varianza più alta del gruppo: 1 su 5 per +50%, 1 su 7 per il raddoppio, 1 su 10 per un nuovo massimo che dista solo 2,7×, ma 2 su 3 di dimezzarsi e 4–5 su 10 di essere di fatto morto, con la mediana peggiore (0,22×) e il secondo EV dopo TROLL (1,4–2,2×); è un token del ciclo corrente, di tre mesi, a −63% da un massimo di sei settimane fa, con il listing nell'app Robinhood come vero vantaggio distributivo che nessun'altra meme della chain ha, ma con l'89% della supply in 1.000 wallet, un wallet al 13,7% che nessuno identifica, $2,6–5,4 mln di liquidità per $115 mln di cap, un mercato perpetual che ha già prodotto un −60% in un minuto, una vendita da hack e una chain di quattordici settimane con un solo sequencer; e solo il 45% del suo destino è legato a ETH, il resto è il percorso di decadimento delle meme più il fattore Robinhood Chain. Il valore atteso sopra 1 non contraddice il fatto che l'esito tipico sia una perdita del 40–78%: è la media di tanti percorsi, dominata da pochi casi a 10–30×, e ha senso solo per chi può distribuire la scommessa su molte posizioni e tollerare la perdita quasi totale su ciascuna; chi non può, deve guardare la mediana e la colonna "morta". Sulla probabilità di raddoppio gli otto token si ordinano TROLL 17,5% &gt; TRIPLE T 13,7% ≈ CASHCAT 13,7% ≈ PEPE 13,5% &gt; WOJAK 12,5% &gt; CUPSEY 9,4% &gt; CHILLGUY 7,3% &gt; CHILLHOUSE 6,5%; sulla "morte" PEPE (12%) è in una classe a sé e CASHCAT (41%) sta tra CHILLGUY (40%) e CHILLHOUSE (49%).</w:t>
      </w:r>
    </w:p>
    <w:p>
      <w:pPr>
        <w:pStyle w:val="BodyText"/>
      </w:pPr>
      <w:r>
        <w:rPr>
          <w:bCs/>
          <w:b/>
        </w:rPr>
        <w:t xml:space="preserve">Cosa farebbe cambiare i numeri.</w:t>
      </w:r>
      <w:r>
        <w:t xml:space="preserve"> </w:t>
      </w:r>
      <w:r>
        <w:t xml:space="preserve">I segnali che sposterebbero il passo 1 sono una svolta della Fed verso i tagli nel 2027 (Morningstar li attende, i dot no), una ripresa stabile degli afflussi negli ETF SOL ed ETH sopra i $100 mln a settimana, una data certa per Alpenglow su mainnet e un ritorno di BTC sopra la media a 50 settimane ($82.000) che Galaxy usa come conferma della fine del mercato orso (</w:t>
      </w:r>
      <w:hyperlink r:id="rId185">
        <w:r>
          <w:rPr>
            <w:rStyle w:val="Hyperlink"/>
          </w:rPr>
          <w:t xml:space="preserve">Morningstar</w:t>
        </w:r>
      </w:hyperlink>
      <w:r>
        <w:t xml:space="preserve">;</w:t>
      </w:r>
      <w:r>
        <w:t xml:space="preserve"> </w:t>
      </w:r>
      <w:hyperlink r:id="rId186">
        <w:r>
          <w:rPr>
            <w:rStyle w:val="Hyperlink"/>
          </w:rPr>
          <w:t xml:space="preserve">AMBCrypto/Galaxy</w:t>
        </w:r>
      </w:hyperlink>
      <w:r>
        <w:t xml:space="preserve">); in senso opposto, un secondo rialzo Fed a dicembre, una rottura di SOL sotto i $100 o di ETH sotto i $2.400. I segnali che sposterebbero il passo 2, più importanti per sette token su otto, sono una ripresa del comparto meme Solana oltre i $5 mld guidata dai nomi del 2024–25 e non dai lanci nuovi, un ritorno della quota meme nel volume Solana verso il 30–40% e un Altcoin Season Index sopra 75 (era a 61 a inizio ottobre, 40 nel Fear &amp; Greed del 7–8 ottobre) (</w:t>
      </w:r>
      <w:hyperlink r:id="rId187">
        <w:r>
          <w:rPr>
            <w:rStyle w:val="Hyperlink"/>
          </w:rPr>
          <w:t xml:space="preserve">CoinMarketCap</w:t>
        </w:r>
      </w:hyperlink>
      <w:r>
        <w:t xml:space="preserve">;</w:t>
      </w:r>
      <w:r>
        <w:t xml:space="preserve"> </w:t>
      </w:r>
      <w:hyperlink r:id="rId188">
        <w:r>
          <w:rPr>
            <w:rStyle w:val="Hyperlink"/>
          </w:rPr>
          <w:t xml:space="preserve">BitDegree</w:t>
        </w:r>
      </w:hyperlink>
      <w:r>
        <w:t xml:space="preserve">); per PEPE il segnale equivalente è se il settore meme, $35,1 mld il 6 ottobre, cresce con DOGE, SHIB e PEPE o con i nuovi nomi come MemeCore (</w:t>
      </w:r>
      <w:hyperlink r:id="rId189">
        <w:r>
          <w:rPr>
            <w:rStyle w:val="Hyperlink"/>
          </w:rPr>
          <w:t xml:space="preserve">crypto.news</w:t>
        </w:r>
      </w:hyperlink>
      <w:r>
        <w:t xml:space="preserve">). I segnali per token sono questi. Per</w:t>
      </w:r>
      <w:r>
        <w:t xml:space="preserve"> </w:t>
      </w:r>
      <w:r>
        <w:rPr>
          <w:bCs/>
          <w:b/>
        </w:rPr>
        <w:t xml:space="preserve">TROLL</w:t>
      </w:r>
      <w:r>
        <w:t xml:space="preserve"> </w:t>
      </w:r>
      <w:r>
        <w:t xml:space="preserve">un listing spot o futures su Binance globale (che il modello non prezza esplicitamente, e che varrebbe un +10–80% immediato ma non un cambio di regime a dodici mesi) e la prova on-chain di accumulo; per</w:t>
      </w:r>
      <w:r>
        <w:t xml:space="preserve"> </w:t>
      </w:r>
      <w:r>
        <w:rPr>
          <w:bCs/>
          <w:b/>
        </w:rPr>
        <w:t xml:space="preserve">CHILLGUY</w:t>
      </w:r>
      <w:r>
        <w:t xml:space="preserve"> </w:t>
      </w:r>
      <w:r>
        <w:t xml:space="preserve">la permanenza del perpetual Binance, il cui delisting è un rischio discreto fuori dal modello; per</w:t>
      </w:r>
      <w:r>
        <w:t xml:space="preserve"> </w:t>
      </w:r>
      <w:r>
        <w:rPr>
          <w:bCs/>
          <w:b/>
        </w:rPr>
        <w:t xml:space="preserve">TRIPLE T</w:t>
      </w:r>
      <w:r>
        <w:t xml:space="preserve"> </w:t>
      </w:r>
      <w:r>
        <w:t xml:space="preserve">l'avvicinarsi del Ramadan 2027 (inizio febbraio) e un listing di prima fascia; per</w:t>
      </w:r>
      <w:r>
        <w:t xml:space="preserve"> </w:t>
      </w:r>
      <w:r>
        <w:rPr>
          <w:bCs/>
          <w:b/>
        </w:rPr>
        <w:t xml:space="preserve">CUPSEY</w:t>
      </w:r>
      <w:r>
        <w:t xml:space="preserve"> </w:t>
      </w:r>
      <w:r>
        <w:t xml:space="preserve">un riconoscimento formale di pump.fun o la prova che i wallet di progetto e dei KOL non vendono; per</w:t>
      </w:r>
      <w:r>
        <w:t xml:space="preserve"> </w:t>
      </w:r>
      <w:r>
        <w:rPr>
          <w:bCs/>
          <w:b/>
        </w:rPr>
        <w:t xml:space="preserve">WOJAK</w:t>
      </w:r>
      <w:r>
        <w:t xml:space="preserve"> </w:t>
      </w:r>
      <w:r>
        <w:t xml:space="preserve">l'ammissione alla negoziazione su un exchange UE aperta dal whitepaper MiCAR, un listing Binance o Coinbase, un volume stabilmente sopra i $5 mln al giorno e una tabella verificabile dei primi dieci holder; per</w:t>
      </w:r>
      <w:r>
        <w:t xml:space="preserve"> </w:t>
      </w:r>
      <w:r>
        <w:rPr>
          <w:bCs/>
          <w:b/>
        </w:rPr>
        <w:t xml:space="preserve">CHILLHOUSE</w:t>
      </w:r>
      <w:r>
        <w:t xml:space="preserve"> </w:t>
      </w:r>
      <w:r>
        <w:t xml:space="preserve">un qualsiasi segno di vita dell'account @ChillHouseSOL, assente dal novembre 2025. Per</w:t>
      </w:r>
      <w:r>
        <w:t xml:space="preserve"> </w:t>
      </w:r>
      <w:r>
        <w:rPr>
          <w:bCs/>
          <w:b/>
        </w:rPr>
        <w:t xml:space="preserve">PEPE</w:t>
      </w:r>
      <w:r>
        <w:t xml:space="preserve"> </w:t>
      </w:r>
      <w:r>
        <w:t xml:space="preserve">i tre segnali sono, in ordine di peso, la tendenza di ETH (sopra $3.545 si entra nello scenario D, dove PEPE ha il 55% di essere a +50%; sotto $1.655 nello scenario A, dove ha il 70% di dimezzarsi), la decisione sull'ETF Canary (l'efficacia della registrazione, un ticker e una data di lancio sposterebbero le quote di rialzo oltre il moltiplicatore 1,15 usato; un ritiro o un rinvio indefinito le abbasserebbero; nessun mercato predittivo la prezza) e la leva (open interest sui futures, $323 mln al 2 ottobre contro $446 mln nel picco del 2 gennaio 2026, funding e liquidazioni: i movimenti più grandi di PEPE sono cascate di liquidazioni nel suo stesso mercato perpetual, nei due sensi) (</w:t>
      </w:r>
      <w:hyperlink r:id="rId190">
        <w:r>
          <w:rPr>
            <w:rStyle w:val="Hyperlink"/>
          </w:rPr>
          <w:t xml:space="preserve">CoinGape</w:t>
        </w:r>
      </w:hyperlink>
      <w:r>
        <w:t xml:space="preserve">); un segnale secondario è la continuazione dell'accumulo delle whale e dei deflussi dai CEX (23 T accumulati dai primi 100 wallet tra ottobre 2025 e febbraio 2026, 4,54 T usciti dagli exchange in un giorno ad agosto 2026). Per</w:t>
      </w:r>
      <w:r>
        <w:t xml:space="preserve"> </w:t>
      </w:r>
      <w:r>
        <w:rPr>
          <w:bCs/>
          <w:b/>
        </w:rPr>
        <w:t xml:space="preserve">CASHCAT</w:t>
      </w:r>
      <w:r>
        <w:t xml:space="preserve"> </w:t>
      </w:r>
      <w:r>
        <w:t xml:space="preserve">i segnali sono l'attività della chain (fee e transazioni giornaliere, oggi circa $230.000 e 6,2 mln contro $8 mln e oltre 10 mln al picco; la nascita di un launchpad che sostituisca Noxa e Pons; se a guidare la prossima rotazione è CASHCAT, AI o PONS), i risultati di HOOD del 27 ottobre e ogni dichiarazione di Robinhood sulla chain e sulle meme, i flussi dall'app Robinhood (CASHCAT è l'unica meme della chain confermata nell'app, ma nessuna fonte dice quanti utenti la detengono), la risoluzione del conflitto sul sussidio gas, e la concentrazione (il wallet da 137,15 mln di token, i 1.000 indirizzi all'89%, il contratto di vesting all'1,37%), insieme alla liquidità DEX, che se scendesse sotto i $2,6 mln renderebbe qualunque uscita di una whale un evento di prezzo.</w:t>
      </w:r>
    </w:p>
    <w:p>
      <w:pPr>
        <w:pStyle w:val="BodyText"/>
      </w:pPr>
      <w:r>
        <w:rPr>
          <w:bCs/>
          <w:b/>
        </w:rPr>
        <w:t xml:space="preserve">Avvertenze esplicite.</w:t>
      </w:r>
      <w:r>
        <w:t xml:space="preserve"> </w:t>
      </w:r>
      <w:r>
        <w:t xml:space="preserve">La tabella seguente elenca i limiti che ogni lettore deve tenere accanto alle cifre.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Avvertenza</w:t>
            </w:r>
          </w:p>
        </w:tc>
        <w:tc>
          <w:tcPr/>
          <w:p>
            <w:pPr>
              <w:pStyle w:val="Compact"/>
              <w:jc w:val="left"/>
            </w:pPr>
            <w:r>
              <w:t xml:space="preserve">Che cosa significa per i numeri</w:t>
            </w:r>
          </w:p>
        </w:tc>
      </w:tr>
      <w:tr>
        <w:tc>
          <w:tcPr/>
          <w:p>
            <w:pPr>
              <w:pStyle w:val="Compact"/>
              <w:jc w:val="left"/>
            </w:pPr>
            <w:r>
              <w:t xml:space="preserve">Modello illustrativo, non predittivo</w:t>
            </w:r>
          </w:p>
        </w:tc>
        <w:tc>
          <w:tcPr/>
          <w:p>
            <w:pPr>
              <w:pStyle w:val="Compact"/>
              <w:jc w:val="left"/>
            </w:pPr>
            <w:r>
              <w:t xml:space="preserve">Le probabilità di scenario, le due tabelle condizionate, il fattore a tre stati e i moltiplicatori sono stime di giudizio ancorate alle fonti; un altro analista otterrebbe numeri diversi. Lo scopo è rendere trasparente il ragionamento, non prevedere</w:t>
            </w:r>
          </w:p>
        </w:tc>
      </w:tr>
      <w:tr>
        <w:tc>
          <w:tcPr/>
          <w:p>
            <w:pPr>
              <w:pStyle w:val="Compact"/>
              <w:jc w:val="left"/>
            </w:pPr>
            <w:r>
              <w:t xml:space="preserve">Dati da snippet</w:t>
            </w:r>
          </w:p>
        </w:tc>
        <w:tc>
          <w:tcPr/>
          <w:p>
            <w:pPr>
              <w:pStyle w:val="Compact"/>
              <w:jc w:val="left"/>
            </w:pPr>
            <w:r>
              <w:t xml:space="preserve">Nessuna pagina di mercato (Polymarket, Kalshi, Deribit, CoinGecko, Coinglass, Etherscan, Blockscout di Robinhood Chain) è stata consultata direttamente: tutti i numeri vengono da snippet dei motori di ricerca o da notizie, con snapshot tra il 21 settembre e il 13 ottobre 2026; i tracker divergono anche del 15–50% su prezzi e volumi dei token, e diverse fonti su CASHCAT e PEPE sono comunicati stampa o siti di previsioni, segnalati come tali</w:t>
            </w:r>
          </w:p>
        </w:tc>
      </w:tr>
      <w:tr>
        <w:tc>
          <w:tcPr/>
          <w:p>
            <w:pPr>
              <w:pStyle w:val="Compact"/>
              <w:jc w:val="left"/>
            </w:pPr>
            <w:r>
              <w:t xml:space="preserve">Campioni piccoli</w:t>
            </w:r>
          </w:p>
        </w:tc>
        <w:tc>
          <w:tcPr/>
          <w:p>
            <w:pPr>
              <w:pStyle w:val="Compact"/>
              <w:jc w:val="left"/>
            </w:pPr>
            <w:r>
              <w:t xml:space="preserve">I base rate di SOL vengono da 57 finestre mensili sovrapposte ricostruite dalle note (da verificare su dati giornalieri); quelli delle memecoin da un solo studio Coin Metrics (150 token) più finestre aneddotiche per token</w:t>
            </w:r>
          </w:p>
        </w:tc>
      </w:tr>
      <w:tr>
        <w:tc>
          <w:tcPr/>
          <w:p>
            <w:pPr>
              <w:pStyle w:val="Compact"/>
              <w:jc w:val="left"/>
            </w:pPr>
            <w:r>
              <w:t xml:space="preserve">Studio con survivorship bias</w:t>
            </w:r>
          </w:p>
        </w:tc>
        <w:tc>
          <w:tcPr/>
          <w:p>
            <w:pPr>
              <w:pStyle w:val="Compact"/>
              <w:jc w:val="left"/>
            </w:pPr>
            <w:r>
              <w:t xml:space="preserve">Il 3,3% di ritorno all'ATH di Coin Metrics riguarda token con un prezzo su CEX, cioè i sopravvissuti; per l'universo largo i tassi sono più bassi</w:t>
            </w:r>
          </w:p>
        </w:tc>
      </w:tr>
      <w:tr>
        <w:tc>
          <w:tcPr/>
          <w:p>
            <w:pPr>
              <w:pStyle w:val="Compact"/>
              <w:jc w:val="left"/>
            </w:pPr>
            <w:r>
              <w:t xml:space="preserve">Nessun beta formale</w:t>
            </w:r>
          </w:p>
        </w:tc>
        <w:tc>
          <w:tcPr/>
          <w:p>
            <w:pPr>
              <w:pStyle w:val="Compact"/>
              <w:jc w:val="left"/>
            </w:pPr>
            <w:r>
              <w:t xml:space="preserve">Nessuna fonte pubblica un beta di regressione delle meme Solana rispetto a SOL, né di PEPE o CASHCAT rispetto a ETH ("tutti i rapporti sono calcoli a spanne da punti di prezzo"); i parametri del Monte Carlo (beta 1,5 e 1,3, decadimento −80% per la tabella generica; 1,6 e 0,8, −50% per quella di PEPE) sono calibrati sulle tabelle di giudizio, non stimati sui dati</w:t>
            </w:r>
          </w:p>
        </w:tc>
      </w:tr>
      <w:tr>
        <w:tc>
          <w:tcPr/>
          <w:p>
            <w:pPr>
              <w:pStyle w:val="Compact"/>
              <w:jc w:val="left"/>
            </w:pPr>
            <w:r>
              <w:t xml:space="preserve">Mercati predittivi sottili</w:t>
            </w:r>
          </w:p>
        </w:tc>
        <w:tc>
          <w:tcPr/>
          <w:p>
            <w:pPr>
              <w:pStyle w:val="Compact"/>
              <w:jc w:val="left"/>
            </w:pPr>
            <w:r>
              <w:t xml:space="preserve">La scala Kalshi è un mercato a tre mesi con $183.000 di volume e long-shot bias; usarla per dodici mesi richiede l'assunzione in due stadi del modello; non esistono mercati 2027, né mercati su PEPE, sul suo ETF o su Robinhood Chain</w:t>
            </w:r>
          </w:p>
        </w:tc>
      </w:tr>
      <w:tr>
        <w:tc>
          <w:tcPr/>
          <w:p>
            <w:pPr>
              <w:pStyle w:val="Compact"/>
              <w:jc w:val="left"/>
            </w:pPr>
            <w:r>
              <w:t xml:space="preserve">Assunzioni su ETH</w:t>
            </w:r>
          </w:p>
        </w:tc>
        <w:tc>
          <w:tcPr/>
          <w:p>
            <w:pPr>
              <w:pStyle w:val="Compact"/>
              <w:jc w:val="left"/>
            </w:pPr>
            <w:r>
              <w:t xml:space="preserve">Volatilità di ETH al 50% e riutilizzo delle componenti storica e predittiva di SOL come proxy sono assunzioni; la tabella condizionata di WOJAK resta quella delle meme Solana, mentre PEPE ha una tabella propria; la distribuzione di ETH condiziona ora tre token, quindi un errore su ETH si propaga a tutti e tre nella stessa direzione</w:t>
            </w:r>
          </w:p>
        </w:tc>
      </w:tr>
      <w:tr>
        <w:tc>
          <w:tcPr/>
          <w:p>
            <w:pPr>
              <w:pStyle w:val="Compact"/>
              <w:jc w:val="left"/>
            </w:pPr>
            <w:r>
              <w:t xml:space="preserve">Dati CASHCAT in conflitto</w:t>
            </w:r>
          </w:p>
        </w:tc>
        <w:tc>
          <w:tcPr/>
          <w:p>
            <w:pPr>
              <w:pStyle w:val="Compact"/>
              <w:jc w:val="left"/>
            </w:pPr>
            <w:r>
              <w:t xml:space="preserve">Holder 41.200 (DEXTools, agosto), oltre 61.000 (Arkham, 27 luglio) o 112.600 (GeckoTerminal, senza data), uno scarto di 2,7×, usato solo qualitativamente; cap all'ATH $226, $236, $254 o circa $311 mln a seconda del provider e del metodo di supply, con il modello che usa il prezzo ATH ($0,3115, 2,7×) e che sul dato di $254 mln darebbe 2,2×; cap attuale $115 mln (8 ottobre, comunicato a bassa affidabilità) contro $168–175 mln (1–2 ottobre), con le cap pesate per probabilità che scalano linearmente; stato di verifica del contratto, deployer, top-10 e proprietà del contratto ignoti; nessun prezzo dopo l'8 ottobre</w:t>
            </w:r>
          </w:p>
        </w:tc>
      </w:tr>
      <w:tr>
        <w:tc>
          <w:tcPr/>
          <w:p>
            <w:pPr>
              <w:pStyle w:val="Compact"/>
              <w:jc w:val="left"/>
            </w:pPr>
            <w:r>
              <w:t xml:space="preserve">Una chain di tre mesi</w:t>
            </w:r>
          </w:p>
        </w:tc>
        <w:tc>
          <w:tcPr/>
          <w:p>
            <w:pPr>
              <w:pStyle w:val="Compact"/>
              <w:jc w:val="left"/>
            </w:pPr>
            <w:r>
              <w:t xml:space="preserve">Robinhood Chain è viva dal 1° luglio 2026; ogni base rate del modello viene da memecoin Solana ed Ethereum, non da una chain esistita per un trimestre. Il fattore 20/45/35 con moltiplicatori 2,0/0,6 e 0,5/1,6 e spostamenti ±0,70 è un'assunzione del modellista ancorata alle statistiche di attività e ai movimenti del token; 30/40/30 o 10/40/50 sarebbero ragionevoli. La fine del sussidio gas (29 settembre) è contraddetta da un rapporto di proroga al 31 dicembre. I rischi discreti di chain (interruzione del sequencer, uso improprio delle chiavi di upgrade, problemi di bridge o di uscita a 7 giorni, Robinhood che declassa le meme sotto pressione regolatoria) sono solo approssimati dal moltiplicatore 0,90/1,15</w:t>
            </w:r>
          </w:p>
        </w:tc>
      </w:tr>
      <w:tr>
        <w:tc>
          <w:tcPr/>
          <w:p>
            <w:pPr>
              <w:pStyle w:val="Compact"/>
              <w:jc w:val="left"/>
            </w:pPr>
            <w:r>
              <w:t xml:space="preserve">ETF PEPE binario</w:t>
            </w:r>
          </w:p>
        </w:tc>
        <w:tc>
          <w:tcPr/>
          <w:p>
            <w:pPr>
              <w:pStyle w:val="Compact"/>
              <w:jc w:val="left"/>
            </w:pPr>
            <w:r>
              <w:t xml:space="preserve">L'ETF spot Canary (S-1/A del 2 ottobre 2026) può diventare efficace, essere rinviato a tempo indefinito o ritirato; non esistono quote di mercato predittivo. Il modello lo codifica come inclinazione lieve e simmetrica, non come scenario: se l'approvazione valesse, per ipotesi, un +30–50% una tantum con probabilità del 50%, le P(≥ +50%) si muoverebbero di pochi punti, non di decine</w:t>
            </w:r>
          </w:p>
        </w:tc>
      </w:tr>
      <w:tr>
        <w:tc>
          <w:tcPr/>
          <w:p>
            <w:pPr>
              <w:pStyle w:val="Compact"/>
              <w:jc w:val="left"/>
            </w:pPr>
            <w:r>
              <w:t xml:space="preserve">Letture di prezzo di PEPE in disaccordo</w:t>
            </w:r>
          </w:p>
        </w:tc>
        <w:tc>
          <w:tcPr/>
          <w:p>
            <w:pPr>
              <w:pStyle w:val="Compact"/>
              <w:jc w:val="left"/>
            </w:pPr>
            <w:r>
              <w:t xml:space="preserve">Il 2–3 ottobre Crypto Times riportava $0,0000054 e CoinGabbar $0,000004253, mentre la cap on-chain di Etherscan implica circa $0,0000045; il modello usa il consenso del 10–13 ottobre ($0,0000041) e con le altre letture drawdown e multipli si sposterebbero di ±10%. Nessuna misura della liquidità DEX di PEPE è stata trovata; la concentrazione è 41% o 77% a seconda che si contino i wallet degli exchange</w:t>
            </w:r>
          </w:p>
        </w:tc>
      </w:tr>
      <w:tr>
        <w:tc>
          <w:tcPr/>
          <w:p>
            <w:pPr>
              <w:pStyle w:val="Compact"/>
              <w:jc w:val="left"/>
            </w:pPr>
            <w:r>
              <w:t xml:space="preserve">Seconda tabella di giudizio per PEPE</w:t>
            </w:r>
          </w:p>
        </w:tc>
        <w:tc>
          <w:tcPr/>
          <w:p>
            <w:pPr>
              <w:pStyle w:val="Compact"/>
              <w:jc w:val="left"/>
            </w:pPr>
            <w:r>
              <w:t xml:space="preserve">La tabella condizionata di PEPE è costruita sui beta a spanne di una sola nota; λ = 1,1 estrapola la tabella oltre le sue righe del 10% e il limite inferiore del clipping scatta in tre gruppi di celle (rialzi della riga A, 10× della riga B, "morte" della riga E), tutte poste a 0,05%</w:t>
            </w:r>
          </w:p>
        </w:tc>
      </w:tr>
      <w:tr>
        <w:tc>
          <w:tcPr/>
          <w:p>
            <w:pPr>
              <w:pStyle w:val="Compact"/>
              <w:jc w:val="left"/>
            </w:pPr>
            <w:r>
              <w:t xml:space="preserve">Code e valore atteso</w:t>
            </w:r>
          </w:p>
        </w:tc>
        <w:tc>
          <w:tcPr/>
          <w:p>
            <w:pPr>
              <w:pStyle w:val="Compact"/>
              <w:jc w:val="left"/>
            </w:pPr>
            <w:r>
              <w:t xml:space="preserve">P(≥ 10x), P(nuovo ATH) per ATH lontani ed EV dipendono dall'ipotesi sulla coda (Pareto o Student-t) e dal tetto di 30×; vanno citati come intervalli e ordini di grandezza. Per CASHCAT, che richiede lo shock idiosincratico più largo degli otto (s = 3,0), le cifre Monte Carlo di 10× (6,1%), nuovo ATH (13%) e "morte" (48%) dipendono dall'ipotesi sulla coda più di quelle di ogni altro token; per PEPE, con lo shock più stretto (s = 0,85), le cifre condizionate del Monte Carlo superano quelle tabellari</w:t>
            </w:r>
          </w:p>
        </w:tc>
      </w:tr>
      <w:tr>
        <w:tc>
          <w:tcPr/>
          <w:p>
            <w:pPr>
              <w:pStyle w:val="Compact"/>
              <w:jc w:val="left"/>
            </w:pPr>
            <w:r>
              <w:t xml:space="preserve">Rischi discreti non modellati</w:t>
            </w:r>
          </w:p>
        </w:tc>
        <w:tc>
          <w:tcPr/>
          <w:p>
            <w:pPr>
              <w:pStyle w:val="Compact"/>
              <w:jc w:val="left"/>
            </w:pPr>
            <w:r>
              <w:t xml:space="preserve">Delisting del perpetual Binance (CHILLGUY), seconda migrazione di contratto (CUPSEY, WOJAK), ritiro della liquidità (CHILLHOUSE, stato della LP ignoto; CASHCAT, una sola pool), rug, hack ed exploit (CASHCAT ne ha già subito uno a ottobre), vendita dal multisig (PEPE, precedente del 2023) sono eventi fuori dal quadro lognormale/Student-t e sono catturati solo in parte dai moltiplicatori di ribasso</w:t>
            </w:r>
          </w:p>
        </w:tc>
      </w:tr>
      <w:tr>
        <w:tc>
          <w:tcPr/>
          <w:p>
            <w:pPr>
              <w:pStyle w:val="Compact"/>
              <w:jc w:val="left"/>
            </w:pPr>
            <w:r>
              <w:t xml:space="preserve">Dipendenza dal solo punto di arrivo</w:t>
            </w:r>
          </w:p>
        </w:tc>
        <w:tc>
          <w:tcPr/>
          <w:p>
            <w:pPr>
              <w:pStyle w:val="Compact"/>
              <w:jc w:val="left"/>
            </w:pPr>
            <w:r>
              <w:t xml:space="preserve">Il modello guarda dove SOL ed ETH chiudono l'anno, non il percorso: un picco a $200 a marzo con ritorno a $110 in ottobre è "scenario B" ma potrebbe dare esiti meme molto diversi; per PEPE, in particolare, un picco intermedio di ETH con cascata di liquidazioni al ritorno è un percorso che la tabella non vede</w:t>
            </w:r>
          </w:p>
        </w:tc>
      </w:tr>
      <w:tr>
        <w:tc>
          <w:tcPr/>
          <w:p>
            <w:pPr>
              <w:pStyle w:val="Compact"/>
              <w:jc w:val="left"/>
            </w:pPr>
            <w:r>
              <w:t xml:space="preserve">Nessuna consulenza finanziaria</w:t>
            </w:r>
          </w:p>
        </w:tc>
        <w:tc>
          <w:tcPr/>
          <w:p>
            <w:pPr>
              <w:pStyle w:val="Compact"/>
              <w:jc w:val="left"/>
            </w:pPr>
            <w:r>
              <w:t xml:space="preserve">Gli otto token sono asset senza utilità e senza floor fondamentale; sette sono illiquidi e ad alto rischio, e la perdita totale è un esito plausibile in ogni scenario; per PEPE un −80% è un esito di 1 su 8 nel caso Base; CASHCAT è un token anonimo di tre mesi su una chain di tre mesi. Questo documento è un'analisi informativa e non una raccomandazione di acquisto, vendita o detenzione</w:t>
            </w:r>
          </w:p>
        </w:tc>
      </w:tr>
    </w:tbl>
    <w:bookmarkEnd w:id="191"/>
    <w:bookmarkStart w:id="192" w:name="conclusione"/>
    <w:p>
      <w:pPr>
        <w:pStyle w:val="Heading2"/>
      </w:pPr>
      <w:r>
        <w:t xml:space="preserve">Conclusione</w:t>
      </w:r>
    </w:p>
    <w:p>
      <w:pPr>
        <w:pStyle w:val="FirstParagraph"/>
      </w:pPr>
      <w:r>
        <w:t xml:space="preserve">Il contributo di questa analisi rispetto ai rapporti descrittivi precedenti è aver separato tre domande che il discorso di mercato fonde: "SOL ed ETH saliranno?", "se salgono, le vecchie meme seguiranno?" e "quale degli otto?". La prima ha una risposta che oscilla poco tra fonti ottimiste e pessimiste (14–24% per +50%, quasi identica per le due chain); la seconda è quella decisiva e la meno discussa, perché la risposta del 2026 (categoria Solana piatta durante un +39–60% di SOL, 81% dei token a −90%, 3,3% di ritorni all'ATH, attività meme di Robinhood Chain a −96/−97% in sei settimane) dimezza o peggio qualunque probabilità ottenuta dalla prima; la terza produce una gerarchia stabile in ogni scenario (TROLL, poi un gruppo di quattro a 12,5–14% con TRIPLE T, CASHCAT, PEPE e WOJAK, poi CUPSEY, CHILLGUY e CHILLHOUSE) ma con differenze di pochi punti percentuali, non di ordini di grandezza. L'aggiunta di CASHCAT e PEPE non cambia nessun numero dei sei token originali, ma cambia la lettura del gruppo, perché i due nuovi token ne delimitano gli estremi: PEPE è il token per cui la risposta alla seconda domanda è "sì, quasi sempre" (70 volte più probabile di raddoppiare con ETH raddoppiato che con ETH in calo) al prezzo di non avere più la coda a 10× che rende interessanti i piccoli; CASHCAT è il token per cui la risposta è "dipende da tutt'altro" (3 volte, il rapporto più basso), perché il suo rally e il suo crollo li decide l'attenzione verso una chain che ha un trimestre di vita e un'azienda quotata alle spalle. Chi ha un'opinione su ETH ha in PEPE lo strumento che la esprime con un beta di 1,2–1,8× e una probabilità di azzeramento di 1 su 8; chi ha un'opinione su Robinhood ha in CASHCAT lo strumento che la esprime con una probabilità di raddoppio che va dall'8% al 24% a seconda dello stato della chain e una mediana di 0,22×; nessuno dei due è una scommessa sulle memecoin nel senso degli altri sei.</w:t>
      </w:r>
    </w:p>
    <w:p>
      <w:pPr>
        <w:pStyle w:val="BodyText"/>
      </w:pPr>
      <w:r>
        <w:t xml:space="preserve">Per chi usa questi numeri, l'implicazione operativa resta che la variabile da monitorare non è il prezzo di SOL o di ETH ma la composizione del rally: se i primi segnali di una nuova fase meme vedono salire BONK, WIF, POPCAT, PEPE e i nomi del 2024–25 prima dei lanci nuovi, le righe D ed E della tabella generica vanno riviste al rialzo e tutte le probabilità di questo rapporto con esse; se invece, come a settembre 2026 con ZCAT su Solana e con la rotazione da Noxa a Pons ad Artificial Inu su Robinhood Chain, i capitali vanno ancora ai token di quella settimana, le stime qui riportate sono, semmai, ottimistiche. Nel frattempo, la cifra più onesta da ricordare è la mediana: tra un anno il percorso tipico di sette degli otto token vale tra un quinto e poco meno della metà di oggi, quello di PEPE poco più della metà, e una probabilità tra il 6,5% e il 17,5% di raddoppio è il prezzo di quell'asimmetria. Tutte le cifre sono stime di un modello illustrativo e nulla in questo documento è consulenza finanziaria.</w:t>
      </w:r>
    </w:p>
    <w:bookmarkEnd w:id="192"/>
    <w:bookmarkEnd w:id="1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rPr>
      <w:sz w:val="15"/>
      <w:szCs w:val="15"/>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30"/>
        <w:left w:type="dxa" w:w="60"/>
        <w:bottom w:type="dxa" w:w="30"/>
        <w:right w:type="dxa" w:w="60"/>
      </w:tblCellMar>
    </w:tblPr>
    <w:tblStylePr w:type="firstRow">
      <w:tblPr>
        <w:jc w:val="left"/>
        <w:tblInd w:type="dxa" w:w="0"/>
      </w:tblPr>
      <w:trPr>
        <w:jc w:val="left"/>
      </w:trPr>
      <w:tcPr>
        <w:shd w:color="auto" w:fill="E7EEF7"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3" Target="https://ambcrypto.com/cashcats-bearish-week-3-reasons-why-the-meme-token-lost-21/" TargetMode="External" /><Relationship Type="http://schemas.openxmlformats.org/officeDocument/2006/relationships/hyperlink" Id="rId82" Target="https://ambcrypto.com/pons-falls-71-from-ath-as-robinhood-chain-activity-fades-wheres-the-floor/" TargetMode="External" /><Relationship Type="http://schemas.openxmlformats.org/officeDocument/2006/relationships/hyperlink" Id="rId186" Target="https://ambcrypto.com/why-galaxy-research-believes-this-level-could-end-bitcoins-bear-market/" TargetMode="External" /><Relationship Type="http://schemas.openxmlformats.org/officeDocument/2006/relationships/hyperlink" Id="rId140" Target="https://beincrypto.com/cashcat-robinhood-listing-100-percent-rally/" TargetMode="External" /><Relationship Type="http://schemas.openxmlformats.org/officeDocument/2006/relationships/hyperlink" Id="rId89" Target="https://blockonomi.com/bonk-price-reaches-all-time-high-dominates-solana-ecosystem-with-175-november-gains/" TargetMode="External" /><Relationship Type="http://schemas.openxmlformats.org/officeDocument/2006/relationships/hyperlink" Id="rId159" Target="https://blog.kraken.com/product/asset-listings/wojak-is-available-for-trading" TargetMode="External" /><Relationship Type="http://schemas.openxmlformats.org/officeDocument/2006/relationships/hyperlink" Id="rId92" Target="https://changelly.com/blog/top-10-solana-memecoins-for-the-2025-bull-run/" TargetMode="External" /><Relationship Type="http://schemas.openxmlformats.org/officeDocument/2006/relationships/hyperlink" Id="rId83" Target="https://coinalertnews.com/news/2026/09/30/robinhood-chain-rugpull-volume-slide" TargetMode="External" /><Relationship Type="http://schemas.openxmlformats.org/officeDocument/2006/relationships/hyperlink" Id="rId96" Target="https://coindcx.com/blog/crypto-highlights/best-solana-meme-coins/" TargetMode="External" /><Relationship Type="http://schemas.openxmlformats.org/officeDocument/2006/relationships/hyperlink" Id="rId57" Target="https://coindcx.com/blog/price-predictions/ethereum-price-prediction" TargetMode="External" /><Relationship Type="http://schemas.openxmlformats.org/officeDocument/2006/relationships/hyperlink" Id="rId67" Target="https://coingape.com/markets/bitwise-predicts-solana-price-will-hit-new-all-time-highs-in-2026/" TargetMode="External" /><Relationship Type="http://schemas.openxmlformats.org/officeDocument/2006/relationships/hyperlink" Id="rId190" Target="https://coingape.com/markets/pepe-coin-price-enters-2026-with-a-25-surge-as-open-interest-jumps-82-whats-next/" TargetMode="External" /><Relationship Type="http://schemas.openxmlformats.org/officeDocument/2006/relationships/hyperlink" Id="rId42" Target="https://coingape.com/markets/solana-price-outlook-eyes-130-as-open-interest-climbs-to-7-24b/" TargetMode="External" /><Relationship Type="http://schemas.openxmlformats.org/officeDocument/2006/relationships/hyperlink" Id="rId112" Target="https://coingape.com/pepe-coin-set-to-be-listed-on-coinbase-following-robinhood-listing/" TargetMode="External" /><Relationship Type="http://schemas.openxmlformats.org/officeDocument/2006/relationships/hyperlink" Id="rId187" Target="https://coinmarketcap.com/charts/altcoin-season-index/" TargetMode="External" /><Relationship Type="http://schemas.openxmlformats.org/officeDocument/2006/relationships/hyperlink" Id="rId136" Target="https://coinmarketcap.com/cmc-ai/just-a-chill-guy/price-analysis/" TargetMode="External" /><Relationship Type="http://schemas.openxmlformats.org/officeDocument/2006/relationships/hyperlink" Id="rId55" Target="https://coinmarketcap.com/cmc-ai/solana/latest-updates/" TargetMode="External" /><Relationship Type="http://schemas.openxmlformats.org/officeDocument/2006/relationships/hyperlink" Id="rId153" Target="https://coinmarketcap.com/cmc-ai/troll-sol/latest-updates/" TargetMode="External" /><Relationship Type="http://schemas.openxmlformats.org/officeDocument/2006/relationships/hyperlink" Id="rId109" Target="https://coinmarketcap.com/currencies/Pepe/" TargetMode="External" /><Relationship Type="http://schemas.openxmlformats.org/officeDocument/2006/relationships/hyperlink" Id="rId120" Target="https://coinmarketcap.com/top-stories/6ab4b3fa9b764f5d2ecae6ea/" TargetMode="External" /><Relationship Type="http://schemas.openxmlformats.org/officeDocument/2006/relationships/hyperlink" Id="rId101" Target="https://coinmetrics.substack.com/p/state-of-the-network-issue-384" TargetMode="External" /><Relationship Type="http://schemas.openxmlformats.org/officeDocument/2006/relationships/hyperlink" Id="rId156" Target="https://coinranking.com/coin/Gpdg_bp5Z+tungtungtungsahur-triplet" TargetMode="External" /><Relationship Type="http://schemas.openxmlformats.org/officeDocument/2006/relationships/hyperlink" Id="rId131" Target="https://coinranking.com/coin/zNZHO_Sjf+solana-sol/historical-data" TargetMode="External" /><Relationship Type="http://schemas.openxmlformats.org/officeDocument/2006/relationships/hyperlink" Id="rId38" Target="https://coinstats.app/ai/a/investment-analysis-solana" TargetMode="External" /><Relationship Type="http://schemas.openxmlformats.org/officeDocument/2006/relationships/hyperlink" Id="rId115" Target="https://cointelegraph.com/news/pepe-memecoin-flips-uniswap-market-cap" TargetMode="External" /><Relationship Type="http://schemas.openxmlformats.org/officeDocument/2006/relationships/hyperlink" Id="rId189" Target="https://crypto.news/best-memecoins-to-buy-in-october-2026-five-names-and-their-limits/" TargetMode="External" /><Relationship Type="http://schemas.openxmlformats.org/officeDocument/2006/relationships/hyperlink" Id="rId142" Target="https://crypto.news/cashcat-noxa-launchpad-outage-226-million-question/" TargetMode="External" /><Relationship Type="http://schemas.openxmlformats.org/officeDocument/2006/relationships/hyperlink" Id="rId80" Target="https://crypto.news/noxa-vanishes-after-robinhood-chains-4b-memecoin-boom/" TargetMode="External" /><Relationship Type="http://schemas.openxmlformats.org/officeDocument/2006/relationships/hyperlink" Id="rId181" Target="https://crypto.news/what-is-cashcat-robinhood-chain-memecoin/" TargetMode="External" /><Relationship Type="http://schemas.openxmlformats.org/officeDocument/2006/relationships/hyperlink" Id="rId43" Target="https://cryptobriefing.com/deribit-solana-options-september-25-expiry/" TargetMode="External" /><Relationship Type="http://schemas.openxmlformats.org/officeDocument/2006/relationships/hyperlink" Id="rId71" Target="https://cryptobriefing.com/robinhood-arbitrum-layer-2-mainnet-launch/" TargetMode="External" /><Relationship Type="http://schemas.openxmlformats.org/officeDocument/2006/relationships/hyperlink" Id="rId76" Target="https://cryptobriefing.com/robinhood-chain-memecoin-trading-surge-collapse/" TargetMode="External" /><Relationship Type="http://schemas.openxmlformats.org/officeDocument/2006/relationships/hyperlink" Id="rId73" Target="https://cryptobriefing.com/robinhood-chain-stock-tokens-15b-100-days/" TargetMode="External" /><Relationship Type="http://schemas.openxmlformats.org/officeDocument/2006/relationships/hyperlink" Id="rId97" Target="https://cryptonews.com/cryptocurrency/best-solana-meme-coins/" TargetMode="External" /><Relationship Type="http://schemas.openxmlformats.org/officeDocument/2006/relationships/hyperlink" Id="rId162" Target="https://cryptonews.com/news/wojak-meme-coin-price-analysis/" TargetMode="External" /><Relationship Type="http://schemas.openxmlformats.org/officeDocument/2006/relationships/hyperlink" Id="rId90" Target="https://cryptorank.io/news/feed/2364d-solana-based-popcat-hits-all-time-high-can-it-hit-2-next" TargetMode="External" /><Relationship Type="http://schemas.openxmlformats.org/officeDocument/2006/relationships/hyperlink" Id="rId130" Target="https://cryptorank.io/price/triplet" TargetMode="External" /><Relationship Type="http://schemas.openxmlformats.org/officeDocument/2006/relationships/hyperlink" Id="rId39" Target="https://cryptoslate.com/bitcoin-approaches-an-85000-wall-as-ethereums-26-5-billion-derivatives-market-flashes-warning-signs" TargetMode="External" /><Relationship Type="http://schemas.openxmlformats.org/officeDocument/2006/relationships/hyperlink" Id="rId72" Target="https://cryptoticker.io/en/robinhood-chain-ecosystem-end-of-free-gas/" TargetMode="External" /><Relationship Type="http://schemas.openxmlformats.org/officeDocument/2006/relationships/hyperlink" Id="rId28" Target="https://cryptoticker.io/en/robinhood-chain-memecoins-explained/" TargetMode="External" /><Relationship Type="http://schemas.openxmlformats.org/officeDocument/2006/relationships/hyperlink" Id="rId63" Target="https://cryptoticker.io/en/solana-alpenglow-mainnet-date-missed/" TargetMode="External" /><Relationship Type="http://schemas.openxmlformats.org/officeDocument/2006/relationships/hyperlink" Id="rId77" Target="https://dailyhodl.com/2026/10/12/robinhood-chain-activity-drops-over-40-as-trading-slows-post-launch" TargetMode="External" /><Relationship Type="http://schemas.openxmlformats.org/officeDocument/2006/relationships/hyperlink" Id="rId126" Target="https://dappradar.com/token/pepe/price-prediction" TargetMode="External" /><Relationship Type="http://schemas.openxmlformats.org/officeDocument/2006/relationships/hyperlink" Id="rId178" Target="https://decrypt.co/139010/liam-binance-lists-pepe-meme-coin-market-cap-hits-1-billion" TargetMode="External" /><Relationship Type="http://schemas.openxmlformats.org/officeDocument/2006/relationships/hyperlink" Id="rId150" Target="https://decrypt.co/337937/trollface-meme-creator-grants-exclusive-ip-rights-solana-token" TargetMode="External" /><Relationship Type="http://schemas.openxmlformats.org/officeDocument/2006/relationships/hyperlink" Id="rId141" Target="https://decrypt.co/377126/robinhood-chain-dex-volume-jumps" TargetMode="External" /><Relationship Type="http://schemas.openxmlformats.org/officeDocument/2006/relationships/hyperlink" Id="rId147" Target="https://dexpaprika.com/solana/pool/35TqQMeiRwEbK6FR5qiPwastuAAvo32VjnULJpxVSxUK" TargetMode="External" /><Relationship Type="http://schemas.openxmlformats.org/officeDocument/2006/relationships/hyperlink" Id="rId165" Target="https://dexscreener.com/robinhood/0xd42a491087a15e5afd51feb3606066cc152d2b09" TargetMode="External" /><Relationship Type="http://schemas.openxmlformats.org/officeDocument/2006/relationships/hyperlink" Id="rId170" Target="https://dropstab.com/coins/cash-cat" TargetMode="External" /><Relationship Type="http://schemas.openxmlformats.org/officeDocument/2006/relationships/hyperlink" Id="rId107" Target="https://empirica.io/blog/the-binance-effect-a-7-year-analysis-for-token-founders/" TargetMode="External" /><Relationship Type="http://schemas.openxmlformats.org/officeDocument/2006/relationships/hyperlink" Id="rId155" Target="https://en.wikipedia.org/wiki/Tung_Tung_Tung_Sahur" TargetMode="External" /><Relationship Type="http://schemas.openxmlformats.org/officeDocument/2006/relationships/hyperlink" Id="rId108" Target="https://etherscan.io/token/0x6982508145454ce325ddbe47a25d4ec3d2311933" TargetMode="External" /><Relationship Type="http://schemas.openxmlformats.org/officeDocument/2006/relationships/hyperlink" Id="rId176" Target="https://finance.yahoo.com/news/whales-accumulate-23-trillion-pepe-104225124.html" TargetMode="External" /><Relationship Type="http://schemas.openxmlformats.org/officeDocument/2006/relationships/hyperlink" Id="rId79" Target="https://financefeeds.com/robinhood-chain-transactions-fall-42-as-network-activity-slows-sharply/" TargetMode="External" /><Relationship Type="http://schemas.openxmlformats.org/officeDocument/2006/relationships/hyperlink" Id="rId110" Target="https://forklog.com/en/binance-lists-pepe-and-floki-in-the-innovation-zone/" TargetMode="External" /><Relationship Type="http://schemas.openxmlformats.org/officeDocument/2006/relationships/hyperlink" Id="rId50" Target="https://fortune.com/2026/09/16/fed-rate-hike-trump-kevin-warsh/" TargetMode="External" /><Relationship Type="http://schemas.openxmlformats.org/officeDocument/2006/relationships/hyperlink" Id="rId135" Target="https://fortune.com/article/price-of-ethereum-06-30-2026/" TargetMode="External" /><Relationship Type="http://schemas.openxmlformats.org/officeDocument/2006/relationships/hyperlink" Id="rId68" Target="https://fortune.com/article/price-of-ethereum-09-21-2026/" TargetMode="External" /><Relationship Type="http://schemas.openxmlformats.org/officeDocument/2006/relationships/hyperlink" Id="rId59" Target="https://fortune.com/article/price-of-ethereum-10-12-2026/" TargetMode="External" /><Relationship Type="http://schemas.openxmlformats.org/officeDocument/2006/relationships/hyperlink" Id="rId171" Target="https://guavy.com/wire/crypto/cashcat-enters-launchpad-business-with-letscash-fun-5BNGIlHyOAphjiHO0mqLL4" TargetMode="External" /><Relationship Type="http://schemas.openxmlformats.org/officeDocument/2006/relationships/hyperlink" Id="rId163" Target="https://info.arkm.com/research/top-cash-cat-holders-control-89-of-token-supply-robinhood-chain" TargetMode="External" /><Relationship Type="http://schemas.openxmlformats.org/officeDocument/2006/relationships/hyperlink" Id="rId125" Target="https://invezz.com/news/2026/09/22/pepe-price-jumps-nearly-15-as-short-squeeze-fuels-rally/" TargetMode="External" /><Relationship Type="http://schemas.openxmlformats.org/officeDocument/2006/relationships/hyperlink" Id="rId45" Target="https://kalshi.com/markets/kxsold26/sol-price-end-of-2026/kxsold26-27jan0100" TargetMode="External" /><Relationship Type="http://schemas.openxmlformats.org/officeDocument/2006/relationships/hyperlink" Id="rId46" Target="https://kalshi.com/markets/kxsolmaxy/solana-max-yearly/kxsolmaxy-27jan01" TargetMode="External" /><Relationship Type="http://schemas.openxmlformats.org/officeDocument/2006/relationships/hyperlink" Id="rId154" Target="https://madeonsol.com/token/J8PSdNP3QewKq2Z1JJJFDMaqF7KcaiJhR7gbr5KZpump" TargetMode="External" /><Relationship Type="http://schemas.openxmlformats.org/officeDocument/2006/relationships/hyperlink" Id="rId81" Target="https://memeburn.com/pons-made-124m-in-fees-in-30-days/" TargetMode="External" /><Relationship Type="http://schemas.openxmlformats.org/officeDocument/2006/relationships/hyperlink" Id="rId58" Target="https://metamask.io/price/ethereum" TargetMode="External" /><Relationship Type="http://schemas.openxmlformats.org/officeDocument/2006/relationships/hyperlink" Id="rId119" Target="https://metamask.io/price/pepe" TargetMode="External" /><Relationship Type="http://schemas.openxmlformats.org/officeDocument/2006/relationships/hyperlink" Id="rId44" Target="https://news.bitcoin.com/price-predictions/ethereum-solana-and-zcash-face-wild-year-end-price-predictions/" TargetMode="External" /><Relationship Type="http://schemas.openxmlformats.org/officeDocument/2006/relationships/hyperlink" Id="rId26" Target="https://openpr.com/news/4659888/red-uptober-or-buying-opportunity-floki-and-cash-cat-dip-as" TargetMode="External" /><Relationship Type="http://schemas.openxmlformats.org/officeDocument/2006/relationships/hyperlink" Id="rId100" Target="https://panews.io/articles/15l9pxk2" TargetMode="External" /><Relationship Type="http://schemas.openxmlformats.org/officeDocument/2006/relationships/hyperlink" Id="rId24" Target="https://phantom.com/tokens/solana/6NwarBvDkXhByqVp2Qkq5i9XbtA2B3Bwe8SWGu9vpump" TargetMode="External" /><Relationship Type="http://schemas.openxmlformats.org/officeDocument/2006/relationships/hyperlink" Id="rId173" Target="https://phemex.com/academy/what-is-cash-cat-cashcat-robinhood-chain-meme-coin" TargetMode="External" /><Relationship Type="http://schemas.openxmlformats.org/officeDocument/2006/relationships/hyperlink" Id="rId146" Target="https://phemex.com/news/article/binance-to-delist-several-perpetual-contracts-in-april-70791" TargetMode="External" /><Relationship Type="http://schemas.openxmlformats.org/officeDocument/2006/relationships/hyperlink" Id="rId137" Target="https://phemex.com/news/article/meme-coin-troll-market-cap-surpasses-120m-amid-30-surge-80495" TargetMode="External" /><Relationship Type="http://schemas.openxmlformats.org/officeDocument/2006/relationships/hyperlink" Id="rId99" Target="https://phemex.com/news/article/solana-memecoin-hold-time-plummets-to-58-seconds-in-2026-70043" TargetMode="External" /><Relationship Type="http://schemas.openxmlformats.org/officeDocument/2006/relationships/hyperlink" Id="rId49" Target="https://polymarket.com/event/solana-all-time-high-by" TargetMode="External" /><Relationship Type="http://schemas.openxmlformats.org/officeDocument/2006/relationships/hyperlink" Id="rId48" Target="https://polymarket.com/event/what-price-will-solana-hit-in-2026" TargetMode="External" /><Relationship Type="http://schemas.openxmlformats.org/officeDocument/2006/relationships/hyperlink" Id="rId47" Target="https://polymarket.com/predictions/solana" TargetMode="External" /><Relationship Type="http://schemas.openxmlformats.org/officeDocument/2006/relationships/hyperlink" Id="rId157" Target="https://pump.fun/coin/6NwarBvDkXhByqVp2Qkq5i9XbtA2B3Bwe8SWGu9vpump" TargetMode="External" /><Relationship Type="http://schemas.openxmlformats.org/officeDocument/2006/relationships/hyperlink" Id="rId56" Target="https://solanacompass.com/news/us-spot-solana-etfs-log-12-consecutive-weeks-of-net-inflows-accumulating-14b" TargetMode="External" /><Relationship Type="http://schemas.openxmlformats.org/officeDocument/2006/relationships/hyperlink" Id="rId27" Target="https://stealthex.io/blog/cash-cat-price-prediction/" TargetMode="External" /><Relationship Type="http://schemas.openxmlformats.org/officeDocument/2006/relationships/hyperlink" Id="rId172" Target="https://tangem.com/en/learning-hub/post/robinhood-memes/" TargetMode="External" /><Relationship Type="http://schemas.openxmlformats.org/officeDocument/2006/relationships/hyperlink" Id="rId69" Target="https://thecoinrepublic.com/2026/10/07/crypto-market-reacts-to-us-fomc-news-as-officials-signal-another-fed-rate-hike" TargetMode="External" /><Relationship Type="http://schemas.openxmlformats.org/officeDocument/2006/relationships/hyperlink" Id="rId74" Target="https://thedefiant.io/news/defi/robinhood-chain-overtakes-base-on-daily-active-users-three-weeks-after-launch" TargetMode="External" /><Relationship Type="http://schemas.openxmlformats.org/officeDocument/2006/relationships/hyperlink" Id="rId167" Target="https://u.today/from-019-to-008-why-viral-cashcat-token-just-suffered-60-flash-crash" TargetMode="External" /><Relationship Type="http://schemas.openxmlformats.org/officeDocument/2006/relationships/hyperlink" Id="rId180" Target="https://valour.com/en/products/valour-pepe-sek" TargetMode="External" /><Relationship Type="http://schemas.openxmlformats.org/officeDocument/2006/relationships/hyperlink" Id="rId60" Target="https://www.21shares.com/en-us/insights/solana-h1-2026-earnings-analysis" TargetMode="External" /><Relationship Type="http://schemas.openxmlformats.org/officeDocument/2006/relationships/hyperlink" Id="rId166" Target="https://www.analyticsinsight.net/news/cashcat-rebounds-to-86m-as-robinhood-chain-activity-evolves" TargetMode="External" /><Relationship Type="http://schemas.openxmlformats.org/officeDocument/2006/relationships/hyperlink" Id="rId123" Target="https://www.banklesstimes.com/articles/2025/10/29/pepe-coin-price-crash-and-the-7-1-billion-wipeout-explained/" TargetMode="External" /><Relationship Type="http://schemas.openxmlformats.org/officeDocument/2006/relationships/hyperlink" Id="rId188" Target="https://www.bitdegree.org/cryptocurrency-prices/fear-and-greed-index" TargetMode="External" /><Relationship Type="http://schemas.openxmlformats.org/officeDocument/2006/relationships/hyperlink" Id="rId98" Target="https://www.bitget.com/news/detail/12560605799325" TargetMode="External" /><Relationship Type="http://schemas.openxmlformats.org/officeDocument/2006/relationships/hyperlink" Id="rId133" Target="https://www.bybit.com/en/price/cupsey-2/" TargetMode="External" /><Relationship Type="http://schemas.openxmlformats.org/officeDocument/2006/relationships/hyperlink" Id="rId31" Target="https://www.bybit.com/en/price/pepe/" TargetMode="External" /><Relationship Type="http://schemas.openxmlformats.org/officeDocument/2006/relationships/hyperlink" Id="rId33" Target="https://www.bybit.com/en/price/solana/" TargetMode="External" /><Relationship Type="http://schemas.openxmlformats.org/officeDocument/2006/relationships/hyperlink" Id="rId20" Target="https://www.bybitglobal.com/en/price/chill-guy/" TargetMode="External" /><Relationship Type="http://schemas.openxmlformats.org/officeDocument/2006/relationships/hyperlink" Id="rId138" Target="https://www.ccn.com/analysis/crypto/troll-price-surges-solana-memecoin-breakout-2026-analysis-prediction/" TargetMode="External" /><Relationship Type="http://schemas.openxmlformats.org/officeDocument/2006/relationships/hyperlink" Id="rId52" Target="https://www.cnbc.com/2026/09/15/senate-cloture-vote-on-clarity-act-fails-dealing-regulatory-setback-to-crypto-industry.html" TargetMode="External" /><Relationship Type="http://schemas.openxmlformats.org/officeDocument/2006/relationships/hyperlink" Id="rId51" Target="https://www.cnbc.com/2026/09/18/three-words-from-kevin-warsh-have-wall-street-wondering-how-far-the-fed-will-go-with-rate-hikes.html" TargetMode="External" /><Relationship Type="http://schemas.openxmlformats.org/officeDocument/2006/relationships/hyperlink" Id="rId29" Target="https://www.coinbase.com/price/pepe" TargetMode="External" /><Relationship Type="http://schemas.openxmlformats.org/officeDocument/2006/relationships/hyperlink" Id="rId37" Target="https://www.coinbase.com/price/solana" TargetMode="External" /><Relationship Type="http://schemas.openxmlformats.org/officeDocument/2006/relationships/hyperlink" Id="rId21" Target="https://www.coinbase.com/price/solana-chill-house-pump" TargetMode="External" /><Relationship Type="http://schemas.openxmlformats.org/officeDocument/2006/relationships/hyperlink" Id="rId22" Target="https://www.coinbase.com/price/solana-troll-hgh2" TargetMode="External" /><Relationship Type="http://schemas.openxmlformats.org/officeDocument/2006/relationships/hyperlink" Id="rId104" Target="https://www.coindesk.com/business/2025/05/07/98-of-tokens-on-pump-fun-have-been-rug-pulls-or-an-act-of-fraud-new-report-says" TargetMode="External" /><Relationship Type="http://schemas.openxmlformats.org/officeDocument/2006/relationships/hyperlink" Id="rId53" Target="https://www.coindesk.com/business/2026/09/15/live-updates-bitcoin-slides-from-nearly-usd80-000-as-senate-votes-on-clarity-act" TargetMode="External" /><Relationship Type="http://schemas.openxmlformats.org/officeDocument/2006/relationships/hyperlink" Id="rId54" Target="https://www.coindesk.com/daybook-us/2026/10/08/bitcoin-etf-investors-head-for-the-exit-and-it-s-the-biggest-rush-in-months" TargetMode="External" /><Relationship Type="http://schemas.openxmlformats.org/officeDocument/2006/relationships/hyperlink" Id="rId111" Target="https://www.coindesk.com/markets/2024/04/11/pepe-coin-spikes-on-coinbase-international-plan-to-list-perpetual-futures" TargetMode="External" /><Relationship Type="http://schemas.openxmlformats.org/officeDocument/2006/relationships/hyperlink" Id="rId64" Target="https://www.coindesk.com/markets/2026/02/03/this-analyst-expects-solana-to-reach-usd2-000-by-2030-despite-cutting-his-2026-target" TargetMode="External" /><Relationship Type="http://schemas.openxmlformats.org/officeDocument/2006/relationships/hyperlink" Id="rId65" Target="https://www.coindesk.com/markets/2026/02/12/standard-chartered-sees-bitcoin-sliding-to-usd50-000-ether-to-usd1-400-before-recovery" TargetMode="External" /><Relationship Type="http://schemas.openxmlformats.org/officeDocument/2006/relationships/hyperlink" Id="rId139" Target="https://www.coindesk.com/markets/2026/08/05/cashcat-jumps-120-in-a-week-as-robinhood-chain-tvl-hits-usd774-million" TargetMode="External" /><Relationship Type="http://schemas.openxmlformats.org/officeDocument/2006/relationships/hyperlink" Id="rId35" Target="https://www.coindesk.com/price/solana" TargetMode="External" /><Relationship Type="http://schemas.openxmlformats.org/officeDocument/2006/relationships/hyperlink" Id="rId151" Target="https://www.coingabbar.com/en/crypto-currency-news/coinbase-listing-announcement-today-cfg-troll-token" TargetMode="External" /><Relationship Type="http://schemas.openxmlformats.org/officeDocument/2006/relationships/hyperlink" Id="rId175" Target="https://www.coingabbar.com/en/pepe-price-prediction-2026-pepe-eyes-major-breakout" TargetMode="External" /><Relationship Type="http://schemas.openxmlformats.org/officeDocument/2006/relationships/hyperlink" Id="rId134" Target="https://www.coingecko.com/en/coins/wojak-5" TargetMode="External" /><Relationship Type="http://schemas.openxmlformats.org/officeDocument/2006/relationships/hyperlink" Id="rId105" Target="https://www.coingecko.com/research/publications/state-of-memecoins-2025" TargetMode="External" /><Relationship Type="http://schemas.openxmlformats.org/officeDocument/2006/relationships/hyperlink" Id="rId122" Target="https://www.coinlore.com/coin/pepe" TargetMode="External" /><Relationship Type="http://schemas.openxmlformats.org/officeDocument/2006/relationships/hyperlink" Id="rId41" Target="https://www.coinlore.com/coin/solana/historical-data" TargetMode="External" /><Relationship Type="http://schemas.openxmlformats.org/officeDocument/2006/relationships/hyperlink" Id="rId66" Target="https://www.cryptotimes.io/2026/09/19/solana-sol-price-prediction-2026-2027-2030-will-it-hit-300-high/" TargetMode="External" /><Relationship Type="http://schemas.openxmlformats.org/officeDocument/2006/relationships/hyperlink" Id="rId95" Target="https://www.cryptotimes.io/insights/trending-solana-memecoins/" TargetMode="External" /><Relationship Type="http://schemas.openxmlformats.org/officeDocument/2006/relationships/hyperlink" Id="rId75" Target="https://www.cryptowisser.com/news/robinhood-chain-s-daily-fees-crash-97-to-230k-usage-holds-steady/" TargetMode="External" /><Relationship Type="http://schemas.openxmlformats.org/officeDocument/2006/relationships/hyperlink" Id="rId174" Target="https://www.datawallet.com/crypto/what-is-pepe-coin" TargetMode="External" /><Relationship Type="http://schemas.openxmlformats.org/officeDocument/2006/relationships/hyperlink" Id="rId40" Target="https://www.derivasys.com/reports/sol/2026-10-03" TargetMode="External" /><Relationship Type="http://schemas.openxmlformats.org/officeDocument/2006/relationships/hyperlink" Id="rId106" Target="https://www.fool.com/investing/2026/04/19/shiba-inu-vs-dogecoin-which-meme-coin-is-the-less/" TargetMode="External" /><Relationship Type="http://schemas.openxmlformats.org/officeDocument/2006/relationships/hyperlink" Id="rId91" Target="https://www.fxempire.com/forecasts/article/solana-memecoins-to-watch-in-the-week-ahead-popcat-wif-bonk-price-analysis-1466503" TargetMode="External" /><Relationship Type="http://schemas.openxmlformats.org/officeDocument/2006/relationships/hyperlink" Id="rId114" Target="https://www.fxstreet.com/cryptocurrencies/news/pepe-price-forecast-pepe-sustains-mild-recovery-on-firm-retail-support-202610020311" TargetMode="External" /><Relationship Type="http://schemas.openxmlformats.org/officeDocument/2006/relationships/hyperlink" Id="rId164" Target="https://www.geckoterminal.com/robinhood/pools/0xd42a491087a15e5afd51feb3606066cc152d2b09" TargetMode="External" /><Relationship Type="http://schemas.openxmlformats.org/officeDocument/2006/relationships/hyperlink" Id="rId144" Target="https://www.geckoterminal.com/solana/pools/93tjgwff5Ac5ThyMi8C4WejVVQq4tuMeMuYW1LEYZ7bu" TargetMode="External" /><Relationship Type="http://schemas.openxmlformats.org/officeDocument/2006/relationships/hyperlink" Id="rId34" Target="https://www.investing.com/crypto/solana/historical-data" TargetMode="External" /><Relationship Type="http://schemas.openxmlformats.org/officeDocument/2006/relationships/hyperlink" Id="rId124" Target="https://www.kaiko.com/resources/pepe-plunges-as-founders-sell" TargetMode="External" /><Relationship Type="http://schemas.openxmlformats.org/officeDocument/2006/relationships/hyperlink" Id="rId149" Target="https://www.kraken.com/en-ca/sell/chillhouse" TargetMode="External" /><Relationship Type="http://schemas.openxmlformats.org/officeDocument/2006/relationships/hyperlink" Id="rId179" Target="https://www.kraken.com/features/futures/pepe" TargetMode="External" /><Relationship Type="http://schemas.openxmlformats.org/officeDocument/2006/relationships/hyperlink" Id="rId30" Target="https://www.kraken.com/prices/pepe" TargetMode="External" /><Relationship Type="http://schemas.openxmlformats.org/officeDocument/2006/relationships/hyperlink" Id="rId25" Target="https://www.kraken.com/prices/wojak" TargetMode="External" /><Relationship Type="http://schemas.openxmlformats.org/officeDocument/2006/relationships/hyperlink" Id="rId117" Target="https://www.kucoin.com/news/flash/bitcoin-and-ethereum-surge-1-44b-short-squeeze-shakes-crypto-market" TargetMode="External" /><Relationship Type="http://schemas.openxmlformats.org/officeDocument/2006/relationships/hyperlink" Id="rId102" Target="https://www.kucoin.com/news/flash/coin-metrics-study-81-of-solana-memecoins-drop-90-from-peak" TargetMode="External" /><Relationship Type="http://schemas.openxmlformats.org/officeDocument/2006/relationships/hyperlink" Id="rId78" Target="https://www.kucoin.com/news/flash/robinhood-chain-ends-free-gas-subsidy-in-late-september-memecoins-face-stress-test" TargetMode="External" /><Relationship Type="http://schemas.openxmlformats.org/officeDocument/2006/relationships/hyperlink" Id="rId86" Target="https://www.marketbeat.com/instant-alerts/analyst-robinhood-markets-nasdaq-hood-given-new-13400-price-target-at-truist-financial-2026-10-13/" TargetMode="External" /><Relationship Type="http://schemas.openxmlformats.org/officeDocument/2006/relationships/hyperlink" Id="rId85" Target="https://www.marketbeat.com/instant-alerts/analyst-robinhood-markets-nasdaq-hood-stock-rating-upgraded-by-evercore-2026-10-13/" TargetMode="External" /><Relationship Type="http://schemas.openxmlformats.org/officeDocument/2006/relationships/hyperlink" Id="rId116" Target="https://www.mexc.com/learn/article/will-ethereum-price-recover-after-a-60-drop-eth-price-prediction-for-june-2026/1" TargetMode="External" /><Relationship Type="http://schemas.openxmlformats.org/officeDocument/2006/relationships/hyperlink" Id="rId121" Target="https://www.mexc.com/news/129400" TargetMode="External" /><Relationship Type="http://schemas.openxmlformats.org/officeDocument/2006/relationships/hyperlink" Id="rId148" Target="https://www.mexc.com/news/145606" TargetMode="External" /><Relationship Type="http://schemas.openxmlformats.org/officeDocument/2006/relationships/hyperlink" Id="rId127" Target="https://www.mexc.com/news/692254" TargetMode="External" /><Relationship Type="http://schemas.openxmlformats.org/officeDocument/2006/relationships/hyperlink" Id="rId93" Target="https://www.mitrade.com/insights/news/live-news/article-3-1026040-20250809" TargetMode="External" /><Relationship Type="http://schemas.openxmlformats.org/officeDocument/2006/relationships/hyperlink" Id="rId185" Target="https://www.morningstar.com/economy/warsh-pounds-table-inflation-fight-we-see-rate-cuts-2027" TargetMode="External" /><Relationship Type="http://schemas.openxmlformats.org/officeDocument/2006/relationships/hyperlink" Id="rId23" Target="https://www.okx.com/en-us/price/tung-tung-tung-sahur-triplet" TargetMode="External" /><Relationship Type="http://schemas.openxmlformats.org/officeDocument/2006/relationships/hyperlink" Id="rId158" Target="https://www.pcrisk.com/removal-guides/34793-cupsey-airdrop-scam" TargetMode="External" /><Relationship Type="http://schemas.openxmlformats.org/officeDocument/2006/relationships/hyperlink" Id="rId84" Target="https://www.quillaudits.com/blog/blockchain/robinhood-chain-security-risks-attack-vectors" TargetMode="External" /><Relationship Type="http://schemas.openxmlformats.org/officeDocument/2006/relationships/hyperlink" Id="rId94" Target="https://www.researchgate.net/publication/401094962_An_Empirical_Analysis_of_Meme_Coin_Performance_2025-2026" TargetMode="External" /><Relationship Type="http://schemas.openxmlformats.org/officeDocument/2006/relationships/hyperlink" Id="rId113" Target="https://www.sec.gov/Archives/edgar/data/0002109686/000199937126022017/canarypepe-s1a_100226.htm" TargetMode="External" /><Relationship Type="http://schemas.openxmlformats.org/officeDocument/2006/relationships/hyperlink" Id="rId103" Target="https://www.techflowpost.com/en-US/article/34400" TargetMode="External" /><Relationship Type="http://schemas.openxmlformats.org/officeDocument/2006/relationships/hyperlink" Id="rId177" Target="https://www.theblock.co/news/ecosystems/2023-08-26-pepe-team-members-stole-15-million-from-multisig-247576" TargetMode="External" /><Relationship Type="http://schemas.openxmlformats.org/officeDocument/2006/relationships/hyperlink" Id="rId62" Target="https://www.theblock.co/news/markets/2026-09-17-grayscales-pandl-still-sees-bitcoins-58k-low-as-the-bottom-gives-clients-green-light-415346" TargetMode="External" /><Relationship Type="http://schemas.openxmlformats.org/officeDocument/2006/relationships/hyperlink" Id="rId145" Target="https://www.theblock.co/post/327554/just-a-chill-guy-legal" TargetMode="External" /><Relationship Type="http://schemas.openxmlformats.org/officeDocument/2006/relationships/hyperlink" Id="rId61" Target="https://www.theblock.co/treasuries/upxi" TargetMode="External" /><Relationship Type="http://schemas.openxmlformats.org/officeDocument/2006/relationships/hyperlink" Id="rId118" Target="https://www.thestreet.com/crypto/markets/pepe-surges-22-leading-bitcoin-dogecoin-xrp-?.tsrc=rss" TargetMode="External" /><Relationship Type="http://schemas.openxmlformats.org/officeDocument/2006/relationships/hyperlink" Id="rId36" Target="https://www.tokenpost.com/news/investing/28354" TargetMode="External" /><Relationship Type="http://schemas.openxmlformats.org/officeDocument/2006/relationships/hyperlink" Id="rId161" Target="https://www.tradingview.com/news/coinmarketcal:91c0a2240094b:0-wojak-wojak-migration-burn-complete-23-april-2026/" TargetMode="External" /><Relationship Type="http://schemas.openxmlformats.org/officeDocument/2006/relationships/hyperlink" Id="rId132" Target="https://www.tradingview.com/symbols/CUPSEY1USDT/" TargetMode="External" /><Relationship Type="http://schemas.openxmlformats.org/officeDocument/2006/relationships/hyperlink" Id="rId160" Target="https://www.wojakcto.com/whitepaper" TargetMode="External" /><Relationship Type="http://schemas.openxmlformats.org/officeDocument/2006/relationships/hyperlink" Id="rId152" Target="https://x.com/BinanceUS/status/2014162094116180093" TargetMode="External" /><Relationship Type="http://schemas.openxmlformats.org/officeDocument/2006/relationships/hyperlink" Id="rId169" Target="https://x.com/BinanceWallet/status/2097320356025680299" TargetMode="External" /><Relationship Type="http://schemas.openxmlformats.org/officeDocument/2006/relationships/hyperlink" Id="rId168" Target="https://x.com/kucoincom/status/2077222290975293635" TargetMode="External" /></Relationships>
</file>

<file path=word/_rels/footnotes.xml.rels><?xml version="1.0" encoding="UTF-8"?><Relationships xmlns="http://schemas.openxmlformats.org/package/2006/relationships"><Relationship Type="http://schemas.openxmlformats.org/officeDocument/2006/relationships/hyperlink" Id="rId143" Target="https://ambcrypto.com/cashcats-bearish-week-3-reasons-why-the-meme-token-lost-21/" TargetMode="External" /><Relationship Type="http://schemas.openxmlformats.org/officeDocument/2006/relationships/hyperlink" Id="rId82" Target="https://ambcrypto.com/pons-falls-71-from-ath-as-robinhood-chain-activity-fades-wheres-the-floor/" TargetMode="External" /><Relationship Type="http://schemas.openxmlformats.org/officeDocument/2006/relationships/hyperlink" Id="rId186" Target="https://ambcrypto.com/why-galaxy-research-believes-this-level-could-end-bitcoins-bear-market/" TargetMode="External" /><Relationship Type="http://schemas.openxmlformats.org/officeDocument/2006/relationships/hyperlink" Id="rId140" Target="https://beincrypto.com/cashcat-robinhood-listing-100-percent-rally/" TargetMode="External" /><Relationship Type="http://schemas.openxmlformats.org/officeDocument/2006/relationships/hyperlink" Id="rId89" Target="https://blockonomi.com/bonk-price-reaches-all-time-high-dominates-solana-ecosystem-with-175-november-gains/" TargetMode="External" /><Relationship Type="http://schemas.openxmlformats.org/officeDocument/2006/relationships/hyperlink" Id="rId159" Target="https://blog.kraken.com/product/asset-listings/wojak-is-available-for-trading" TargetMode="External" /><Relationship Type="http://schemas.openxmlformats.org/officeDocument/2006/relationships/hyperlink" Id="rId92" Target="https://changelly.com/blog/top-10-solana-memecoins-for-the-2025-bull-run/" TargetMode="External" /><Relationship Type="http://schemas.openxmlformats.org/officeDocument/2006/relationships/hyperlink" Id="rId83" Target="https://coinalertnews.com/news/2026/09/30/robinhood-chain-rugpull-volume-slide" TargetMode="External" /><Relationship Type="http://schemas.openxmlformats.org/officeDocument/2006/relationships/hyperlink" Id="rId96" Target="https://coindcx.com/blog/crypto-highlights/best-solana-meme-coins/" TargetMode="External" /><Relationship Type="http://schemas.openxmlformats.org/officeDocument/2006/relationships/hyperlink" Id="rId57" Target="https://coindcx.com/blog/price-predictions/ethereum-price-prediction" TargetMode="External" /><Relationship Type="http://schemas.openxmlformats.org/officeDocument/2006/relationships/hyperlink" Id="rId67" Target="https://coingape.com/markets/bitwise-predicts-solana-price-will-hit-new-all-time-highs-in-2026/" TargetMode="External" /><Relationship Type="http://schemas.openxmlformats.org/officeDocument/2006/relationships/hyperlink" Id="rId190" Target="https://coingape.com/markets/pepe-coin-price-enters-2026-with-a-25-surge-as-open-interest-jumps-82-whats-next/" TargetMode="External" /><Relationship Type="http://schemas.openxmlformats.org/officeDocument/2006/relationships/hyperlink" Id="rId42" Target="https://coingape.com/markets/solana-price-outlook-eyes-130-as-open-interest-climbs-to-7-24b/" TargetMode="External" /><Relationship Type="http://schemas.openxmlformats.org/officeDocument/2006/relationships/hyperlink" Id="rId112" Target="https://coingape.com/pepe-coin-set-to-be-listed-on-coinbase-following-robinhood-listing/" TargetMode="External" /><Relationship Type="http://schemas.openxmlformats.org/officeDocument/2006/relationships/hyperlink" Id="rId187" Target="https://coinmarketcap.com/charts/altcoin-season-index/" TargetMode="External" /><Relationship Type="http://schemas.openxmlformats.org/officeDocument/2006/relationships/hyperlink" Id="rId136" Target="https://coinmarketcap.com/cmc-ai/just-a-chill-guy/price-analysis/" TargetMode="External" /><Relationship Type="http://schemas.openxmlformats.org/officeDocument/2006/relationships/hyperlink" Id="rId55" Target="https://coinmarketcap.com/cmc-ai/solana/latest-updates/" TargetMode="External" /><Relationship Type="http://schemas.openxmlformats.org/officeDocument/2006/relationships/hyperlink" Id="rId153" Target="https://coinmarketcap.com/cmc-ai/troll-sol/latest-updates/" TargetMode="External" /><Relationship Type="http://schemas.openxmlformats.org/officeDocument/2006/relationships/hyperlink" Id="rId109" Target="https://coinmarketcap.com/currencies/Pepe/" TargetMode="External" /><Relationship Type="http://schemas.openxmlformats.org/officeDocument/2006/relationships/hyperlink" Id="rId120" Target="https://coinmarketcap.com/top-stories/6ab4b3fa9b764f5d2ecae6ea/" TargetMode="External" /><Relationship Type="http://schemas.openxmlformats.org/officeDocument/2006/relationships/hyperlink" Id="rId101" Target="https://coinmetrics.substack.com/p/state-of-the-network-issue-384" TargetMode="External" /><Relationship Type="http://schemas.openxmlformats.org/officeDocument/2006/relationships/hyperlink" Id="rId156" Target="https://coinranking.com/coin/Gpdg_bp5Z+tungtungtungsahur-triplet" TargetMode="External" /><Relationship Type="http://schemas.openxmlformats.org/officeDocument/2006/relationships/hyperlink" Id="rId131" Target="https://coinranking.com/coin/zNZHO_Sjf+solana-sol/historical-data" TargetMode="External" /><Relationship Type="http://schemas.openxmlformats.org/officeDocument/2006/relationships/hyperlink" Id="rId38" Target="https://coinstats.app/ai/a/investment-analysis-solana" TargetMode="External" /><Relationship Type="http://schemas.openxmlformats.org/officeDocument/2006/relationships/hyperlink" Id="rId115" Target="https://cointelegraph.com/news/pepe-memecoin-flips-uniswap-market-cap" TargetMode="External" /><Relationship Type="http://schemas.openxmlformats.org/officeDocument/2006/relationships/hyperlink" Id="rId189" Target="https://crypto.news/best-memecoins-to-buy-in-october-2026-five-names-and-their-limits/" TargetMode="External" /><Relationship Type="http://schemas.openxmlformats.org/officeDocument/2006/relationships/hyperlink" Id="rId142" Target="https://crypto.news/cashcat-noxa-launchpad-outage-226-million-question/" TargetMode="External" /><Relationship Type="http://schemas.openxmlformats.org/officeDocument/2006/relationships/hyperlink" Id="rId80" Target="https://crypto.news/noxa-vanishes-after-robinhood-chains-4b-memecoin-boom/" TargetMode="External" /><Relationship Type="http://schemas.openxmlformats.org/officeDocument/2006/relationships/hyperlink" Id="rId181" Target="https://crypto.news/what-is-cashcat-robinhood-chain-memecoin/" TargetMode="External" /><Relationship Type="http://schemas.openxmlformats.org/officeDocument/2006/relationships/hyperlink" Id="rId43" Target="https://cryptobriefing.com/deribit-solana-options-september-25-expiry/" TargetMode="External" /><Relationship Type="http://schemas.openxmlformats.org/officeDocument/2006/relationships/hyperlink" Id="rId71" Target="https://cryptobriefing.com/robinhood-arbitrum-layer-2-mainnet-launch/" TargetMode="External" /><Relationship Type="http://schemas.openxmlformats.org/officeDocument/2006/relationships/hyperlink" Id="rId76" Target="https://cryptobriefing.com/robinhood-chain-memecoin-trading-surge-collapse/" TargetMode="External" /><Relationship Type="http://schemas.openxmlformats.org/officeDocument/2006/relationships/hyperlink" Id="rId73" Target="https://cryptobriefing.com/robinhood-chain-stock-tokens-15b-100-days/" TargetMode="External" /><Relationship Type="http://schemas.openxmlformats.org/officeDocument/2006/relationships/hyperlink" Id="rId97" Target="https://cryptonews.com/cryptocurrency/best-solana-meme-coins/" TargetMode="External" /><Relationship Type="http://schemas.openxmlformats.org/officeDocument/2006/relationships/hyperlink" Id="rId162" Target="https://cryptonews.com/news/wojak-meme-coin-price-analysis/" TargetMode="External" /><Relationship Type="http://schemas.openxmlformats.org/officeDocument/2006/relationships/hyperlink" Id="rId90" Target="https://cryptorank.io/news/feed/2364d-solana-based-popcat-hits-all-time-high-can-it-hit-2-next" TargetMode="External" /><Relationship Type="http://schemas.openxmlformats.org/officeDocument/2006/relationships/hyperlink" Id="rId130" Target="https://cryptorank.io/price/triplet" TargetMode="External" /><Relationship Type="http://schemas.openxmlformats.org/officeDocument/2006/relationships/hyperlink" Id="rId39" Target="https://cryptoslate.com/bitcoin-approaches-an-85000-wall-as-ethereums-26-5-billion-derivatives-market-flashes-warning-signs" TargetMode="External" /><Relationship Type="http://schemas.openxmlformats.org/officeDocument/2006/relationships/hyperlink" Id="rId72" Target="https://cryptoticker.io/en/robinhood-chain-ecosystem-end-of-free-gas/" TargetMode="External" /><Relationship Type="http://schemas.openxmlformats.org/officeDocument/2006/relationships/hyperlink" Id="rId28" Target="https://cryptoticker.io/en/robinhood-chain-memecoins-explained/" TargetMode="External" /><Relationship Type="http://schemas.openxmlformats.org/officeDocument/2006/relationships/hyperlink" Id="rId63" Target="https://cryptoticker.io/en/solana-alpenglow-mainnet-date-missed/" TargetMode="External" /><Relationship Type="http://schemas.openxmlformats.org/officeDocument/2006/relationships/hyperlink" Id="rId77" Target="https://dailyhodl.com/2026/10/12/robinhood-chain-activity-drops-over-40-as-trading-slows-post-launch" TargetMode="External" /><Relationship Type="http://schemas.openxmlformats.org/officeDocument/2006/relationships/hyperlink" Id="rId126" Target="https://dappradar.com/token/pepe/price-prediction" TargetMode="External" /><Relationship Type="http://schemas.openxmlformats.org/officeDocument/2006/relationships/hyperlink" Id="rId178" Target="https://decrypt.co/139010/liam-binance-lists-pepe-meme-coin-market-cap-hits-1-billion" TargetMode="External" /><Relationship Type="http://schemas.openxmlformats.org/officeDocument/2006/relationships/hyperlink" Id="rId150" Target="https://decrypt.co/337937/trollface-meme-creator-grants-exclusive-ip-rights-solana-token" TargetMode="External" /><Relationship Type="http://schemas.openxmlformats.org/officeDocument/2006/relationships/hyperlink" Id="rId141" Target="https://decrypt.co/377126/robinhood-chain-dex-volume-jumps" TargetMode="External" /><Relationship Type="http://schemas.openxmlformats.org/officeDocument/2006/relationships/hyperlink" Id="rId147" Target="https://dexpaprika.com/solana/pool/35TqQMeiRwEbK6FR5qiPwastuAAvo32VjnULJpxVSxUK" TargetMode="External" /><Relationship Type="http://schemas.openxmlformats.org/officeDocument/2006/relationships/hyperlink" Id="rId165" Target="https://dexscreener.com/robinhood/0xd42a491087a15e5afd51feb3606066cc152d2b09" TargetMode="External" /><Relationship Type="http://schemas.openxmlformats.org/officeDocument/2006/relationships/hyperlink" Id="rId170" Target="https://dropstab.com/coins/cash-cat" TargetMode="External" /><Relationship Type="http://schemas.openxmlformats.org/officeDocument/2006/relationships/hyperlink" Id="rId107" Target="https://empirica.io/blog/the-binance-effect-a-7-year-analysis-for-token-founders/" TargetMode="External" /><Relationship Type="http://schemas.openxmlformats.org/officeDocument/2006/relationships/hyperlink" Id="rId155" Target="https://en.wikipedia.org/wiki/Tung_Tung_Tung_Sahur" TargetMode="External" /><Relationship Type="http://schemas.openxmlformats.org/officeDocument/2006/relationships/hyperlink" Id="rId108" Target="https://etherscan.io/token/0x6982508145454ce325ddbe47a25d4ec3d2311933" TargetMode="External" /><Relationship Type="http://schemas.openxmlformats.org/officeDocument/2006/relationships/hyperlink" Id="rId176" Target="https://finance.yahoo.com/news/whales-accumulate-23-trillion-pepe-104225124.html" TargetMode="External" /><Relationship Type="http://schemas.openxmlformats.org/officeDocument/2006/relationships/hyperlink" Id="rId79" Target="https://financefeeds.com/robinhood-chain-transactions-fall-42-as-network-activity-slows-sharply/" TargetMode="External" /><Relationship Type="http://schemas.openxmlformats.org/officeDocument/2006/relationships/hyperlink" Id="rId110" Target="https://forklog.com/en/binance-lists-pepe-and-floki-in-the-innovation-zone/" TargetMode="External" /><Relationship Type="http://schemas.openxmlformats.org/officeDocument/2006/relationships/hyperlink" Id="rId50" Target="https://fortune.com/2026/09/16/fed-rate-hike-trump-kevin-warsh/" TargetMode="External" /><Relationship Type="http://schemas.openxmlformats.org/officeDocument/2006/relationships/hyperlink" Id="rId135" Target="https://fortune.com/article/price-of-ethereum-06-30-2026/" TargetMode="External" /><Relationship Type="http://schemas.openxmlformats.org/officeDocument/2006/relationships/hyperlink" Id="rId68" Target="https://fortune.com/article/price-of-ethereum-09-21-2026/" TargetMode="External" /><Relationship Type="http://schemas.openxmlformats.org/officeDocument/2006/relationships/hyperlink" Id="rId59" Target="https://fortune.com/article/price-of-ethereum-10-12-2026/" TargetMode="External" /><Relationship Type="http://schemas.openxmlformats.org/officeDocument/2006/relationships/hyperlink" Id="rId171" Target="https://guavy.com/wire/crypto/cashcat-enters-launchpad-business-with-letscash-fun-5BNGIlHyOAphjiHO0mqLL4" TargetMode="External" /><Relationship Type="http://schemas.openxmlformats.org/officeDocument/2006/relationships/hyperlink" Id="rId163" Target="https://info.arkm.com/research/top-cash-cat-holders-control-89-of-token-supply-robinhood-chain" TargetMode="External" /><Relationship Type="http://schemas.openxmlformats.org/officeDocument/2006/relationships/hyperlink" Id="rId125" Target="https://invezz.com/news/2026/09/22/pepe-price-jumps-nearly-15-as-short-squeeze-fuels-rally/" TargetMode="External" /><Relationship Type="http://schemas.openxmlformats.org/officeDocument/2006/relationships/hyperlink" Id="rId45" Target="https://kalshi.com/markets/kxsold26/sol-price-end-of-2026/kxsold26-27jan0100" TargetMode="External" /><Relationship Type="http://schemas.openxmlformats.org/officeDocument/2006/relationships/hyperlink" Id="rId46" Target="https://kalshi.com/markets/kxsolmaxy/solana-max-yearly/kxsolmaxy-27jan01" TargetMode="External" /><Relationship Type="http://schemas.openxmlformats.org/officeDocument/2006/relationships/hyperlink" Id="rId154" Target="https://madeonsol.com/token/J8PSdNP3QewKq2Z1JJJFDMaqF7KcaiJhR7gbr5KZpump" TargetMode="External" /><Relationship Type="http://schemas.openxmlformats.org/officeDocument/2006/relationships/hyperlink" Id="rId81" Target="https://memeburn.com/pons-made-124m-in-fees-in-30-days/" TargetMode="External" /><Relationship Type="http://schemas.openxmlformats.org/officeDocument/2006/relationships/hyperlink" Id="rId58" Target="https://metamask.io/price/ethereum" TargetMode="External" /><Relationship Type="http://schemas.openxmlformats.org/officeDocument/2006/relationships/hyperlink" Id="rId119" Target="https://metamask.io/price/pepe" TargetMode="External" /><Relationship Type="http://schemas.openxmlformats.org/officeDocument/2006/relationships/hyperlink" Id="rId44" Target="https://news.bitcoin.com/price-predictions/ethereum-solana-and-zcash-face-wild-year-end-price-predictions/" TargetMode="External" /><Relationship Type="http://schemas.openxmlformats.org/officeDocument/2006/relationships/hyperlink" Id="rId26" Target="https://openpr.com/news/4659888/red-uptober-or-buying-opportunity-floki-and-cash-cat-dip-as" TargetMode="External" /><Relationship Type="http://schemas.openxmlformats.org/officeDocument/2006/relationships/hyperlink" Id="rId100" Target="https://panews.io/articles/15l9pxk2" TargetMode="External" /><Relationship Type="http://schemas.openxmlformats.org/officeDocument/2006/relationships/hyperlink" Id="rId24" Target="https://phantom.com/tokens/solana/6NwarBvDkXhByqVp2Qkq5i9XbtA2B3Bwe8SWGu9vpump" TargetMode="External" /><Relationship Type="http://schemas.openxmlformats.org/officeDocument/2006/relationships/hyperlink" Id="rId173" Target="https://phemex.com/academy/what-is-cash-cat-cashcat-robinhood-chain-meme-coin" TargetMode="External" /><Relationship Type="http://schemas.openxmlformats.org/officeDocument/2006/relationships/hyperlink" Id="rId146" Target="https://phemex.com/news/article/binance-to-delist-several-perpetual-contracts-in-april-70791" TargetMode="External" /><Relationship Type="http://schemas.openxmlformats.org/officeDocument/2006/relationships/hyperlink" Id="rId137" Target="https://phemex.com/news/article/meme-coin-troll-market-cap-surpasses-120m-amid-30-surge-80495" TargetMode="External" /><Relationship Type="http://schemas.openxmlformats.org/officeDocument/2006/relationships/hyperlink" Id="rId99" Target="https://phemex.com/news/article/solana-memecoin-hold-time-plummets-to-58-seconds-in-2026-70043" TargetMode="External" /><Relationship Type="http://schemas.openxmlformats.org/officeDocument/2006/relationships/hyperlink" Id="rId49" Target="https://polymarket.com/event/solana-all-time-high-by" TargetMode="External" /><Relationship Type="http://schemas.openxmlformats.org/officeDocument/2006/relationships/hyperlink" Id="rId48" Target="https://polymarket.com/event/what-price-will-solana-hit-in-2026" TargetMode="External" /><Relationship Type="http://schemas.openxmlformats.org/officeDocument/2006/relationships/hyperlink" Id="rId47" Target="https://polymarket.com/predictions/solana" TargetMode="External" /><Relationship Type="http://schemas.openxmlformats.org/officeDocument/2006/relationships/hyperlink" Id="rId157" Target="https://pump.fun/coin/6NwarBvDkXhByqVp2Qkq5i9XbtA2B3Bwe8SWGu9vpump" TargetMode="External" /><Relationship Type="http://schemas.openxmlformats.org/officeDocument/2006/relationships/hyperlink" Id="rId56" Target="https://solanacompass.com/news/us-spot-solana-etfs-log-12-consecutive-weeks-of-net-inflows-accumulating-14b" TargetMode="External" /><Relationship Type="http://schemas.openxmlformats.org/officeDocument/2006/relationships/hyperlink" Id="rId27" Target="https://stealthex.io/blog/cash-cat-price-prediction/" TargetMode="External" /><Relationship Type="http://schemas.openxmlformats.org/officeDocument/2006/relationships/hyperlink" Id="rId172" Target="https://tangem.com/en/learning-hub/post/robinhood-memes/" TargetMode="External" /><Relationship Type="http://schemas.openxmlformats.org/officeDocument/2006/relationships/hyperlink" Id="rId69" Target="https://thecoinrepublic.com/2026/10/07/crypto-market-reacts-to-us-fomc-news-as-officials-signal-another-fed-rate-hike" TargetMode="External" /><Relationship Type="http://schemas.openxmlformats.org/officeDocument/2006/relationships/hyperlink" Id="rId74" Target="https://thedefiant.io/news/defi/robinhood-chain-overtakes-base-on-daily-active-users-three-weeks-after-launch" TargetMode="External" /><Relationship Type="http://schemas.openxmlformats.org/officeDocument/2006/relationships/hyperlink" Id="rId167" Target="https://u.today/from-019-to-008-why-viral-cashcat-token-just-suffered-60-flash-crash" TargetMode="External" /><Relationship Type="http://schemas.openxmlformats.org/officeDocument/2006/relationships/hyperlink" Id="rId180" Target="https://valour.com/en/products/valour-pepe-sek" TargetMode="External" /><Relationship Type="http://schemas.openxmlformats.org/officeDocument/2006/relationships/hyperlink" Id="rId60" Target="https://www.21shares.com/en-us/insights/solana-h1-2026-earnings-analysis" TargetMode="External" /><Relationship Type="http://schemas.openxmlformats.org/officeDocument/2006/relationships/hyperlink" Id="rId166" Target="https://www.analyticsinsight.net/news/cashcat-rebounds-to-86m-as-robinhood-chain-activity-evolves" TargetMode="External" /><Relationship Type="http://schemas.openxmlformats.org/officeDocument/2006/relationships/hyperlink" Id="rId123" Target="https://www.banklesstimes.com/articles/2025/10/29/pepe-coin-price-crash-and-the-7-1-billion-wipeout-explained/" TargetMode="External" /><Relationship Type="http://schemas.openxmlformats.org/officeDocument/2006/relationships/hyperlink" Id="rId188" Target="https://www.bitdegree.org/cryptocurrency-prices/fear-and-greed-index" TargetMode="External" /><Relationship Type="http://schemas.openxmlformats.org/officeDocument/2006/relationships/hyperlink" Id="rId98" Target="https://www.bitget.com/news/detail/12560605799325" TargetMode="External" /><Relationship Type="http://schemas.openxmlformats.org/officeDocument/2006/relationships/hyperlink" Id="rId133" Target="https://www.bybit.com/en/price/cupsey-2/" TargetMode="External" /><Relationship Type="http://schemas.openxmlformats.org/officeDocument/2006/relationships/hyperlink" Id="rId31" Target="https://www.bybit.com/en/price/pepe/" TargetMode="External" /><Relationship Type="http://schemas.openxmlformats.org/officeDocument/2006/relationships/hyperlink" Id="rId33" Target="https://www.bybit.com/en/price/solana/" TargetMode="External" /><Relationship Type="http://schemas.openxmlformats.org/officeDocument/2006/relationships/hyperlink" Id="rId20" Target="https://www.bybitglobal.com/en/price/chill-guy/" TargetMode="External" /><Relationship Type="http://schemas.openxmlformats.org/officeDocument/2006/relationships/hyperlink" Id="rId138" Target="https://www.ccn.com/analysis/crypto/troll-price-surges-solana-memecoin-breakout-2026-analysis-prediction/" TargetMode="External" /><Relationship Type="http://schemas.openxmlformats.org/officeDocument/2006/relationships/hyperlink" Id="rId52" Target="https://www.cnbc.com/2026/09/15/senate-cloture-vote-on-clarity-act-fails-dealing-regulatory-setback-to-crypto-industry.html" TargetMode="External" /><Relationship Type="http://schemas.openxmlformats.org/officeDocument/2006/relationships/hyperlink" Id="rId51" Target="https://www.cnbc.com/2026/09/18/three-words-from-kevin-warsh-have-wall-street-wondering-how-far-the-fed-will-go-with-rate-hikes.html" TargetMode="External" /><Relationship Type="http://schemas.openxmlformats.org/officeDocument/2006/relationships/hyperlink" Id="rId29" Target="https://www.coinbase.com/price/pepe" TargetMode="External" /><Relationship Type="http://schemas.openxmlformats.org/officeDocument/2006/relationships/hyperlink" Id="rId37" Target="https://www.coinbase.com/price/solana" TargetMode="External" /><Relationship Type="http://schemas.openxmlformats.org/officeDocument/2006/relationships/hyperlink" Id="rId21" Target="https://www.coinbase.com/price/solana-chill-house-pump" TargetMode="External" /><Relationship Type="http://schemas.openxmlformats.org/officeDocument/2006/relationships/hyperlink" Id="rId22" Target="https://www.coinbase.com/price/solana-troll-hgh2" TargetMode="External" /><Relationship Type="http://schemas.openxmlformats.org/officeDocument/2006/relationships/hyperlink" Id="rId104" Target="https://www.coindesk.com/business/2025/05/07/98-of-tokens-on-pump-fun-have-been-rug-pulls-or-an-act-of-fraud-new-report-says" TargetMode="External" /><Relationship Type="http://schemas.openxmlformats.org/officeDocument/2006/relationships/hyperlink" Id="rId53" Target="https://www.coindesk.com/business/2026/09/15/live-updates-bitcoin-slides-from-nearly-usd80-000-as-senate-votes-on-clarity-act" TargetMode="External" /><Relationship Type="http://schemas.openxmlformats.org/officeDocument/2006/relationships/hyperlink" Id="rId54" Target="https://www.coindesk.com/daybook-us/2026/10/08/bitcoin-etf-investors-head-for-the-exit-and-it-s-the-biggest-rush-in-months" TargetMode="External" /><Relationship Type="http://schemas.openxmlformats.org/officeDocument/2006/relationships/hyperlink" Id="rId111" Target="https://www.coindesk.com/markets/2024/04/11/pepe-coin-spikes-on-coinbase-international-plan-to-list-perpetual-futures" TargetMode="External" /><Relationship Type="http://schemas.openxmlformats.org/officeDocument/2006/relationships/hyperlink" Id="rId64" Target="https://www.coindesk.com/markets/2026/02/03/this-analyst-expects-solana-to-reach-usd2-000-by-2030-despite-cutting-his-2026-target" TargetMode="External" /><Relationship Type="http://schemas.openxmlformats.org/officeDocument/2006/relationships/hyperlink" Id="rId65" Target="https://www.coindesk.com/markets/2026/02/12/standard-chartered-sees-bitcoin-sliding-to-usd50-000-ether-to-usd1-400-before-recovery" TargetMode="External" /><Relationship Type="http://schemas.openxmlformats.org/officeDocument/2006/relationships/hyperlink" Id="rId139" Target="https://www.coindesk.com/markets/2026/08/05/cashcat-jumps-120-in-a-week-as-robinhood-chain-tvl-hits-usd774-million" TargetMode="External" /><Relationship Type="http://schemas.openxmlformats.org/officeDocument/2006/relationships/hyperlink" Id="rId35" Target="https://www.coindesk.com/price/solana" TargetMode="External" /><Relationship Type="http://schemas.openxmlformats.org/officeDocument/2006/relationships/hyperlink" Id="rId151" Target="https://www.coingabbar.com/en/crypto-currency-news/coinbase-listing-announcement-today-cfg-troll-token" TargetMode="External" /><Relationship Type="http://schemas.openxmlformats.org/officeDocument/2006/relationships/hyperlink" Id="rId175" Target="https://www.coingabbar.com/en/pepe-price-prediction-2026-pepe-eyes-major-breakout" TargetMode="External" /><Relationship Type="http://schemas.openxmlformats.org/officeDocument/2006/relationships/hyperlink" Id="rId134" Target="https://www.coingecko.com/en/coins/wojak-5" TargetMode="External" /><Relationship Type="http://schemas.openxmlformats.org/officeDocument/2006/relationships/hyperlink" Id="rId105" Target="https://www.coingecko.com/research/publications/state-of-memecoins-2025" TargetMode="External" /><Relationship Type="http://schemas.openxmlformats.org/officeDocument/2006/relationships/hyperlink" Id="rId122" Target="https://www.coinlore.com/coin/pepe" TargetMode="External" /><Relationship Type="http://schemas.openxmlformats.org/officeDocument/2006/relationships/hyperlink" Id="rId41" Target="https://www.coinlore.com/coin/solana/historical-data" TargetMode="External" /><Relationship Type="http://schemas.openxmlformats.org/officeDocument/2006/relationships/hyperlink" Id="rId66" Target="https://www.cryptotimes.io/2026/09/19/solana-sol-price-prediction-2026-2027-2030-will-it-hit-300-high/" TargetMode="External" /><Relationship Type="http://schemas.openxmlformats.org/officeDocument/2006/relationships/hyperlink" Id="rId95" Target="https://www.cryptotimes.io/insights/trending-solana-memecoins/" TargetMode="External" /><Relationship Type="http://schemas.openxmlformats.org/officeDocument/2006/relationships/hyperlink" Id="rId75" Target="https://www.cryptowisser.com/news/robinhood-chain-s-daily-fees-crash-97-to-230k-usage-holds-steady/" TargetMode="External" /><Relationship Type="http://schemas.openxmlformats.org/officeDocument/2006/relationships/hyperlink" Id="rId174" Target="https://www.datawallet.com/crypto/what-is-pepe-coin" TargetMode="External" /><Relationship Type="http://schemas.openxmlformats.org/officeDocument/2006/relationships/hyperlink" Id="rId40" Target="https://www.derivasys.com/reports/sol/2026-10-03" TargetMode="External" /><Relationship Type="http://schemas.openxmlformats.org/officeDocument/2006/relationships/hyperlink" Id="rId106" Target="https://www.fool.com/investing/2026/04/19/shiba-inu-vs-dogecoin-which-meme-coin-is-the-less/" TargetMode="External" /><Relationship Type="http://schemas.openxmlformats.org/officeDocument/2006/relationships/hyperlink" Id="rId91" Target="https://www.fxempire.com/forecasts/article/solana-memecoins-to-watch-in-the-week-ahead-popcat-wif-bonk-price-analysis-1466503" TargetMode="External" /><Relationship Type="http://schemas.openxmlformats.org/officeDocument/2006/relationships/hyperlink" Id="rId114" Target="https://www.fxstreet.com/cryptocurrencies/news/pepe-price-forecast-pepe-sustains-mild-recovery-on-firm-retail-support-202610020311" TargetMode="External" /><Relationship Type="http://schemas.openxmlformats.org/officeDocument/2006/relationships/hyperlink" Id="rId164" Target="https://www.geckoterminal.com/robinhood/pools/0xd42a491087a15e5afd51feb3606066cc152d2b09" TargetMode="External" /><Relationship Type="http://schemas.openxmlformats.org/officeDocument/2006/relationships/hyperlink" Id="rId144" Target="https://www.geckoterminal.com/solana/pools/93tjgwff5Ac5ThyMi8C4WejVVQq4tuMeMuYW1LEYZ7bu" TargetMode="External" /><Relationship Type="http://schemas.openxmlformats.org/officeDocument/2006/relationships/hyperlink" Id="rId34" Target="https://www.investing.com/crypto/solana/historical-data" TargetMode="External" /><Relationship Type="http://schemas.openxmlformats.org/officeDocument/2006/relationships/hyperlink" Id="rId124" Target="https://www.kaiko.com/resources/pepe-plunges-as-founders-sell" TargetMode="External" /><Relationship Type="http://schemas.openxmlformats.org/officeDocument/2006/relationships/hyperlink" Id="rId149" Target="https://www.kraken.com/en-ca/sell/chillhouse" TargetMode="External" /><Relationship Type="http://schemas.openxmlformats.org/officeDocument/2006/relationships/hyperlink" Id="rId179" Target="https://www.kraken.com/features/futures/pepe" TargetMode="External" /><Relationship Type="http://schemas.openxmlformats.org/officeDocument/2006/relationships/hyperlink" Id="rId30" Target="https://www.kraken.com/prices/pepe" TargetMode="External" /><Relationship Type="http://schemas.openxmlformats.org/officeDocument/2006/relationships/hyperlink" Id="rId25" Target="https://www.kraken.com/prices/wojak" TargetMode="External" /><Relationship Type="http://schemas.openxmlformats.org/officeDocument/2006/relationships/hyperlink" Id="rId117" Target="https://www.kucoin.com/news/flash/bitcoin-and-ethereum-surge-1-44b-short-squeeze-shakes-crypto-market" TargetMode="External" /><Relationship Type="http://schemas.openxmlformats.org/officeDocument/2006/relationships/hyperlink" Id="rId102" Target="https://www.kucoin.com/news/flash/coin-metrics-study-81-of-solana-memecoins-drop-90-from-peak" TargetMode="External" /><Relationship Type="http://schemas.openxmlformats.org/officeDocument/2006/relationships/hyperlink" Id="rId78" Target="https://www.kucoin.com/news/flash/robinhood-chain-ends-free-gas-subsidy-in-late-september-memecoins-face-stress-test" TargetMode="External" /><Relationship Type="http://schemas.openxmlformats.org/officeDocument/2006/relationships/hyperlink" Id="rId86" Target="https://www.marketbeat.com/instant-alerts/analyst-robinhood-markets-nasdaq-hood-given-new-13400-price-target-at-truist-financial-2026-10-13/" TargetMode="External" /><Relationship Type="http://schemas.openxmlformats.org/officeDocument/2006/relationships/hyperlink" Id="rId85" Target="https://www.marketbeat.com/instant-alerts/analyst-robinhood-markets-nasdaq-hood-stock-rating-upgraded-by-evercore-2026-10-13/" TargetMode="External" /><Relationship Type="http://schemas.openxmlformats.org/officeDocument/2006/relationships/hyperlink" Id="rId116" Target="https://www.mexc.com/learn/article/will-ethereum-price-recover-after-a-60-drop-eth-price-prediction-for-june-2026/1" TargetMode="External" /><Relationship Type="http://schemas.openxmlformats.org/officeDocument/2006/relationships/hyperlink" Id="rId121" Target="https://www.mexc.com/news/129400" TargetMode="External" /><Relationship Type="http://schemas.openxmlformats.org/officeDocument/2006/relationships/hyperlink" Id="rId148" Target="https://www.mexc.com/news/145606" TargetMode="External" /><Relationship Type="http://schemas.openxmlformats.org/officeDocument/2006/relationships/hyperlink" Id="rId127" Target="https://www.mexc.com/news/692254" TargetMode="External" /><Relationship Type="http://schemas.openxmlformats.org/officeDocument/2006/relationships/hyperlink" Id="rId93" Target="https://www.mitrade.com/insights/news/live-news/article-3-1026040-20250809" TargetMode="External" /><Relationship Type="http://schemas.openxmlformats.org/officeDocument/2006/relationships/hyperlink" Id="rId185" Target="https://www.morningstar.com/economy/warsh-pounds-table-inflation-fight-we-see-rate-cuts-2027" TargetMode="External" /><Relationship Type="http://schemas.openxmlformats.org/officeDocument/2006/relationships/hyperlink" Id="rId23" Target="https://www.okx.com/en-us/price/tung-tung-tung-sahur-triplet" TargetMode="External" /><Relationship Type="http://schemas.openxmlformats.org/officeDocument/2006/relationships/hyperlink" Id="rId158" Target="https://www.pcrisk.com/removal-guides/34793-cupsey-airdrop-scam" TargetMode="External" /><Relationship Type="http://schemas.openxmlformats.org/officeDocument/2006/relationships/hyperlink" Id="rId84" Target="https://www.quillaudits.com/blog/blockchain/robinhood-chain-security-risks-attack-vectors" TargetMode="External" /><Relationship Type="http://schemas.openxmlformats.org/officeDocument/2006/relationships/hyperlink" Id="rId94" Target="https://www.researchgate.net/publication/401094962_An_Empirical_Analysis_of_Meme_Coin_Performance_2025-2026" TargetMode="External" /><Relationship Type="http://schemas.openxmlformats.org/officeDocument/2006/relationships/hyperlink" Id="rId113" Target="https://www.sec.gov/Archives/edgar/data/0002109686/000199937126022017/canarypepe-s1a_100226.htm" TargetMode="External" /><Relationship Type="http://schemas.openxmlformats.org/officeDocument/2006/relationships/hyperlink" Id="rId103" Target="https://www.techflowpost.com/en-US/article/34400" TargetMode="External" /><Relationship Type="http://schemas.openxmlformats.org/officeDocument/2006/relationships/hyperlink" Id="rId177" Target="https://www.theblock.co/news/ecosystems/2023-08-26-pepe-team-members-stole-15-million-from-multisig-247576" TargetMode="External" /><Relationship Type="http://schemas.openxmlformats.org/officeDocument/2006/relationships/hyperlink" Id="rId62" Target="https://www.theblock.co/news/markets/2026-09-17-grayscales-pandl-still-sees-bitcoins-58k-low-as-the-bottom-gives-clients-green-light-415346" TargetMode="External" /><Relationship Type="http://schemas.openxmlformats.org/officeDocument/2006/relationships/hyperlink" Id="rId145" Target="https://www.theblock.co/post/327554/just-a-chill-guy-legal" TargetMode="External" /><Relationship Type="http://schemas.openxmlformats.org/officeDocument/2006/relationships/hyperlink" Id="rId61" Target="https://www.theblock.co/treasuries/upxi" TargetMode="External" /><Relationship Type="http://schemas.openxmlformats.org/officeDocument/2006/relationships/hyperlink" Id="rId118" Target="https://www.thestreet.com/crypto/markets/pepe-surges-22-leading-bitcoin-dogecoin-xrp-?.tsrc=rss" TargetMode="External" /><Relationship Type="http://schemas.openxmlformats.org/officeDocument/2006/relationships/hyperlink" Id="rId36" Target="https://www.tokenpost.com/news/investing/28354" TargetMode="External" /><Relationship Type="http://schemas.openxmlformats.org/officeDocument/2006/relationships/hyperlink" Id="rId161" Target="https://www.tradingview.com/news/coinmarketcal:91c0a2240094b:0-wojak-wojak-migration-burn-complete-23-april-2026/" TargetMode="External" /><Relationship Type="http://schemas.openxmlformats.org/officeDocument/2006/relationships/hyperlink" Id="rId132" Target="https://www.tradingview.com/symbols/CUPSEY1USDT/" TargetMode="External" /><Relationship Type="http://schemas.openxmlformats.org/officeDocument/2006/relationships/hyperlink" Id="rId160" Target="https://www.wojakcto.com/whitepaper" TargetMode="External" /><Relationship Type="http://schemas.openxmlformats.org/officeDocument/2006/relationships/hyperlink" Id="rId152" Target="https://x.com/BinanceUS/status/2014162094116180093" TargetMode="External" /><Relationship Type="http://schemas.openxmlformats.org/officeDocument/2006/relationships/hyperlink" Id="rId169" Target="https://x.com/BinanceWallet/status/2097320356025680299" TargetMode="External" /><Relationship Type="http://schemas.openxmlformats.org/officeDocument/2006/relationships/hyperlink" Id="rId168" Target="https://x.com/kucoincom/status/20772222909752936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Probabilità di rialzo a 12 mesi: CHILLGUY, CHILLHOUSE, TROLL, TRIPLE T, CUPSEY, WOJAK, CASHCAT e PEPE</dc:title>
  <dc:creator/>
  <dc:language>it</dc:language>
  <cp:keywords/>
  <dcterms:created xsi:type="dcterms:W3CDTF">2026-10-13T23:25:20Z</dcterms:created>
  <dcterms:modified xsi:type="dcterms:W3CDTF">2026-10-13T23:25:20Z</dcterms:modified>
</cp:coreProperties>
</file>

<file path=docProps/custom.xml><?xml version="1.0" encoding="utf-8"?>
<Properties xmlns="http://schemas.openxmlformats.org/officeDocument/2006/custom-properties" xmlns:vt="http://schemas.openxmlformats.org/officeDocument/2006/docPropsVTypes"/>
</file>