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Probabilità</w:t>
      </w:r>
      <w:r>
        <w:t xml:space="preserve"> </w:t>
      </w:r>
      <w:r>
        <w:t xml:space="preserve">di</w:t>
      </w:r>
      <w:r>
        <w:t xml:space="preserve"> </w:t>
      </w:r>
      <w:r>
        <w:t xml:space="preserve">rialzo</w:t>
      </w:r>
      <w:r>
        <w:t xml:space="preserve"> </w:t>
      </w:r>
      <w:r>
        <w:t xml:space="preserve">a</w:t>
      </w:r>
      <w:r>
        <w:t xml:space="preserve"> </w:t>
      </w:r>
      <w:r>
        <w:t xml:space="preserve">12</w:t>
      </w:r>
      <w:r>
        <w:t xml:space="preserve"> </w:t>
      </w:r>
      <w:r>
        <w:t xml:space="preserve">mesi:</w:t>
      </w:r>
      <w:r>
        <w:t xml:space="preserve"> </w:t>
      </w:r>
      <w:r>
        <w:t xml:space="preserve">CHILLGUY,</w:t>
      </w:r>
      <w:r>
        <w:t xml:space="preserve"> </w:t>
      </w:r>
      <w:r>
        <w:t xml:space="preserve">CHILLHOUSE,</w:t>
      </w:r>
      <w:r>
        <w:t xml:space="preserve"> </w:t>
      </w:r>
      <w:r>
        <w:t xml:space="preserve">TROLL,</w:t>
      </w:r>
      <w:r>
        <w:t xml:space="preserve"> </w:t>
      </w:r>
      <w:r>
        <w:t xml:space="preserve">TRIPLE</w:t>
      </w:r>
      <w:r>
        <w:t xml:space="preserve"> </w:t>
      </w:r>
      <w:r>
        <w:t xml:space="preserve">T,</w:t>
      </w:r>
      <w:r>
        <w:t xml:space="preserve"> </w:t>
      </w:r>
      <w:r>
        <w:t xml:space="preserve">CUPSEY</w:t>
      </w:r>
      <w:r>
        <w:t xml:space="preserve"> </w:t>
      </w:r>
      <w:r>
        <w:t xml:space="preserve">e</w:t>
      </w:r>
      <w:r>
        <w:t xml:space="preserve"> </w:t>
      </w:r>
      <w:r>
        <w:t xml:space="preserve">WOJAK</w:t>
      </w:r>
    </w:p>
    <w:bookmarkStart w:id="117" w:name="X878634da1f7583e1425557294bca2d40643c142"/>
    <w:p>
      <w:pPr>
        <w:pStyle w:val="Heading1"/>
      </w:pPr>
      <w:r>
        <w:t xml:space="preserve">SOL può raddoppiare, le vecchie meme raramente seguono</w:t>
      </w:r>
    </w:p>
    <w:p>
      <w:pPr>
        <w:pStyle w:val="FirstParagraph"/>
      </w:pPr>
      <w:r>
        <w:t xml:space="preserve">Nei dodici mesi tra l'8 ottobre 2026 e l'8 ottobre 2027, secondo il modello costruito in questa ricerca,</w:t>
      </w:r>
      <w:r>
        <w:t xml:space="preserve"> </w:t>
      </w:r>
      <w:r>
        <w:rPr>
          <w:bCs/>
          <w:b/>
        </w:rPr>
        <w:t xml:space="preserve">SOL ha circa 1 probabilità su 5 (20%) di chiudere almeno a +50% (≥ $165) e 1 su 8 (12,5%) di raddoppiare (≥ $220)</w:t>
      </w:r>
      <w:r>
        <w:t xml:space="preserve">, ma anche</w:t>
      </w:r>
      <w:r>
        <w:t xml:space="preserve"> </w:t>
      </w:r>
      <w:r>
        <w:rPr>
          <w:bCs/>
          <w:b/>
        </w:rPr>
        <w:t xml:space="preserve">circa 6 su 10 di valere meno di oggi</w:t>
      </w:r>
      <w:r>
        <w:t xml:space="preserve"> </w:t>
      </w:r>
      <w:r>
        <w:t xml:space="preserve">($109–110). Applicando a questo scenario le evidenze storiche su come rispondono le memecoin consolidate,</w:t>
      </w:r>
      <w:r>
        <w:t xml:space="preserve"> </w:t>
      </w:r>
      <w:r>
        <w:rPr>
          <w:bCs/>
          <w:b/>
        </w:rPr>
        <w:t xml:space="preserve">la probabilità di raddoppio nei dodici mesi è del 7% per CHILLGUY, 6,5% per CHILLHOUSE, 17,5% per TROLL, 14% per TRIPLE T, 9% per CUPSEY e 12,5% per WOJAK (legata a ETH, non a SOL)</w:t>
      </w:r>
      <w:r>
        <w:t xml:space="preserve">, mentre per tutte e sei l'esito singolo più probabile è una perdita di almeno la metà (55–72%). Un raddoppio di SOL cambia molto per TROLL (probabilità di 2x che sale al 52%) e CHILLGUY (26%), poco per TRIPLE T, CUPSEY e CHILLHOUSE (17–33%), perché nel 2026 queste ultime hanno fatto i loro massimi con la chain ferma e sono crollate mentre la chain saliva. Il motivo di fondo è documentato: nel rally di SOL del terzo trimestre 2026 (+39–60%) la categoria meme Solana è rimasta piatta a $3,3–3,9 mld, e lo studio Coin Metrics di ottobre 2026 su 150 memecoin Solana trova che l'81% è a −90% o peggio dal massimo e solo il 3,3% è mai tornato al proprio ATH. Il contesto macro dell'8–9 ottobre 2026 (Fed che ha alzato i tassi il 16 settembre, CLARITY Act bocciato al Senato il 15 settembre, deflussi dagli ETF su BTC e SOL nella prima settimana di ottobre) pesa sulla distribuzione di SOL, e i mercati predittivi (Kalshi 34% per SOL ≥ $150 a fine 2026, Polymarket 3–9% per un nuovo ATH nel 2026) sono coerenti con queste stime.</w:t>
      </w:r>
      <w:r>
        <w:t xml:space="preserve"> </w:t>
      </w:r>
      <w:r>
        <w:rPr>
          <w:bCs/>
          <w:b/>
        </w:rPr>
        <w:t xml:space="preserve">Tutte le percentuali di questo rapporto sono stime di un modello illustrativo costruito su base rate storici e assunzioni esplicite, non previsioni e non dati di mercato; nulla di quanto segue è consulenza finanziaria.</w:t>
      </w:r>
    </w:p>
    <w:bookmarkStart w:id="26" w:name="Xe130c89472ccaed18de3811de4ca96de78617a8"/>
    <w:p>
      <w:pPr>
        <w:pStyle w:val="Heading2"/>
      </w:pPr>
      <w:r>
        <w:t xml:space="preserve">La risposta in una tabella: da 6,5% a 17,5% di probabilità di raddoppio</w:t>
      </w:r>
    </w:p>
    <w:p>
      <w:pPr>
        <w:pStyle w:val="FirstParagraph"/>
      </w:pPr>
      <w:r>
        <w:t xml:space="preserve">La tabella seguente è il risultato finale del modello (scenario SOL "Base", metodo delle tabelle di scenario, con il Monte Carlo come controllo): ogni cella è una</w:t>
      </w:r>
      <w:r>
        <w:t xml:space="preserve"> </w:t>
      </w:r>
      <w:r>
        <w:rPr>
          <w:bCs/>
          <w:b/>
        </w:rPr>
        <w:t xml:space="preserve">stima del modello</w:t>
      </w:r>
      <w:r>
        <w:t xml:space="preserve">, derivata dai passaggi spiegati nelle sezioni successive, non una quotazione o una statistica osservata. "Morta" significa chiudere i dodici mesi a −80% o peggio; "EV" è il multiplo atteso medio (con coda superiore limitata a 30×); la "mediana" è il multiplo del percorso tipico nel Monte Carlo; le ultime due colonne sono condizionate a un rialzo della chain di riferimento (SOL per le cinque coin Solana, ETH per WOJAK). I prezzi di partenza sono le capitalizzazioni di fine settembre–inizio ottobre 2026 ricostruite nel rapporto precedente (</w:t>
      </w:r>
      <w:hyperlink r:id="rId20">
        <w:r>
          <w:rPr>
            <w:rStyle w:val="Hyperlink"/>
          </w:rPr>
          <w:t xml:space="preserve">Bybit Global CHILLGUY</w:t>
        </w:r>
      </w:hyperlink>
      <w:r>
        <w:t xml:space="preserve">;</w:t>
      </w:r>
      <w:r>
        <w:t xml:space="preserve"> </w:t>
      </w:r>
      <w:hyperlink r:id="rId21">
        <w:r>
          <w:rPr>
            <w:rStyle w:val="Hyperlink"/>
          </w:rPr>
          <w:t xml:space="preserve">Coinbase CHILLHOUSE</w:t>
        </w:r>
      </w:hyperlink>
      <w:r>
        <w:t xml:space="preserve">;</w:t>
      </w:r>
      <w:r>
        <w:t xml:space="preserve"> </w:t>
      </w:r>
      <w:hyperlink r:id="rId22">
        <w:r>
          <w:rPr>
            <w:rStyle w:val="Hyperlink"/>
          </w:rPr>
          <w:t xml:space="preserve">Coinbase TROLL</w:t>
        </w:r>
      </w:hyperlink>
      <w:r>
        <w:t xml:space="preserve">;</w:t>
      </w:r>
      <w:r>
        <w:t xml:space="preserve"> </w:t>
      </w:r>
      <w:hyperlink r:id="rId23">
        <w:r>
          <w:rPr>
            <w:rStyle w:val="Hyperlink"/>
          </w:rPr>
          <w:t xml:space="preserve">OKX TRIPLET</w:t>
        </w:r>
      </w:hyperlink>
      <w:r>
        <w:t xml:space="preserve">;</w:t>
      </w:r>
      <w:r>
        <w:t xml:space="preserve"> </w:t>
      </w:r>
      <w:hyperlink r:id="rId24">
        <w:r>
          <w:rPr>
            <w:rStyle w:val="Hyperlink"/>
          </w:rPr>
          <w:t xml:space="preserve">Phantom CUPSEY</w:t>
        </w:r>
      </w:hyperlink>
      <w:r>
        <w:t xml:space="preserve">;</w:t>
      </w:r>
      <w:r>
        <w:t xml:space="preserve"> </w:t>
      </w:r>
      <w:hyperlink r:id="rId25">
        <w:r>
          <w:rPr>
            <w:rStyle w:val="Hyperlink"/>
          </w:rPr>
          <w:t xml:space="preserve">Kraken WOJAK</w:t>
        </w:r>
      </w:hyperlink>
      <w:r>
        <w:t xml:space="preserve">).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Token (chain)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 attuale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ATH 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P(≥ +50%)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P(≥ 2x)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P(≥ 5x)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P(nuovo ATH)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P(≤ −50%)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P(morta)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Mediana (MC)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P(2x se chain ≥ +50%)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P(2x se chain ≥ +100%)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CHILLGUY (SOL)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$13,0 mln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53×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11,9%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7,3%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2,3%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0,1–0,4%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64,3%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39,5%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0,93×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0,33×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21,4%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26,2%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CHILLHOUSE (SOL)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$1,5 mln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19,5×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10,5%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6,5%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0,3–1,3%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72,5%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48,7%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0,81×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0,23×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14,3%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16,9%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TROLL (SOL)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$50,0 mln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5,6×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25,9%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17,5%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6,3%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5,4–8,9%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54,5%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29,6%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1,79×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0,42×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44,8%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51,8%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TRIPLE T (SOL)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$8,0 mln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3,2×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21,0%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13,7%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4,7%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8,1–10,4%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56,6%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31,7%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1,46×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0,40×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28,3%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32,5%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CUPSEY (SOL)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$6,5 mln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3,2×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14,8%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9,4%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3,0%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5,3–6,6%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63,2%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38,0%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1,09×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0,33×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20,2%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23,5%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WOJAK (ETH)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$18,4 mln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2,9×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19,3%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12,5%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4,2%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8,0–10,0%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59,6%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34,3%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1,34×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0,36×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28,9%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33,8%</w:t>
            </w:r>
          </w:p>
        </w:tc>
      </w:tr>
    </w:tbl>
    <w:p>
      <w:pPr>
        <w:pStyle w:val="BodyText"/>
      </w:pPr>
      <w:r>
        <w:t xml:space="preserve">Stime del modello (blend Base; intervalli per il nuovo ATH = metodo tabellare e Monte Carlo). Tre letture immediate. Primo, nessun token ha più di 1 probabilità su 4 di essere semplicemente a +50% tra un anno, e TROLL è l'unico sopra il 20%. Secondo, il valore atteso supera 1 per quattro token su sei non perché l'esito tipico sia positivo (la mediana è 0,23–0,42×, cioè una perdita del 58–77%) ma perché una coda sottile di percorsi a 10–30× tira su la media: è la matematica del biglietto della lotteria. Terzo, la colonna "P(morta)" dice che per CHILLHOUSE è quasi un testa o croce, e per le altre cinque tra 3 e 4 casi su 10, anche se la chain non crolla. La catena di ragionamento che produce questi numeri ha cinque passaggi, descritti di seguito.</w:t>
      </w:r>
    </w:p>
    <w:bookmarkEnd w:id="26"/>
    <w:bookmarkStart w:id="60" w:name="X50061db0bc2eceb169bcabd971f0dad51752081"/>
    <w:p>
      <w:pPr>
        <w:pStyle w:val="Heading2"/>
      </w:pPr>
      <w:r>
        <w:t xml:space="preserve">Passo 1: SOL ha 1 probabilità su 5 di salire del 50% e 6 su 10 di scendere</w:t>
      </w:r>
    </w:p>
    <w:p>
      <w:pPr>
        <w:pStyle w:val="FirstParagraph"/>
      </w:pPr>
      <w:r>
        <w:t xml:space="preserve">Il punto di partenza è dove si trova SOL l'8–9 ottobre 2026 e quanto può muoversi in un anno. SOL quota</w:t>
      </w:r>
      <w:r>
        <w:t xml:space="preserve"> </w:t>
      </w:r>
      <w:r>
        <w:rPr>
          <w:bCs/>
          <w:b/>
        </w:rPr>
        <w:t xml:space="preserve">$109–110</w:t>
      </w:r>
      <w:r>
        <w:t xml:space="preserve">: Bybit mostra $110,39 il 9 ottobre con −4,72% in 24 ore, Investing.com una chiusura dell'8 ottobre a $109,57 dopo un −5,79% nella giornata, e i prezzi erano $118–122 tra l'1 e il 6 ottobre (</w:t>
      </w:r>
      <w:hyperlink r:id="rId27">
        <w:r>
          <w:rPr>
            <w:rStyle w:val="Hyperlink"/>
          </w:rPr>
          <w:t xml:space="preserve">Bybit</w:t>
        </w:r>
      </w:hyperlink>
      <w:r>
        <w:t xml:space="preserve">;</w:t>
      </w:r>
      <w:r>
        <w:t xml:space="preserve"> </w:t>
      </w:r>
      <w:hyperlink r:id="rId28">
        <w:r>
          <w:rPr>
            <w:rStyle w:val="Hyperlink"/>
          </w:rPr>
          <w:t xml:space="preserve">Investing.com</w:t>
        </w:r>
      </w:hyperlink>
      <w:r>
        <w:t xml:space="preserve">). Il calo dell'8 ottobre, da circa $113 a $107 in quattro ore con $5,84 mln di liquidazioni long, è avvenuto "in linea con l'indice CD20, sceso del 3,62%", cioè in una vendita generalizzata, non per un motivo specifico di Solana (</w:t>
      </w:r>
      <w:hyperlink r:id="rId29">
        <w:r>
          <w:rPr>
            <w:rStyle w:val="Hyperlink"/>
          </w:rPr>
          <w:t xml:space="preserve">CoinDesk</w:t>
        </w:r>
      </w:hyperlink>
      <w:r>
        <w:t xml:space="preserve">;</w:t>
      </w:r>
      <w:r>
        <w:t xml:space="preserve"> </w:t>
      </w:r>
      <w:hyperlink r:id="rId30">
        <w:r>
          <w:rPr>
            <w:rStyle w:val="Hyperlink"/>
          </w:rPr>
          <w:t xml:space="preserve">TokenPost</w:t>
        </w:r>
      </w:hyperlink>
      <w:r>
        <w:t xml:space="preserve">). SOL è quindi</w:t>
      </w:r>
      <w:r>
        <w:t xml:space="preserve"> </w:t>
      </w:r>
      <w:r>
        <w:rPr>
          <w:bCs/>
          <w:b/>
        </w:rPr>
        <w:t xml:space="preserve">circa il 63% sotto l'ATH di $294,85 del 19 gennaio 2025</w:t>
      </w:r>
      <w:r>
        <w:t xml:space="preserve">, ma anche circa il 50% sopra il minimo di $72,91 del 1° agosto 2026 (</w:t>
      </w:r>
      <w:hyperlink r:id="rId31">
        <w:r>
          <w:rPr>
            <w:rStyle w:val="Hyperlink"/>
          </w:rPr>
          <w:t xml:space="preserve">Coinbase</w:t>
        </w:r>
      </w:hyperlink>
      <w:r>
        <w:t xml:space="preserve">;</w:t>
      </w:r>
      <w:r>
        <w:t xml:space="preserve"> </w:t>
      </w:r>
      <w:hyperlink r:id="rId32">
        <w:r>
          <w:rPr>
            <w:rStyle w:val="Hyperlink"/>
          </w:rPr>
          <w:t xml:space="preserve">CoinStats</w:t>
        </w:r>
      </w:hyperlink>
      <w:r>
        <w:t xml:space="preserve">).</w:t>
      </w:r>
    </w:p>
    <w:p>
      <w:pPr>
        <w:pStyle w:val="BodyText"/>
      </w:pPr>
      <w:r>
        <w:t xml:space="preserve">La prima fonte sulla forma della distribuzione è il</w:t>
      </w:r>
      <w:r>
        <w:t xml:space="preserve"> </w:t>
      </w:r>
      <w:r>
        <w:rPr>
          <w:bCs/>
          <w:b/>
        </w:rPr>
        <w:t xml:space="preserve">mercato delle opzioni</w:t>
      </w:r>
      <w:r>
        <w:t xml:space="preserve">. Il 3 ottobre 2026 la volatilità realizzata a 30 giorni era del 57,6%, quella implicita at-the-money a un mese del 53,2%, e il risk reversal a 25 delta era "spostato verso le put" a circa −0,9 punti: i trader di opzioni non pagano alcun premio per il rialzo e anzi pagano leggermente di più per proteggersi dal ribasso (</w:t>
      </w:r>
      <w:hyperlink r:id="rId33">
        <w:r>
          <w:rPr>
            <w:rStyle w:val="Hyperlink"/>
          </w:rPr>
          <w:t xml:space="preserve">Derivasys, 3 ott 2026</w:t>
        </w:r>
      </w:hyperlink>
      <w:r>
        <w:t xml:space="preserve">). Questa volatilità, intorno al 55% annuo, è la più bassa della storia di SOL: CoinLore calcola 136% nel 2021, 138% nel 2022, 93% nel 2023, 81% nel 2024, 86% nel 2025 e 56% nel 2026 fino a oggi (</w:t>
      </w:r>
      <w:hyperlink r:id="rId34">
        <w:r>
          <w:rPr>
            <w:rStyle w:val="Hyperlink"/>
          </w:rPr>
          <w:t xml:space="preserve">CoinLore</w:t>
        </w:r>
      </w:hyperlink>
      <w:r>
        <w:t xml:space="preserve">). Con una lognormale a 55% di volatilità e drift zero (calcolo proprio dalle note, non un dato di mercato), la probabilità che SOL sia sopra $150 l'8 ottobre 2027 è del 20%, sopra $200 dell'8,7%, sopra $250 del 3,9%, sopra $300 dell'1,8%; sotto $100 del 54%. Il limite di questa fonte è che il mercato delle opzioni su SOL è minuscolo: l'open interest aggregato in opzioni era di soli $87 mln a inizio ottobre contro $7,3 mld di derivati totali, e circa il 65% dell'OI su Deribit era concentrato nella scadenza del 25 settembre 2026 (</w:t>
      </w:r>
      <w:hyperlink r:id="rId35">
        <w:r>
          <w:rPr>
            <w:rStyle w:val="Hyperlink"/>
          </w:rPr>
          <w:t xml:space="preserve">CoinGape</w:t>
        </w:r>
      </w:hyperlink>
      <w:r>
        <w:t xml:space="preserve">;</w:t>
      </w:r>
      <w:r>
        <w:t xml:space="preserve"> </w:t>
      </w:r>
      <w:hyperlink r:id="rId36">
        <w:r>
          <w:rPr>
            <w:rStyle w:val="Hyperlink"/>
          </w:rPr>
          <w:t xml:space="preserve">Crypto Briefing</w:t>
        </w:r>
      </w:hyperlink>
      <w:r>
        <w:t xml:space="preserve">); nessuna volatilità implicita a 6–12 mesi è disponibile, quindi il 55% a un anno è un'estrapolazione.</w:t>
      </w:r>
    </w:p>
    <w:p>
      <w:pPr>
        <w:pStyle w:val="BodyText"/>
      </w:pPr>
      <w:r>
        <w:t xml:space="preserve">La seconda fonte sono i</w:t>
      </w:r>
      <w:r>
        <w:t xml:space="preserve"> </w:t>
      </w:r>
      <w:r>
        <w:rPr>
          <w:bCs/>
          <w:b/>
        </w:rPr>
        <w:t xml:space="preserve">mercati predittivi</w:t>
      </w:r>
      <w:r>
        <w:t xml:space="preserve">, che vedono code più grasse. La scala Kalshi sul prezzo di chiusura di SOL a fine 2026, catturata a fine settembre con SOL a circa $121, prezzava</w:t>
      </w:r>
      <w:r>
        <w:t xml:space="preserve"> </w:t>
      </w:r>
      <w:r>
        <w:rPr>
          <w:bCs/>
          <w:b/>
        </w:rPr>
        <w:t xml:space="preserve">71% per ≥ $100, 34% per ≥ $150 e 27% per ≥ $200</w:t>
      </w:r>
      <w:r>
        <w:t xml:space="preserve">, con un volume totale di appena $182.704 (</w:t>
      </w:r>
      <w:hyperlink r:id="rId37">
        <w:r>
          <w:rPr>
            <w:rStyle w:val="Hyperlink"/>
          </w:rPr>
          <w:t xml:space="preserve">Bitcoin.com</w:t>
        </w:r>
      </w:hyperlink>
      <w:r>
        <w:t xml:space="preserve">;</w:t>
      </w:r>
      <w:r>
        <w:t xml:space="preserve"> </w:t>
      </w:r>
      <w:hyperlink r:id="rId38">
        <w:r>
          <w:rPr>
            <w:rStyle w:val="Hyperlink"/>
          </w:rPr>
          <w:t xml:space="preserve">Kalshi KXSOLD26</w:t>
        </w:r>
      </w:hyperlink>
      <w:r>
        <w:t xml:space="preserve">); il mercato Kalshi sul massimo annuale 2026 dava il 46% a "&gt; $150" intorno al 4 ottobre (</w:t>
      </w:r>
      <w:hyperlink r:id="rId39">
        <w:r>
          <w:rPr>
            <w:rStyle w:val="Hyperlink"/>
          </w:rPr>
          <w:t xml:space="preserve">Kalshi KXSOLMAXY</w:t>
        </w:r>
      </w:hyperlink>
      <w:r>
        <w:t xml:space="preserve">). Su Polymarket il mercato più scambiato ("What price will Solana hit in 2026?", un mercato "touch" che si risolve se una candela a un minuto su Binance tocca il livello entro il 31 dicembre) dava il 6 ottobre circa 55% per $140 e in uno snapshot precedente 78% per $120 e 28% per un ritorno a $70 (</w:t>
      </w:r>
      <w:hyperlink r:id="rId40">
        <w:r>
          <w:rPr>
            <w:rStyle w:val="Hyperlink"/>
          </w:rPr>
          <w:t xml:space="preserve">Polymarket</w:t>
        </w:r>
      </w:hyperlink>
      <w:r>
        <w:t xml:space="preserve">;</w:t>
      </w:r>
      <w:r>
        <w:t xml:space="preserve"> </w:t>
      </w:r>
      <w:hyperlink r:id="rId41">
        <w:r>
          <w:rPr>
            <w:rStyle w:val="Hyperlink"/>
          </w:rPr>
          <w:t xml:space="preserve">Polymarket evento</w:t>
        </w:r>
      </w:hyperlink>
      <w:r>
        <w:t xml:space="preserve">); il mercato "Solana all time high by" quotava tra il 3% e il 9% per un nuovo massimo entro fine 2026 (</w:t>
      </w:r>
      <w:hyperlink r:id="rId42">
        <w:r>
          <w:rPr>
            <w:rStyle w:val="Hyperlink"/>
          </w:rPr>
          <w:t xml:space="preserve">Polymarket ATH</w:t>
        </w:r>
      </w:hyperlink>
      <w:r>
        <w:t xml:space="preserve">). Il confronto è istruttivo: il 27% di Kalshi per SOL ≥ $200 in tre mesi non è raggiungibile da nessuna lognormale a 55% (il massimo possibile per ≥ $150 in tre mesi da $121 è circa il 26%); per riprodurre quei tre punti serve una volatilità del 110% con un drift positivo, che è la firma del "long-shot bias" dei mercati sottili. Non esiste alcun mercato Kalshi o Polymarket datato 2027, né un mercato "altcoin season", quindi la componente di mercato predittivo del modello usa la scala Kalshi per il primo trimestre e la lognormale delle opzioni per i nove mesi successivi (sezione 1.3 del modello).</w:t>
      </w:r>
    </w:p>
    <w:p>
      <w:pPr>
        <w:pStyle w:val="BodyText"/>
      </w:pPr>
      <w:r>
        <w:t xml:space="preserve">La terza fonte è la</w:t>
      </w:r>
      <w:r>
        <w:t xml:space="preserve"> </w:t>
      </w:r>
      <w:r>
        <w:rPr>
          <w:bCs/>
          <w:b/>
        </w:rPr>
        <w:t xml:space="preserve">storia</w:t>
      </w:r>
      <w:r>
        <w:t xml:space="preserve">. I rendimenti annuali di SOL sono estremi e bimodali: −94,4% nel 2022, +917% nel 2023, +73,2% nel 2024, −35,9% nel 2025 (</w:t>
      </w:r>
      <w:hyperlink r:id="rId34">
        <w:r>
          <w:rPr>
            <w:rStyle w:val="Hyperlink"/>
          </w:rPr>
          <w:t xml:space="preserve">CoinLore</w:t>
        </w:r>
      </w:hyperlink>
      <w:r>
        <w:t xml:space="preserve">). Su una serie mensile approssimativa da gennaio 2021 (57 finestre mobili di dodici mesi, ricostruite dalle note e da verificare su dati giornalieri), circa il 49% delle finestre è positivo, il 33% supera +50%, il 31% supera +100% e il 25% perde più del 50%; la mediana è intorno allo zero. I sei casi in cui SOL partiva tra il 50% e il 72% sotto il proprio massimo si dividono esattamente a metà: le partenze di inizio 2022 persero un ulteriore 74–76%, quelle di fine 2023–inizio 2024 guadagnarono tra +86% e +303%, e la variabile discriminante fu se il mercato orso di Bitcoin avesse già toccato il fondo. Oggi la posizione nel ciclo (21 mesi dopo l'ATH, BTC circa il 34% sotto il proprio massimo) somiglia più alle partenze di fine 2023, ma con una volatilità dimezzata, il che suggerisce una versione compressa di quegli esiti.</w:t>
      </w:r>
    </w:p>
    <w:p>
      <w:pPr>
        <w:pStyle w:val="BodyText"/>
      </w:pPr>
      <w:r>
        <w:t xml:space="preserve">La quarta componente è il</w:t>
      </w:r>
      <w:r>
        <w:t xml:space="preserve"> </w:t>
      </w:r>
      <w:r>
        <w:rPr>
          <w:bCs/>
          <w:b/>
        </w:rPr>
        <w:t xml:space="preserve">macro di ottobre 2026</w:t>
      </w:r>
      <w:r>
        <w:t xml:space="preserve">, che il modello tratta come un drift negativo del 15% annuo nel caso Base. I fatti sono questi. Il 16 settembre 2026 la Fed ha alzato i tassi di 25 punti base al 3,75–4,00%, primo rialzo dal 2023, con un altro rialzo previsto nel 2026 e nessun taglio nei "dot" per il 2027; i futures prezzano circa il 4,6% a fine 2027 (</w:t>
      </w:r>
      <w:hyperlink r:id="rId43">
        <w:r>
          <w:rPr>
            <w:rStyle w:val="Hyperlink"/>
          </w:rPr>
          <w:t xml:space="preserve">Fortune</w:t>
        </w:r>
      </w:hyperlink>
      <w:r>
        <w:t xml:space="preserve">;</w:t>
      </w:r>
      <w:r>
        <w:t xml:space="preserve"> </w:t>
      </w:r>
      <w:hyperlink r:id="rId44">
        <w:r>
          <w:rPr>
            <w:rStyle w:val="Hyperlink"/>
          </w:rPr>
          <w:t xml:space="preserve">CNBC</w:t>
        </w:r>
      </w:hyperlink>
      <w:r>
        <w:t xml:space="preserve">). Il 15 settembre la mozione di cloture sul CLARITY Act è fallita al Senato (49–50 contro i 60 voti necessari, zero voti democratici), il che "chiude di fatto il lavoro legislativo sulla struttura di mercato per il 2026" e secondo la senatrice Lummis rinvia la prossima finestra realistica a dopo le elezioni, forse al 2030 (</w:t>
      </w:r>
      <w:hyperlink r:id="rId45">
        <w:r>
          <w:rPr>
            <w:rStyle w:val="Hyperlink"/>
          </w:rPr>
          <w:t xml:space="preserve">CNBC</w:t>
        </w:r>
      </w:hyperlink>
      <w:r>
        <w:t xml:space="preserve">;</w:t>
      </w:r>
      <w:r>
        <w:t xml:space="preserve"> </w:t>
      </w:r>
      <w:hyperlink r:id="rId46">
        <w:r>
          <w:rPr>
            <w:rStyle w:val="Hyperlink"/>
          </w:rPr>
          <w:t xml:space="preserve">CoinDesk</w:t>
        </w:r>
      </w:hyperlink>
      <w:r>
        <w:t xml:space="preserve">). Il 7 ottobre gli ETF spot su Bitcoin hanno registrato $487 mln di deflussi in un giorno, il peggior dato da giugno, e gli ETF spot su Solana tre giorni consecutivi di deflussi (5–7 ottobre, $17,7 mln in totale) dopo una striscia di dodici settimane di afflussi per circa $1,4 mld e una settimana record da $188 mln a fine settembre (</w:t>
      </w:r>
      <w:hyperlink r:id="rId47">
        <w:r>
          <w:rPr>
            <w:rStyle w:val="Hyperlink"/>
          </w:rPr>
          <w:t xml:space="preserve">CoinDesk</w:t>
        </w:r>
      </w:hyperlink>
      <w:r>
        <w:t xml:space="preserve">;</w:t>
      </w:r>
      <w:r>
        <w:t xml:space="preserve"> </w:t>
      </w:r>
      <w:hyperlink r:id="rId48">
        <w:r>
          <w:rPr>
            <w:rStyle w:val="Hyperlink"/>
          </w:rPr>
          <w:t xml:space="preserve">CoinMarketCap AI</w:t>
        </w:r>
      </w:hyperlink>
      <w:r>
        <w:t xml:space="preserve">;</w:t>
      </w:r>
      <w:r>
        <w:t xml:space="preserve"> </w:t>
      </w:r>
      <w:hyperlink r:id="rId49">
        <w:r>
          <w:rPr>
            <w:rStyle w:val="Hyperlink"/>
          </w:rPr>
          <w:t xml:space="preserve">Solana Compass</w:t>
        </w:r>
      </w:hyperlink>
      <w:r>
        <w:t xml:space="preserve">). I ricavi di rete di Solana nel primo semestre 2026 sono scesi dell'87% su base annua a $141 mln per il collasso delle fee da memecoin, mentre le società-tesoreria che nel 2025 compravano SOL trattano a 0,3–0,5× il NAV e non possono più raccogliere capitale per comprare (</w:t>
      </w:r>
      <w:hyperlink r:id="rId50">
        <w:r>
          <w:rPr>
            <w:rStyle w:val="Hyperlink"/>
          </w:rPr>
          <w:t xml:space="preserve">21Shares</w:t>
        </w:r>
      </w:hyperlink>
      <w:r>
        <w:t xml:space="preserve">;</w:t>
      </w:r>
      <w:r>
        <w:t xml:space="preserve"> </w:t>
      </w:r>
      <w:hyperlink r:id="rId51">
        <w:r>
          <w:rPr>
            <w:rStyle w:val="Hyperlink"/>
          </w:rPr>
          <w:t xml:space="preserve">The Block treasuries</w:t>
        </w:r>
      </w:hyperlink>
      <w:r>
        <w:t xml:space="preserve">). Sul lato opposto, Grayscale considera il minimo di BTC a $58.000 di fine giugno 2026 come fondo del mercato orso, ma condiziona esplicitamente questa lettura all'assenza di ulteriori rialzi della Fed, condizione già violata (</w:t>
      </w:r>
      <w:hyperlink r:id="rId52">
        <w:r>
          <w:rPr>
            <w:rStyle w:val="Hyperlink"/>
          </w:rPr>
          <w:t xml:space="preserve">The Block</w:t>
        </w:r>
      </w:hyperlink>
      <w:r>
        <w:t xml:space="preserve">); Alpenglow è su testnet e devnet dal 24–25 settembre ma senza data per la mainnet (</w:t>
      </w:r>
      <w:hyperlink r:id="rId53">
        <w:r>
          <w:rPr>
            <w:rStyle w:val="Hyperlink"/>
          </w:rPr>
          <w:t xml:space="preserve">CryptoTicker</w:t>
        </w:r>
      </w:hyperlink>
      <w:r>
        <w:t xml:space="preserve">). Gli analisti non aiutano a quantificare: Standard Chartered ha un target di</w:t>
      </w:r>
      <w:r>
        <w:t xml:space="preserve"> </w:t>
      </w:r>
      <w:r>
        <w:rPr>
          <w:bCs/>
          <w:b/>
        </w:rPr>
        <w:t xml:space="preserve">$400 a fine 2027</w:t>
      </w:r>
      <w:r>
        <w:t xml:space="preserve">, ma la stessa banca a febbraio 2026 ha tagliato il target di fine 2026 prima da $310 a $250 e poi a $135, e la copertura di ottobre cita ancora $250, per cui il $400 va letto come coda ottimistica e non come caso base (</w:t>
      </w:r>
      <w:hyperlink r:id="rId54">
        <w:r>
          <w:rPr>
            <w:rStyle w:val="Hyperlink"/>
          </w:rPr>
          <w:t xml:space="preserve">CoinDesk, 3 feb 2026</w:t>
        </w:r>
      </w:hyperlink>
      <w:r>
        <w:t xml:space="preserve">;</w:t>
      </w:r>
      <w:r>
        <w:t xml:space="preserve"> </w:t>
      </w:r>
      <w:hyperlink r:id="rId55">
        <w:r>
          <w:rPr>
            <w:rStyle w:val="Hyperlink"/>
          </w:rPr>
          <w:t xml:space="preserve">CoinDesk, 12 feb 2026</w:t>
        </w:r>
      </w:hyperlink>
      <w:r>
        <w:t xml:space="preserve">); VanEck offre solo scenari 2030 ($9,81 / $335 / $3.211) e Bitwise prevedeva un nuovo ATH di SOL nel 2026, oggi a meno del 5% di probabilità su Polymarket (</w:t>
      </w:r>
      <w:hyperlink r:id="rId56">
        <w:r>
          <w:rPr>
            <w:rStyle w:val="Hyperlink"/>
          </w:rPr>
          <w:t xml:space="preserve">CryptoTimes</w:t>
        </w:r>
      </w:hyperlink>
      <w:r>
        <w:t xml:space="preserve">;</w:t>
      </w:r>
      <w:r>
        <w:t xml:space="preserve"> </w:t>
      </w:r>
      <w:hyperlink r:id="rId57">
        <w:r>
          <w:rPr>
            <w:rStyle w:val="Hyperlink"/>
          </w:rPr>
          <w:t xml:space="preserve">CoinGape</w:t>
        </w:r>
      </w:hyperlink>
      <w:r>
        <w:t xml:space="preserve">).</w:t>
      </w:r>
    </w:p>
    <w:p>
      <w:pPr>
        <w:pStyle w:val="BodyText"/>
      </w:pPr>
      <w:r>
        <w:t xml:space="preserve">Il modello fonde le quattro componenti con pesi espliciti (Base: 35% opzioni, 20% mercati predittivi, 20% storia, 25% macro) e ottiene la distribuzione seguente del prezzo di SOL all'8 ottobre 2027. Le colonne "Ottimistico" e "Pessimistico" cambiano i pesi e il drift macro (0% con pesi 30/30/30/10; −25% con volatilità 60% e pesi 30/10/10/50).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880"/>
        <w:gridCol w:w="880"/>
        <w:gridCol w:w="880"/>
        <w:gridCol w:w="880"/>
        <w:gridCol w:w="880"/>
        <w:gridCol w:w="880"/>
        <w:gridCol w:w="880"/>
        <w:gridCol w:w="880"/>
        <w:gridCol w:w="8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Scenario SOL a 12 mesi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Prezzo 8 ott 2027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Opzioni (lognormale 55%)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Mercati predittivi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Storia 2021–26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Macro (drift −15%)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Blend Base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Ottimistico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Pessimistico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 Crollo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 $70 (peggio di −36%)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29,2%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28,5%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32,1%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39,2%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32,1%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29,9%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39,1%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 Ribasso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$70–110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31,6%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23,4%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18,9%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31,6%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27,4%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25,3%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27,6%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 Laterale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$110–150 (0 a +36%)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19,1%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16,2%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11,6%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15,9%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16,2%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16,0%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14,9%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 Rialzo forte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$150–250 (+36% a +127%)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16,2%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19,8%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7,2%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11,3%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13,9%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14,6%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12,1%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 Euforia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 $250 (oltre +127%)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3,9%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12,2%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30,2%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2,1%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10,3%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14,2%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6,3%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P(SOL ≥ +50%, cioè ≥ $165)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15,6%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27,5%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33,0%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10,0%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20,0%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24,4%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14,8%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P(SOL ≥ +100%, cioè ≥ $220)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6,3%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16,1%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31,0%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3,6%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12,5%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16,6%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8,1%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P(SOL ≥ ATH $294,85)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circa 2%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5,2%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7,1%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3,2%</w:t>
            </w:r>
          </w:p>
        </w:tc>
      </w:tr>
    </w:tbl>
    <w:p>
      <w:pPr>
        <w:pStyle w:val="BodyText"/>
      </w:pPr>
      <w:r>
        <w:t xml:space="preserve">Stime del modello. In parole semplici:</w:t>
      </w:r>
      <w:r>
        <w:t xml:space="preserve"> </w:t>
      </w:r>
      <w:r>
        <w:rPr>
          <w:bCs/>
          <w:b/>
        </w:rPr>
        <w:t xml:space="preserve">6 probabilità su 10 che SOL valga meno tra un anno, 1 su 5 che sia a +50%, 1 su 8 che raddoppi, 1 su 20 che superi il massimo storico</w:t>
      </w:r>
      <w:r>
        <w:t xml:space="preserve">. Il 5,2% per un nuovo ATH a dodici mesi è coerente con il 3–9% che Polymarket dava per un ATH entro fine 2026. Un dettaglio che conta per chi ragiona in termini di "toccare" un livello e non di chiudere sopra: la probabilità che SOL tocchi $150 in un qualunque momento dei dodici mesi è del 40–46%, $200 del 17–19%, $250 dell'8%, $300 del 4% (lognormale senza drift; con la distribuzione Base a code più grasse si sale a 56%, 30%, 17% e 10%). Per WOJAK la stessa procedura applicata a ETH (spot $2.600, tra i $2.694 del 29 settembre e i $2.547 del 7 ottobre, volatilità ipotizzata 50%) dà</w:t>
      </w:r>
      <w:r>
        <w:t xml:space="preserve"> </w:t>
      </w:r>
      <w:r>
        <w:rPr>
          <w:bCs/>
          <w:b/>
        </w:rPr>
        <w:t xml:space="preserve">19,3% per ETH ≥ +50% e 11,9% per ETH ≥ +100%</w:t>
      </w:r>
      <w:r>
        <w:t xml:space="preserve">, con l'ATH di circa $4.950 dell'agosto 2025 che cade nello scenario D (</w:t>
      </w:r>
      <w:hyperlink r:id="rId58">
        <w:r>
          <w:rPr>
            <w:rStyle w:val="Hyperlink"/>
          </w:rPr>
          <w:t xml:space="preserve">Fortune</w:t>
        </w:r>
      </w:hyperlink>
      <w:r>
        <w:t xml:space="preserve">;</w:t>
      </w:r>
      <w:r>
        <w:t xml:space="preserve"> </w:t>
      </w:r>
      <w:hyperlink r:id="rId59">
        <w:r>
          <w:rPr>
            <w:rStyle w:val="Hyperlink"/>
          </w:rPr>
          <w:t xml:space="preserve">The Coin Republic</w:t>
        </w:r>
      </w:hyperlink>
      <w:r>
        <w:t xml:space="preserve">).</w:t>
      </w:r>
    </w:p>
    <w:bookmarkEnd w:id="60"/>
    <w:bookmarkStart w:id="80" w:name="X1e1d721e1e302e6230fb93534ceac2bdc315676"/>
    <w:p>
      <w:pPr>
        <w:pStyle w:val="Heading2"/>
      </w:pPr>
      <w:r>
        <w:t xml:space="preserve">Passo 2: quando SOL sale, una meme consolidata raddoppia una volta su quattro</w:t>
      </w:r>
    </w:p>
    <w:p>
      <w:pPr>
        <w:pStyle w:val="FirstParagraph"/>
      </w:pPr>
      <w:r>
        <w:t xml:space="preserve">Il secondo passaggio è la domanda centrale: se SOL sale, le memecoin già esistenti salgono con lui? La risposta dei dati è "sempre meno", e in tre fasi. Nel</w:t>
      </w:r>
      <w:r>
        <w:t xml:space="preserve"> </w:t>
      </w:r>
      <w:r>
        <w:rPr>
          <w:bCs/>
          <w:b/>
        </w:rPr>
        <w:t xml:space="preserve">2024</w:t>
      </w:r>
      <w:r>
        <w:t xml:space="preserve"> </w:t>
      </w:r>
      <w:r>
        <w:t xml:space="preserve">sì, e con leva: a dicembre 2023 BONK fece +572% nel mese contro +25–30% di SOL; a novembre 2024 SOL fece +43% mentre BONK faceva +175% e WIF +98%, e POPCAT segnò un nuovo ATH a $1,69–1,75 a fine ottobre; WIF chiuse il 2024 a +2.080% (</w:t>
      </w:r>
      <w:hyperlink r:id="rId61">
        <w:r>
          <w:rPr>
            <w:rStyle w:val="Hyperlink"/>
          </w:rPr>
          <w:t xml:space="preserve">Blockonomi</w:t>
        </w:r>
      </w:hyperlink>
      <w:r>
        <w:t xml:space="preserve">;</w:t>
      </w:r>
      <w:r>
        <w:t xml:space="preserve"> </w:t>
      </w:r>
      <w:hyperlink r:id="rId62">
        <w:r>
          <w:rPr>
            <w:rStyle w:val="Hyperlink"/>
          </w:rPr>
          <w:t xml:space="preserve">Cryptorank</w:t>
        </w:r>
      </w:hyperlink>
      <w:r>
        <w:t xml:space="preserve">;</w:t>
      </w:r>
      <w:r>
        <w:t xml:space="preserve"> </w:t>
      </w:r>
      <w:hyperlink r:id="rId63">
        <w:r>
          <w:rPr>
            <w:rStyle w:val="Hyperlink"/>
          </w:rPr>
          <w:t xml:space="preserve">FXEmpire</w:t>
        </w:r>
      </w:hyperlink>
      <w:r>
        <w:t xml:space="preserve">). In quelle finestre la maggioranza delle meme consolidate (probabilmente oltre il 70%) salì e la mediana batté SOL. Nel</w:t>
      </w:r>
      <w:r>
        <w:t xml:space="preserve"> </w:t>
      </w:r>
      <w:r>
        <w:rPr>
          <w:bCs/>
          <w:b/>
        </w:rPr>
        <w:t xml:space="preserve">2025</w:t>
      </w:r>
      <w:r>
        <w:t xml:space="preserve"> </w:t>
      </w:r>
      <w:r>
        <w:t xml:space="preserve">il legame si è rotto su orizzonti di mesi: nei rialzi di SOL del secondo e terzo trimestre (+24% e +35%) le grandi meme corsero per giorni o settimane (BONK +70% a luglio 2025 fino a $2,29 mld) ma a inizio agosto BONK era già −41% dal picco di luglio e WIF −75% da inizio anno (</w:t>
      </w:r>
      <w:hyperlink r:id="rId64">
        <w:r>
          <w:rPr>
            <w:rStyle w:val="Hyperlink"/>
          </w:rPr>
          <w:t xml:space="preserve">Changelly</w:t>
        </w:r>
      </w:hyperlink>
      <w:r>
        <w:t xml:space="preserve">;</w:t>
      </w:r>
      <w:r>
        <w:t xml:space="preserve"> </w:t>
      </w:r>
      <w:hyperlink r:id="rId65">
        <w:r>
          <w:rPr>
            <w:rStyle w:val="Hyperlink"/>
          </w:rPr>
          <w:t xml:space="preserve">Mitrade</w:t>
        </w:r>
      </w:hyperlink>
      <w:r>
        <w:t xml:space="preserve">); su tutto il periodo gennaio 2025–febbraio 2026 un paniere equipesato delle dieci maggiori memecoin ha reso</w:t>
      </w:r>
      <w:r>
        <w:t xml:space="preserve"> </w:t>
      </w:r>
      <w:r>
        <w:rPr>
          <w:bCs/>
          <w:b/>
        </w:rPr>
        <w:t xml:space="preserve">−78,7% contro −30,7% di Bitcoin</w:t>
      </w:r>
      <w:r>
        <w:t xml:space="preserve">, con drawdown massimi del 94% per BRETT e del 93% per POPCAT (</w:t>
      </w:r>
      <w:hyperlink r:id="rId66">
        <w:r>
          <w:rPr>
            <w:rStyle w:val="Hyperlink"/>
          </w:rPr>
          <w:t xml:space="preserve">Krause, "An Empirical Analysis of Meme Coin Performance 2025–2026"</w:t>
        </w:r>
      </w:hyperlink>
      <w:r>
        <w:t xml:space="preserve">). Nel</w:t>
      </w:r>
      <w:r>
        <w:t xml:space="preserve"> </w:t>
      </w:r>
      <w:r>
        <w:rPr>
          <w:bCs/>
          <w:b/>
        </w:rPr>
        <w:t xml:space="preserve">2026</w:t>
      </w:r>
      <w:r>
        <w:t xml:space="preserve"> </w:t>
      </w:r>
      <w:r>
        <w:t xml:space="preserve">il legame si è annullato: tra fine marzo e inizio ottobre la categoria "Solana Meme Coins" di CoinGecko è passata da circa $3,68 mld a $3,27–3,90 mld (tra −11% e +6%) mentre SOL saliva del 39% nel terzo trimestre secondo CoinLore e di circa il 60% secondo le chiusure mensili, e la "rotazione di liquidità" di settembre è stata guidata da ZCAT, un token nato in quei giorni e salito del 500% in 24 ore (</w:t>
      </w:r>
      <w:hyperlink r:id="rId67">
        <w:r>
          <w:rPr>
            <w:rStyle w:val="Hyperlink"/>
          </w:rPr>
          <w:t xml:space="preserve">The Crypto Times</w:t>
        </w:r>
      </w:hyperlink>
      <w:r>
        <w:t xml:space="preserve">;</w:t>
      </w:r>
      <w:r>
        <w:t xml:space="preserve"> </w:t>
      </w:r>
      <w:hyperlink r:id="rId68">
        <w:r>
          <w:rPr>
            <w:rStyle w:val="Hyperlink"/>
          </w:rPr>
          <w:t xml:space="preserve">CoinDCX</w:t>
        </w:r>
      </w:hyperlink>
      <w:r>
        <w:t xml:space="preserve">;</w:t>
      </w:r>
      <w:r>
        <w:t xml:space="preserve"> </w:t>
      </w:r>
      <w:hyperlink r:id="rId69">
        <w:r>
          <w:rPr>
            <w:rStyle w:val="Hyperlink"/>
          </w:rPr>
          <w:t xml:space="preserve">Cryptonews</w:t>
        </w:r>
      </w:hyperlink>
      <w:r>
        <w:t xml:space="preserve">;</w:t>
      </w:r>
      <w:r>
        <w:t xml:space="preserve"> </w:t>
      </w:r>
      <w:hyperlink r:id="rId70">
        <w:r>
          <w:rPr>
            <w:rStyle w:val="Hyperlink"/>
          </w:rPr>
          <w:t xml:space="preserve">Bitget News</w:t>
        </w:r>
      </w:hyperlink>
      <w:r>
        <w:t xml:space="preserve">). Le meme consolidate hanno prodotto solo spike settimanali del 20%.</w:t>
      </w:r>
    </w:p>
    <w:p>
      <w:pPr>
        <w:pStyle w:val="BodyText"/>
      </w:pPr>
      <w:r>
        <w:t xml:space="preserve">Il motivo strutturale è che il circuito "meme generano fee su Solana, SOL forte genera domanda di meme" del 2024 si è indebolito: la quota delle memecoin nel volume spot di Solana è scesa dal 40% del primo semestre 2025 al 16% del primo semestre 2026, il tempo mediano di detenzione di una memecoin Solana è passato da circa 300 secondi nel 2024 a 58 secondi nel 2026, e nessuna fonte (Kaiko, Messari, Galaxy, lavori accademici) pubblica un beta formale delle meme Solana rispetto a SOL; l'unica evidenza quantitativa è che BONK ha "beta elevato a SOL" su finestre di 30–90 giorni ma con correlazione che si indebolisce proprio quando BONK sovraperforma (</w:t>
      </w:r>
      <w:hyperlink r:id="rId50">
        <w:r>
          <w:rPr>
            <w:rStyle w:val="Hyperlink"/>
          </w:rPr>
          <w:t xml:space="preserve">21Shares</w:t>
        </w:r>
      </w:hyperlink>
      <w:r>
        <w:t xml:space="preserve">;</w:t>
      </w:r>
      <w:r>
        <w:t xml:space="preserve"> </w:t>
      </w:r>
      <w:hyperlink r:id="rId71">
        <w:r>
          <w:rPr>
            <w:rStyle w:val="Hyperlink"/>
          </w:rPr>
          <w:t xml:space="preserve">Phemex</w:t>
        </w:r>
      </w:hyperlink>
      <w:r>
        <w:t xml:space="preserve">;</w:t>
      </w:r>
      <w:r>
        <w:t xml:space="preserve"> </w:t>
      </w:r>
      <w:hyperlink r:id="rId72">
        <w:r>
          <w:rPr>
            <w:rStyle w:val="Hyperlink"/>
          </w:rPr>
          <w:t xml:space="preserve">PANews/DeFi Report</w:t>
        </w:r>
      </w:hyperlink>
      <w:r>
        <w:t xml:space="preserve">). In sintesi, le meme sono ad alto beta su giorni e settimane ma con R² basso: su dodici mesi domina la componente idiosincratica (attenzione, lanci nuovi), non la chain.</w:t>
      </w:r>
    </w:p>
    <w:p>
      <w:pPr>
        <w:pStyle w:val="BodyText"/>
      </w:pPr>
      <w:r>
        <w:t xml:space="preserve">Il dato più duro è quello sulla</w:t>
      </w:r>
      <w:r>
        <w:t xml:space="preserve"> </w:t>
      </w:r>
      <w:r>
        <w:rPr>
          <w:bCs/>
          <w:b/>
        </w:rPr>
        <w:t xml:space="preserve">sopravvivenza</w:t>
      </w:r>
      <w:r>
        <w:t xml:space="preserve">. Coin Metrics, nello "State of the Network" n. 384 del 6–7 ottobre 2026, ha studiato 150 memecoin Solana lanciate da dicembre 2023 con un prezzo su CEX:</w:t>
      </w:r>
      <w:r>
        <w:t xml:space="preserve"> </w:t>
      </w:r>
      <w:r>
        <w:rPr>
          <w:bCs/>
          <w:b/>
        </w:rPr>
        <w:t xml:space="preserve">l'81% è sceso del 90% o più dal massimo, solo 5 token (3,3%) sono mai tornati all'ATH, due terzi non hanno mai avuto un secondo rally</w:t>
      </w:r>
      <w:r>
        <w:t xml:space="preserve">, il token mediano tocca l'ATH 17 giorni dopo il primo scambio e impiega 370 giorni a scendere a −95%; conclusione testuale, "il recupero sostanzialmente non avviene" (</w:t>
      </w:r>
      <w:hyperlink r:id="rId73">
        <w:r>
          <w:rPr>
            <w:rStyle w:val="Hyperlink"/>
          </w:rPr>
          <w:t xml:space="preserve">Coin Metrics</w:t>
        </w:r>
      </w:hyperlink>
      <w:r>
        <w:t xml:space="preserve">;</w:t>
      </w:r>
      <w:r>
        <w:t xml:space="preserve"> </w:t>
      </w:r>
      <w:hyperlink r:id="rId74">
        <w:r>
          <w:rPr>
            <w:rStyle w:val="Hyperlink"/>
          </w:rPr>
          <w:t xml:space="preserve">KuCoin News</w:t>
        </w:r>
      </w:hyperlink>
      <w:r>
        <w:t xml:space="preserve">;</w:t>
      </w:r>
      <w:r>
        <w:t xml:space="preserve"> </w:t>
      </w:r>
      <w:hyperlink r:id="rId75">
        <w:r>
          <w:rPr>
            <w:rStyle w:val="Hyperlink"/>
          </w:rPr>
          <w:t xml:space="preserve">TechFlow</w:t>
        </w:r>
      </w:hyperlink>
      <w:r>
        <w:t xml:space="preserve">). Il campione è distorto verso i sopravvissuti (richiede un prezzo CEX), quindi l'universo largo è ancora più severo: Solidus Labs classifica come rug pull o pump-and-dump il 98,6% dei token pump.fun lanciati tra gennaio 2024 e marzo 2025 (</w:t>
      </w:r>
      <w:hyperlink r:id="rId76">
        <w:r>
          <w:rPr>
            <w:rStyle w:val="Hyperlink"/>
          </w:rPr>
          <w:t xml:space="preserve">CoinDesk</w:t>
        </w:r>
      </w:hyperlink>
      <w:r>
        <w:t xml:space="preserve">). Il pattern di sostituzione vale anche per i leader: DOGE e SHIB non hanno mai ripreso i massimi del 2021 nemmeno quando il settore meme ha segnato un nuovo record di $150,6 mld a dicembre 2024, e ad aprile 2026 erano rispettivamente a −86% e −93% (</w:t>
      </w:r>
      <w:hyperlink r:id="rId77">
        <w:r>
          <w:rPr>
            <w:rStyle w:val="Hyperlink"/>
          </w:rPr>
          <w:t xml:space="preserve">CoinGecko State of Memecoins 2025</w:t>
        </w:r>
      </w:hyperlink>
      <w:r>
        <w:t xml:space="preserve">;</w:t>
      </w:r>
      <w:r>
        <w:t xml:space="preserve"> </w:t>
      </w:r>
      <w:hyperlink r:id="rId78">
        <w:r>
          <w:rPr>
            <w:rStyle w:val="Hyperlink"/>
          </w:rPr>
          <w:t xml:space="preserve">Motley Fool</w:t>
        </w:r>
      </w:hyperlink>
      <w:r>
        <w:t xml:space="preserve">). I listing su exchange di prima fascia, che molti considerano il catalizzatore decisivo, danno +10–80% in uno o due giorni ma rendimenti negativi a tre e sei mesi (−22,7% e −37,6% nella serie Binance 2017–2024 di Empirica; solo il 5,5% dei listing Binance del 2024 era positivo dopo sei mesi): sono catalizzatori di trading, non motori di rendimento annuale (</w:t>
      </w:r>
      <w:hyperlink r:id="rId79">
        <w:r>
          <w:rPr>
            <w:rStyle w:val="Hyperlink"/>
          </w:rPr>
          <w:t xml:space="preserve">Empirica</w:t>
        </w:r>
      </w:hyperlink>
      <w:r>
        <w:t xml:space="preserve">).</w:t>
      </w:r>
    </w:p>
    <w:p>
      <w:pPr>
        <w:pStyle w:val="BodyText"/>
      </w:pPr>
      <w:r>
        <w:t xml:space="preserve">Da queste evidenze il modello costruisce la tabella condizionata per una</w:t>
      </w:r>
      <w:r>
        <w:t xml:space="preserve"> </w:t>
      </w:r>
      <w:r>
        <w:rPr>
          <w:bCs/>
          <w:b/>
        </w:rPr>
        <w:t xml:space="preserve">memecoin consolidata generica</w:t>
      </w:r>
      <w:r>
        <w:t xml:space="preserve"> </w:t>
      </w:r>
      <w:r>
        <w:t xml:space="preserve">(non un lancio nuovo), che è il cuore di tutto il calcolo. Ogni cella è un'assunzione ragionata: nello scenario A (crollo) l'amplificazione al ribasso di 2–2,5× del 2025 mette la meme tipica a −70/−90%; nello scenario C (SOL +0–36%) la risposta è quella del 2025 e del terzo trimestre 2026, rally brevi e categoria piatta; lo scenario D sta a metà tra la risposta 2024 e quella 2025–26; lo scenario E (SOL oltre +127%, cioè al nuovo ATH) usa dicembre 2023 e novembre 2024 come analogie, ma riserva i 10× ai leader e ai lanci nuovi.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Scenario SOL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 +50%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 2x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 3x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 5x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 10x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 −50%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 −80% (morta)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 Crollo (&lt; $70)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0,8%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0,3%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0,1%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 Ribasso ($70–110)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2,2%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0,3%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 Laterale ($110–150)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5,5%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0,8%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 Rialzo forte ($150–250)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 Euforia (&gt; $250)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Non condizionata (blend Base)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18,3%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11,8%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7,5%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4,0%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1,5%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57,9%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32,8%</w:t>
            </w:r>
          </w:p>
        </w:tc>
      </w:tr>
    </w:tbl>
    <w:p>
      <w:pPr>
        <w:pStyle w:val="BodyText"/>
      </w:pPr>
      <w:r>
        <w:t xml:space="preserve">Stime del modello. Due controlli di coerenza con i dati sostengono queste cifre: l'11,8% non condizionato di raddoppio è compatibile con "due terzi non hanno mai un secondo rally" su orizzonti pluriennali, e la probabilità implicita di tornare all'ATH per un token che ne dista 5×, 10× o 20× (4,0%, 1,5%, 0,6%) incornicia il 3,3% pluriennale di Coin Metrics. La riga D dice la cosa più importante per chi spera nel rally:</w:t>
      </w:r>
      <w:r>
        <w:t xml:space="preserve"> </w:t>
      </w:r>
      <w:r>
        <w:rPr>
          <w:bCs/>
          <w:b/>
        </w:rPr>
        <w:t xml:space="preserve">anche con SOL tra +36% e +127%, una meme consolidata ha solo 1 probabilità su 4 di raddoppiare e ancora il 28% di perdere metà del valore</w:t>
      </w:r>
      <w:r>
        <w:t xml:space="preserve">, perché i capitali di ogni rally vanno ai token che nascono durante il rally. Il Monte Carlo che replica questa tabella trova parametri parlanti: beta al rialzo 1,5, beta al ribasso 1,3, un drift di decadimento di −80% in termini logaritmici (circa 0,45× all'anno in assenza di movimenti della chain e di fortuna) e uno shock idiosincratico a code pesanti (Student-t a 3 gradi di libertà), necessario per riprodurre i +920% e −72% in pochi mesi osservati sui token in esame.</w:t>
      </w:r>
    </w:p>
    <w:bookmarkEnd w:id="80"/>
    <w:bookmarkStart w:id="109" w:name="X07e1aafe19bab55cbf5434e234e823feefc6283"/>
    <w:p>
      <w:pPr>
        <w:pStyle w:val="Heading2"/>
      </w:pPr>
      <w:r>
        <w:t xml:space="preserve">Passo 3: TROLL moltiplica le quote per 1,7, CHILLHOUSE le dimezza</w:t>
      </w:r>
    </w:p>
    <w:p>
      <w:pPr>
        <w:pStyle w:val="FirstParagraph"/>
      </w:pPr>
      <w:r>
        <w:t xml:space="preserve">Il terzo passaggio adatta la tabella generica a ciascun token con due strumenti. Il primo è un parametro di</w:t>
      </w:r>
      <w:r>
        <w:t xml:space="preserve"> </w:t>
      </w:r>
      <w:r>
        <w:rPr>
          <w:bCs/>
          <w:b/>
        </w:rPr>
        <w:t xml:space="preserve">"legame alla chain" (λ)</w:t>
      </w:r>
      <w:r>
        <w:t xml:space="preserve">: quanto l'esito del token dipende davvero da dove finisce SOL (o ETH). L'evidenza del 2026 impone valori bassi per tre token su sei. TRIPLE T ha fatto circa</w:t>
      </w:r>
      <w:r>
        <w:t xml:space="preserve"> </w:t>
      </w:r>
      <w:r>
        <w:rPr>
          <w:bCs/>
          <w:b/>
        </w:rPr>
        <w:t xml:space="preserve">+920% dal minimo del 19 aprile all'ATH del 23 luglio 2026 con SOL fermo tra $74 e $80, poi −72% fino a metà settembre mentre SOL saliva del 35–40%</w:t>
      </w:r>
      <w:r>
        <w:t xml:space="preserve"> </w:t>
      </w:r>
      <w:r>
        <w:t xml:space="preserve">(</w:t>
      </w:r>
      <w:hyperlink r:id="rId81">
        <w:r>
          <w:rPr>
            <w:rStyle w:val="Hyperlink"/>
          </w:rPr>
          <w:t xml:space="preserve">Cryptorank</w:t>
        </w:r>
      </w:hyperlink>
      <w:r>
        <w:t xml:space="preserve">;</w:t>
      </w:r>
      <w:r>
        <w:t xml:space="preserve"> </w:t>
      </w:r>
      <w:hyperlink r:id="rId82">
        <w:r>
          <w:rPr>
            <w:rStyle w:val="Hyperlink"/>
          </w:rPr>
          <w:t xml:space="preserve">Coinranking SOL</w:t>
        </w:r>
      </w:hyperlink>
      <w:r>
        <w:t xml:space="preserve">); CUPSEY ha fatto circa</w:t>
      </w:r>
      <w:r>
        <w:t xml:space="preserve"> </w:t>
      </w:r>
      <w:r>
        <w:rPr>
          <w:bCs/>
          <w:b/>
        </w:rPr>
        <w:t xml:space="preserve">60–65× tra il minimo del 25 giugno e l'ATH del 21–22 agosto 2026</w:t>
      </w:r>
      <w:r>
        <w:t xml:space="preserve">, poi −66% in uno o due giorni e −70% complessivo mentre SOL saliva a $113–121 (</w:t>
      </w:r>
      <w:hyperlink r:id="rId83">
        <w:r>
          <w:rPr>
            <w:rStyle w:val="Hyperlink"/>
          </w:rPr>
          <w:t xml:space="preserve">TradingView CUPSEY1USDT</w:t>
        </w:r>
      </w:hyperlink>
      <w:r>
        <w:t xml:space="preserve">;</w:t>
      </w:r>
      <w:r>
        <w:t xml:space="preserve"> </w:t>
      </w:r>
      <w:hyperlink r:id="rId84">
        <w:r>
          <w:rPr>
            <w:rStyle w:val="Hyperlink"/>
          </w:rPr>
          <w:t xml:space="preserve">Bybit</w:t>
        </w:r>
      </w:hyperlink>
      <w:r>
        <w:t xml:space="preserve">); WOJAK ha fatto circa</w:t>
      </w:r>
      <w:r>
        <w:t xml:space="preserve"> </w:t>
      </w:r>
      <w:r>
        <w:rPr>
          <w:bCs/>
          <w:b/>
        </w:rPr>
        <w:t xml:space="preserve">7,5× dal minimo del 24 febbraio all'ATH del 20 giugno 2026 mentre ETH scendeva verso il minimo di $1.559, e poi −65% mentre ETH recuperava circa il 70%</w:t>
      </w:r>
      <w:r>
        <w:t xml:space="preserve"> </w:t>
      </w:r>
      <w:r>
        <w:t xml:space="preserve">fino a $2.746 il 21 settembre (</w:t>
      </w:r>
      <w:hyperlink r:id="rId85">
        <w:r>
          <w:rPr>
            <w:rStyle w:val="Hyperlink"/>
          </w:rPr>
          <w:t xml:space="preserve">CoinGecko wojak-5</w:t>
        </w:r>
      </w:hyperlink>
      <w:r>
        <w:t xml:space="preserve">;</w:t>
      </w:r>
      <w:r>
        <w:t xml:space="preserve"> </w:t>
      </w:r>
      <w:hyperlink r:id="rId86">
        <w:r>
          <w:rPr>
            <w:rStyle w:val="Hyperlink"/>
          </w:rPr>
          <w:t xml:space="preserve">Fortune, 30 giu 2026</w:t>
        </w:r>
      </w:hyperlink>
      <w:r>
        <w:t xml:space="preserve">;</w:t>
      </w:r>
      <w:r>
        <w:t xml:space="preserve"> </w:t>
      </w:r>
      <w:hyperlink r:id="rId58">
        <w:r>
          <w:rPr>
            <w:rStyle w:val="Hyperlink"/>
          </w:rPr>
          <w:t xml:space="preserve">Fortune, 21 set 2026</w:t>
        </w:r>
      </w:hyperlink>
      <w:r>
        <w:t xml:space="preserve">). A questi tre token (e a CHILLHOUSE, i cui tre picchi del 2025 furono tutti "stunt" dell'account X, non beta a SOL) il modello assegna λ = 0,5–0,6: metà del loro destino segue lo scenario di SOL/ETH, l'altra metà è il loro ciclo di attenzione. CHILLGUY e TROLL ricevono λ = 0,8: il primo è scambiato con leva 75× su Binance Futures e nel 2026 i suoi movimenti sono stati attribuiti al sentiment macro "senza alcun catalizzatore specifico" (</w:t>
      </w:r>
      <w:hyperlink r:id="rId87">
        <w:r>
          <w:rPr>
            <w:rStyle w:val="Hyperlink"/>
          </w:rPr>
          <w:t xml:space="preserve">CoinMarketCap AI</w:t>
        </w:r>
      </w:hyperlink>
      <w:r>
        <w:t xml:space="preserve">); il secondo ha avuto i suoi picchi in coincidenza con le rotazioni del settore meme Solana (maggio 2026, +632% in 30 giorni fino a $117–120 mln) e con i listing (</w:t>
      </w:r>
      <w:hyperlink r:id="rId88">
        <w:r>
          <w:rPr>
            <w:rStyle w:val="Hyperlink"/>
          </w:rPr>
          <w:t xml:space="preserve">Phemex</w:t>
        </w:r>
      </w:hyperlink>
      <w:r>
        <w:t xml:space="preserve">;</w:t>
      </w:r>
      <w:r>
        <w:t xml:space="preserve"> </w:t>
      </w:r>
      <w:hyperlink r:id="rId89">
        <w:r>
          <w:rPr>
            <w:rStyle w:val="Hyperlink"/>
          </w:rPr>
          <w:t xml:space="preserve">CCN</w:t>
        </w:r>
      </w:hyperlink>
      <w:r>
        <w:t xml:space="preserve">).</w:t>
      </w:r>
    </w:p>
    <w:p>
      <w:pPr>
        <w:pStyle w:val="BodyText"/>
      </w:pPr>
      <w:r>
        <w:t xml:space="preserve">Il secondo strumento è un insieme di</w:t>
      </w:r>
      <w:r>
        <w:t xml:space="preserve"> </w:t>
      </w:r>
      <w:r>
        <w:rPr>
          <w:bCs/>
          <w:b/>
        </w:rPr>
        <w:t xml:space="preserve">moltiplicatori delle quote</w:t>
      </w:r>
      <w:r>
        <w:t xml:space="preserve"> </w:t>
      </w:r>
      <w:r>
        <w:t xml:space="preserve">(odds), uno per ciascuno di sette fattori documentati nel rapporto precedente (età del ciclo, profondità del drawdown, holder e liquidità, scala dei listing CEX, catalizzatori, concentrazione della supply, proprietà intellettuale), con il prodotto limitato all'intervallo [0,5, 2,0] per evitare che un giudizio qualitativo domini i dati. Moltiplicare le quote invece delle probabilità mantiene ogni numero tra 0 e 1 e conserva l'ordine logico (P(10x) ≤ P(5x) ≤ ... ≤ P(+50%)).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Token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Fattori che alzano le quote di rialzo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Fattori che le abbassano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Moltiplicatore rialzo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Moltiplicatore ribasso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CHILLGUY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118K holder, $3–5 mln di volume CEX al giorno; perpetual Binance 75× più cinque CEX spot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meme del ciclo 2024 (ATH 27 nov 2024), −98%; nessun catalizzatore nel 2026; oltre il 20% della supply da acquisti "bundle" di un'unica entità, top-10 al 52%; rivendicazione di copyright di Banks; il perpetual è nella fascia di cap che Binance ha delistato più volte nel 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CHILLHOUSE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nessuno di rilievo (Kraken e MEXC Innovation Zone pesano zero)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ATH ott 2025 da stunt, −95%; 19K holder, $0,4 mln di liquidità, circa $20.000 al giorno di volume DEX; nessuna attività del team o copertura dal 29 ott 2025; flag "bundle" non verificati; usa l'immagine di Banks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0,24, portato a 0,50 (limite)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2,17, portato a 2,00 (limite)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TROLL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65–70K holder in crescita, liquidità $1,7–3,9 mln; Coinbase (25 set 2025), Binance.US (22 gen 2026), KuCoin, perpetual MEXC, tag Binance Alpha; airdrop del 1° set 2026 e opzionalità di Binance globale; licenza esclusiva mondiale su Trollface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−82% dall'ATH; concentrazione opaca (dieci whale che hanno finanziato la licenza, la posizione di Ramirez)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1,71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0,85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TRIPLE 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lanciato feb 2026, ATH 23 lug 2026 (ciclo corrente); Ramadan 2027 a febbraio come catalizzatore stagionale; top-10 al 16,3%, mint e freeze revocate, LP bruciata; personaggio di pubblico dominio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solo BitMart spot e perpetual MEXC, nessun listing di prima fascia o Alpha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0,95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CUPSEY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contratto rilanciato gen 2026, ATH 21–22 ago 2026 (ciclo corrente)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15K holder, $0,5 mln di liquidità; solo CEX di seconda fascia; wallet di progetto al 16,8% e 8% ai KOL senza lock, una migrazione già alle spalle; brand non posseduto, trader estraneo, siti di finto airdrop che svuotano i wallet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0,76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WOJAK (ETH)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nuovo contratto 2026, ATH 20 giu 2026, −65% (il drawdown minore dei sei); Kraken dal 30 set 2026, HTX, perpetual Gate, MEXC, LBank; whitepaper MiCAR del 25 giu 2026 e 27,27% della supply bruciata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12,3K holder (dimezzati dalla migrazione), liquidità Uniswap $0,4–0,9 mln, volume sceso da $8–11 mln a $1 mln al giorno; 68% di "dust wallet", flottante basso, nessuna tabella top-10 del nuovo contratto; brand non posseduto con cloni su Solana, Base, Robinhood Chain e BSC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0,6</w:t>
            </w:r>
          </w:p>
        </w:tc>
      </w:tr>
    </w:tbl>
    <w:p>
      <w:pPr>
        <w:pStyle w:val="BodyText"/>
      </w:pPr>
      <w:r>
        <w:t xml:space="preserve">Fonti per i fattori: CHILLGUY (</w:t>
      </w:r>
      <w:hyperlink r:id="rId90">
        <w:r>
          <w:rPr>
            <w:rStyle w:val="Hyperlink"/>
          </w:rPr>
          <w:t xml:space="preserve">GeckoTerminal</w:t>
        </w:r>
      </w:hyperlink>
      <w:r>
        <w:t xml:space="preserve">;</w:t>
      </w:r>
      <w:r>
        <w:t xml:space="preserve"> </w:t>
      </w:r>
      <w:hyperlink r:id="rId91">
        <w:r>
          <w:rPr>
            <w:rStyle w:val="Hyperlink"/>
          </w:rPr>
          <w:t xml:space="preserve">The Block</w:t>
        </w:r>
      </w:hyperlink>
      <w:r>
        <w:t xml:space="preserve">;</w:t>
      </w:r>
      <w:r>
        <w:t xml:space="preserve"> </w:t>
      </w:r>
      <w:hyperlink r:id="rId92">
        <w:r>
          <w:rPr>
            <w:rStyle w:val="Hyperlink"/>
          </w:rPr>
          <w:t xml:space="preserve">Phemex delisting</w:t>
        </w:r>
      </w:hyperlink>
      <w:r>
        <w:t xml:space="preserve">); CHILLHOUSE (</w:t>
      </w:r>
      <w:hyperlink r:id="rId93">
        <w:r>
          <w:rPr>
            <w:rStyle w:val="Hyperlink"/>
          </w:rPr>
          <w:t xml:space="preserve">DexPaprika</w:t>
        </w:r>
      </w:hyperlink>
      <w:r>
        <w:t xml:space="preserve">;</w:t>
      </w:r>
      <w:r>
        <w:t xml:space="preserve"> </w:t>
      </w:r>
      <w:hyperlink r:id="rId94">
        <w:r>
          <w:rPr>
            <w:rStyle w:val="Hyperlink"/>
          </w:rPr>
          <w:t xml:space="preserve">MEXC News</w:t>
        </w:r>
      </w:hyperlink>
      <w:r>
        <w:t xml:space="preserve">;</w:t>
      </w:r>
      <w:r>
        <w:t xml:space="preserve"> </w:t>
      </w:r>
      <w:hyperlink r:id="rId95">
        <w:r>
          <w:rPr>
            <w:rStyle w:val="Hyperlink"/>
          </w:rPr>
          <w:t xml:space="preserve">Kraken</w:t>
        </w:r>
      </w:hyperlink>
      <w:r>
        <w:t xml:space="preserve">); TROLL (</w:t>
      </w:r>
      <w:hyperlink r:id="rId96">
        <w:r>
          <w:rPr>
            <w:rStyle w:val="Hyperlink"/>
          </w:rPr>
          <w:t xml:space="preserve">Decrypt, licenza</w:t>
        </w:r>
      </w:hyperlink>
      <w:r>
        <w:t xml:space="preserve">;</w:t>
      </w:r>
      <w:r>
        <w:t xml:space="preserve"> </w:t>
      </w:r>
      <w:hyperlink r:id="rId97">
        <w:r>
          <w:rPr>
            <w:rStyle w:val="Hyperlink"/>
          </w:rPr>
          <w:t xml:space="preserve">Coingabbar, Coinbase</w:t>
        </w:r>
      </w:hyperlink>
      <w:r>
        <w:t xml:space="preserve">;</w:t>
      </w:r>
      <w:r>
        <w:t xml:space="preserve"> </w:t>
      </w:r>
      <w:hyperlink r:id="rId98">
        <w:r>
          <w:rPr>
            <w:rStyle w:val="Hyperlink"/>
          </w:rPr>
          <w:t xml:space="preserve">Binance.US su X</w:t>
        </w:r>
      </w:hyperlink>
      <w:r>
        <w:t xml:space="preserve">;</w:t>
      </w:r>
      <w:r>
        <w:t xml:space="preserve"> </w:t>
      </w:r>
      <w:hyperlink r:id="rId99">
        <w:r>
          <w:rPr>
            <w:rStyle w:val="Hyperlink"/>
          </w:rPr>
          <w:t xml:space="preserve">CoinMarketCap AI TROLL</w:t>
        </w:r>
      </w:hyperlink>
      <w:r>
        <w:t xml:space="preserve">); TRIPLE T (</w:t>
      </w:r>
      <w:hyperlink r:id="rId100">
        <w:r>
          <w:rPr>
            <w:rStyle w:val="Hyperlink"/>
          </w:rPr>
          <w:t xml:space="preserve">madeonsol</w:t>
        </w:r>
      </w:hyperlink>
      <w:r>
        <w:t xml:space="preserve">;</w:t>
      </w:r>
      <w:r>
        <w:t xml:space="preserve"> </w:t>
      </w:r>
      <w:hyperlink r:id="rId101">
        <w:r>
          <w:rPr>
            <w:rStyle w:val="Hyperlink"/>
          </w:rPr>
          <w:t xml:space="preserve">Wikipedia</w:t>
        </w:r>
      </w:hyperlink>
      <w:r>
        <w:t xml:space="preserve">;</w:t>
      </w:r>
      <w:r>
        <w:t xml:space="preserve"> </w:t>
      </w:r>
      <w:hyperlink r:id="rId102">
        <w:r>
          <w:rPr>
            <w:rStyle w:val="Hyperlink"/>
          </w:rPr>
          <w:t xml:space="preserve">Coinranking</w:t>
        </w:r>
      </w:hyperlink>
      <w:r>
        <w:t xml:space="preserve">); CUPSEY (</w:t>
      </w:r>
      <w:hyperlink r:id="rId24">
        <w:r>
          <w:rPr>
            <w:rStyle w:val="Hyperlink"/>
          </w:rPr>
          <w:t xml:space="preserve">Phantom</w:t>
        </w:r>
      </w:hyperlink>
      <w:r>
        <w:t xml:space="preserve">;</w:t>
      </w:r>
      <w:r>
        <w:t xml:space="preserve"> </w:t>
      </w:r>
      <w:hyperlink r:id="rId103">
        <w:r>
          <w:rPr>
            <w:rStyle w:val="Hyperlink"/>
          </w:rPr>
          <w:t xml:space="preserve">pump.fun</w:t>
        </w:r>
      </w:hyperlink>
      <w:r>
        <w:t xml:space="preserve">;</w:t>
      </w:r>
      <w:r>
        <w:t xml:space="preserve"> </w:t>
      </w:r>
      <w:hyperlink r:id="rId104">
        <w:r>
          <w:rPr>
            <w:rStyle w:val="Hyperlink"/>
          </w:rPr>
          <w:t xml:space="preserve">PCrisk</w:t>
        </w:r>
      </w:hyperlink>
      <w:r>
        <w:t xml:space="preserve">); WOJAK (</w:t>
      </w:r>
      <w:hyperlink r:id="rId105">
        <w:r>
          <w:rPr>
            <w:rStyle w:val="Hyperlink"/>
          </w:rPr>
          <w:t xml:space="preserve">Kraken blog</w:t>
        </w:r>
      </w:hyperlink>
      <w:r>
        <w:t xml:space="preserve">;</w:t>
      </w:r>
      <w:r>
        <w:t xml:space="preserve"> </w:t>
      </w:r>
      <w:hyperlink r:id="rId106">
        <w:r>
          <w:rPr>
            <w:rStyle w:val="Hyperlink"/>
          </w:rPr>
          <w:t xml:space="preserve">wojakcto.com whitepaper</w:t>
        </w:r>
      </w:hyperlink>
      <w:r>
        <w:t xml:space="preserve">;</w:t>
      </w:r>
      <w:r>
        <w:t xml:space="preserve"> </w:t>
      </w:r>
      <w:hyperlink r:id="rId107">
        <w:r>
          <w:rPr>
            <w:rStyle w:val="Hyperlink"/>
          </w:rPr>
          <w:t xml:space="preserve">TradingView/CoinMarketCal</w:t>
        </w:r>
      </w:hyperlink>
      <w:r>
        <w:t xml:space="preserve">;</w:t>
      </w:r>
      <w:r>
        <w:t xml:space="preserve"> </w:t>
      </w:r>
      <w:hyperlink r:id="rId108">
        <w:r>
          <w:rPr>
            <w:rStyle w:val="Hyperlink"/>
          </w:rPr>
          <w:t xml:space="preserve">Cryptonews</w:t>
        </w:r>
      </w:hyperlink>
      <w:r>
        <w:t xml:space="preserve">). Per i profili completi dei sei token si rimanda al rapporto "Memecoin Solana con Wojak Ethereum".</w:t>
      </w:r>
    </w:p>
    <w:p>
      <w:pPr>
        <w:pStyle w:val="BodyText"/>
      </w:pPr>
      <w:r>
        <w:t xml:space="preserve">Il senso dei numeri è semplice. TROLL è l'unico dei sei che accumula fattori positivi (scala di listing da mid-cap, IP esclusiva, base holder in crescita, un ciclo 2026 proprio) e vede le proprie quote di rialzo moltiplicate per 1,7 e quelle di ribasso ridotte del 15%. CHILLGUY paga la combinazione "meme 2024 a −98% senza catalizzatori e con supply concentrata", che quasi dimezza le quote di rialzo nonostante l'infrastruttura migliore della fascia. CHILLHOUSE è il caso in cui i limiti del modello contano: il prodotto grezzo dei suoi fattori (0,24 al rialzo, 2,17 al ribasso) viene riportato ai limiti di 0,5 e 2,0, quindi</w:t>
      </w:r>
      <w:r>
        <w:t xml:space="preserve"> </w:t>
      </w:r>
      <w:r>
        <w:rPr>
          <w:bCs/>
          <w:b/>
        </w:rPr>
        <w:t xml:space="preserve">il modello è meno pessimista su CHILLHOUSE di quanto i fatti suggerirebbero</w:t>
      </w:r>
      <w:r>
        <w:t xml:space="preserve">. TRIPLE T, CUPSEY e WOJAK sono vicini al neutro: più giovani e più vicini ai massimi (3× di distanza contro 20–53× per le due "Chill"), ma con liquidità sottile e, per CUPSEY e WOJAK, problemi di insider, migrazioni e cloni. C'è però un secondo effetto, quello di λ, che si vede nella tabella del passo 4: per i token poco legati alla chain, il rally di SOL compra meno probabilità aggiuntiva.</w:t>
      </w:r>
    </w:p>
    <w:bookmarkEnd w:id="109"/>
    <w:bookmarkStart w:id="110" w:name="Xaf14e7ce4fecefdb6af17d91bd4a7ba304a4553"/>
    <w:p>
      <w:pPr>
        <w:pStyle w:val="Heading2"/>
      </w:pPr>
      <w:r>
        <w:t xml:space="preserve">Passo 4: risultati finali, probabilità condizionate e sensibilità</w:t>
      </w:r>
    </w:p>
    <w:p>
      <w:pPr>
        <w:pStyle w:val="FirstParagraph"/>
      </w:pPr>
      <w:r>
        <w:t xml:space="preserve">Combinando la distribuzione di SOL (passo 1), la tabella generica (passo 2) e gli aggiustamenti (passo 3), il modello produce per ogni token le probabilità non condizionate e quelle condizionate a un rialzo della chain. La tabella seguente riporta il metodo tabellare (scenario SOL Base); le probabilità condizionate a "chain ≥ +50%" pesano gli scenari con SOL ≥ $165 (D ed E), quelle a "chain ≥ +100%" gli scenari con SOL ≥ $220. Per WOJAK la chain è ETH (soglie $3.900 e $5.200).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Token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Condizione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 +50%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 2x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 3x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 5x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 10x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Nuovo 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 −50%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Morta (≤ −80%)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CHILLGUY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 condizionata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11,9%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7,3%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4,4%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2,3%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0,8%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0,1%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64,3%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39,5%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0,93×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CHILLGUY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SOL ≥ +50%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32,3%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21,4%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13,4%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7,1%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2,7%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0,3%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35,5%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17,9%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2,11×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CHILLGUY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SOL ≥ +100%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37,8%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26,2%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16,8%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9,0%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3,4%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0,3%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31,8%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16,0%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2,48×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CHILLHOUSE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 condizionata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10,5%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6,5%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3,9%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0,8%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0,3%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72,5%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48,7%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0,81×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CHILLHOUSE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SOL ≥ +50%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21,8%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14,3%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9,0%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4,8%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1,8%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0,7%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56,6%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34,5%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1,48×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CHILLHOUSE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SOL ≥ +100%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24,7%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16,9%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10,9%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5,8%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2,2%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0,9%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54,6%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33,2%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1,68×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TROLL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 condizionata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25,9%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17,5%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11,5%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6,3%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5,4%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54,5%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29,6%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1,79×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TROLL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SOL ≥ +50%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58,8%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44,8%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31,7%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18,9%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7,8%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16,2%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25,4%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11,9%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4,36×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TROLL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SOL ≥ +100%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64,9%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51,8%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38,2%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23,3%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9,8%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20,1%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22,4%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10,5%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5,16×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TRIPLE 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 condizionata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21,0%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13,7%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8,7%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4,7%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1,8%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8,1%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56,6%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31,7%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1,46×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TRIPLE 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SOL ≥ +50%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39,7%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28,3%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18,9%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10,6%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4,2%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17,7%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38,3%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20,0%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2,73×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TRIPLE 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SOL ≥ +100%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43,8%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32,5%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22,4%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12,8%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5,1%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21,1%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36,3%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19,1%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3,13×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CUPSEY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 condizionata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14,8%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9,4%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5,8%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3,0%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1,1%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5,3%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63,2%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38,0%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1,09×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CUPSEY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SOL ≥ +50%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29,7%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20,2%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13,0%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7,1%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2,7%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11,9%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45,3%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25,0%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2,00×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CUPSEY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SOL ≥ +100%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33,2%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23,5%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15,6%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8,5%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3,3%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14,3%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43,2%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23,9%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2,29×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WOJAK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 condizionata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19,3%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12,5%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7,8%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4,2%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1,6%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8,0%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59,6%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34,3%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1,34×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WOJAK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ETH ≥ +50%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40,8%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28,9%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19,2%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10,7%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4,2%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19,6%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37,9%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19,7%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2,75×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WOJAK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ETH ≥ +100%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45,7%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33,8%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23,3%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13,2%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5,2%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23,7%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35,4%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18,5%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3,21×</w:t>
            </w:r>
          </w:p>
        </w:tc>
      </w:tr>
    </w:tbl>
    <w:p>
      <w:pPr>
        <w:pStyle w:val="BodyText"/>
      </w:pPr>
      <w:r>
        <w:t xml:space="preserve">Stime del modello (metodo tabellare, blend Base). La lettura per token.</w:t>
      </w:r>
      <w:r>
        <w:t xml:space="preserve"> </w:t>
      </w:r>
      <w:r>
        <w:rPr>
          <w:bCs/>
          <w:b/>
        </w:rPr>
        <w:t xml:space="preserve">TROLL</w:t>
      </w:r>
      <w:r>
        <w:t xml:space="preserve">: 1 su 4 di essere a +50%, 1 su 6 di raddoppiare, 1 su 16 di fare 5×, 5% di nuovo ATH (che dista 5,6×); se SOL raddoppia, il raddoppio diventa più probabile che no (52%) e il nuovo ATH arriva a 1 su 5; ma anche in quel caso 1 su 5 di perdere metà del valore.</w:t>
      </w:r>
      <w:r>
        <w:t xml:space="preserve"> </w:t>
      </w:r>
      <w:r>
        <w:rPr>
          <w:bCs/>
          <w:b/>
        </w:rPr>
        <w:t xml:space="preserve">TRIPLE T</w:t>
      </w:r>
      <w:r>
        <w:t xml:space="preserve">: 1 su 5 e 1 su 7, con la probabilità di nuovo ATH più alta del gruppo (8%, perché l'ATH dista solo 3,2×), che sale al 21% se SOL raddoppia; la maggior parte del suo rialzo però non dipende da SOL.</w:t>
      </w:r>
      <w:r>
        <w:t xml:space="preserve"> </w:t>
      </w:r>
      <w:r>
        <w:rPr>
          <w:bCs/>
          <w:b/>
        </w:rPr>
        <w:t xml:space="preserve">WOJAK</w:t>
      </w:r>
      <w:r>
        <w:t xml:space="preserve">: numeri simili a TRIPLE T (19%, 12,5%, 8% di ATH) ma legati a ETH; se ETH raddoppia, 1 su 3 di raddoppio e 1 su 4 di nuovo ATH.</w:t>
      </w:r>
      <w:r>
        <w:t xml:space="preserve"> </w:t>
      </w:r>
      <w:r>
        <w:rPr>
          <w:bCs/>
          <w:b/>
        </w:rPr>
        <w:t xml:space="preserve">CUPSEY</w:t>
      </w:r>
      <w:r>
        <w:t xml:space="preserve">: 1 su 7 e 1 su 10, con 38% di "morte".</w:t>
      </w:r>
      <w:r>
        <w:t xml:space="preserve"> </w:t>
      </w:r>
      <w:r>
        <w:rPr>
          <w:bCs/>
          <w:b/>
        </w:rPr>
        <w:t xml:space="preserve">CHILLGUY</w:t>
      </w:r>
      <w:r>
        <w:t xml:space="preserve">: 1 su 8 e 1 su 14; il nuovo ATH (53× di distanza) è di fatto escluso (0,1–0,4%) anche se SOL raddoppia (0,3–0,8%); ma è, con TROLL, il token che più guadagna da un rally: la probabilità di raddoppio passa dal 2,5% se SOL chiude in calo al 26% se SOL raddoppia, un rapporto di 10 a 1 contro 4–5 a 1 per i token "di attenzione".</w:t>
      </w:r>
      <w:r>
        <w:t xml:space="preserve"> </w:t>
      </w:r>
      <w:r>
        <w:rPr>
          <w:bCs/>
          <w:b/>
        </w:rPr>
        <w:t xml:space="preserve">CHILLHOUSE</w:t>
      </w:r>
      <w:r>
        <w:t xml:space="preserve">: 1 su 10 e 1 su 15, quasi 1 su 2 di essere morta, e nemmeno un raddoppio di SOL la porta oltre il 17% di raddoppio.</w:t>
      </w:r>
    </w:p>
    <w:p>
      <w:pPr>
        <w:pStyle w:val="BodyText"/>
      </w:pPr>
      <w:r>
        <w:t xml:space="preserve">Il</w:t>
      </w:r>
      <w:r>
        <w:t xml:space="preserve"> </w:t>
      </w:r>
      <w:r>
        <w:rPr>
          <w:bCs/>
          <w:b/>
        </w:rPr>
        <w:t xml:space="preserve">Monte Carlo</w:t>
      </w:r>
      <w:r>
        <w:t xml:space="preserve"> </w:t>
      </w:r>
      <w:r>
        <w:t xml:space="preserve">(100.000 percorsi, stesso blend) conferma le cifre principali entro pochi punti, perché è calibrato su +50%, 2x e −50%, ma dice due cose in più. La prima è che le code sono più grasse di quanto il metodo tabellare estrapoli: le probabilità di 10× e di nuovo ATH risultano 1,3–2,5 volte più alte (TROLL 5,9% di 10× e 8,9% di ATH; TRIPLE T 4,3% e 10,4%; WOJAK 3,9% e 10,0%; CUPSEY 2,6% e 6,6%; CHILLHOUSE 2,0% e 1,3%; CHILLGUY 1,3% e 0,4%), quindi la lettura onesta di queste colonne è un intervallo, come nella tabella iniziale. La seconda è la</w:t>
      </w:r>
      <w:r>
        <w:t xml:space="preserve"> </w:t>
      </w:r>
      <w:r>
        <w:rPr>
          <w:bCs/>
          <w:b/>
        </w:rPr>
        <w:t xml:space="preserve">mediana</w:t>
      </w:r>
      <w:r>
        <w:t xml:space="preserve">: 0,33× per CHILLGUY, 0,23× per CHILLHOUSE, 0,42× per TROLL, 0,40× per TRIPLE T, 0,33× per CUPSEY, 0,36× per WOJAK; anche condizionata a un raddoppio della chain, la mediana è 0,5–1,6× (TROLL 1,58×, CHILLGUY 1,21×, WOJAK 0,92×, TRIPLE T 0,91×, CUPSEY 0,75×, CHILLHOUSE 0,53×). Il valore atteso nel Monte Carlo è più alto (0,93–2,30×) per lo stesso motivo delle code, ed è comunque un numero guidato dal tetto di 30× imposto alla coda: va letto come ordine di grandezza, non con due decimali.</w:t>
      </w:r>
    </w:p>
    <w:p>
      <w:pPr>
        <w:pStyle w:val="BodyText"/>
      </w:pPr>
      <w:r>
        <w:t xml:space="preserve">La</w:t>
      </w:r>
      <w:r>
        <w:t xml:space="preserve"> </w:t>
      </w:r>
      <w:r>
        <w:rPr>
          <w:bCs/>
          <w:b/>
        </w:rPr>
        <w:t xml:space="preserve">sensibilità</w:t>
      </w:r>
      <w:r>
        <w:t xml:space="preserve"> </w:t>
      </w:r>
      <w:r>
        <w:t xml:space="preserve">al quadro macro di SOL (o ETH) è, sorprendentemente, modesta. Passando dal blend Pessimistico (P(SOL ≥ +50%) = 14,8%) a quello Ottimistico (24,4%), la probabilità di raddoppio di ogni token si muove di circa ±10–15% in termini relativi e la classifica non cambia.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Token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Scenario SOL/ETH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P(chain ≥ +50%)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P(≥ +50%)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P(≥ 2x)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P(≥ 5x)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P(nuovo ATH)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P(≤ −50%)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P(morta)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CHILLGUY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Ottimistico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24,4%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13,4%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8,4%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2,7%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0,1%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62,2%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37,9%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1,02×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CHILLGUY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20,0%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11,9%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7,3%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2,3%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0,1%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64,3%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39,5%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0,93×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CHILLGUY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Pessimistico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14,8%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9,9%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6,0%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1,8%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0,1%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67,6%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42,2%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0,81×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CHILLHOUSE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Ottimistico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24,4%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11,3%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7,1%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2,3%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0,3%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71,4%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47,7%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0,86×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CHILLHOUSE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20,0%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10,5%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6,5%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0,3%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72,5%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48,7%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0,81×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CHILLHOUSE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Pessimistico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14,8%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9,4%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5,7%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1,8%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0,3%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74,4%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50,5%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0,74×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TROLL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Ottimistico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24,4%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28,3%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19,5%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7,3%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6,2%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52,4%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28,3%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1,99×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TROLL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20,0%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25,9%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17,5%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6,3%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5,4%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54,5%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29,6%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1,79×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TROLL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Pessimistico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14,8%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22,6%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14,8%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5,2%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4,4%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58,0%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32,0%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1,55×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TRIPLE 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Ottimistico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24,4%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22,3%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14,8%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5,1%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8,9%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55,3%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30,8%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1,56×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TRIPLE 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20,0%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21,0%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13,7%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4,7%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8,1%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56,6%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31,7%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1,46×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TRIPLE 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Pessimistico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14,8%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19,1%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12,3%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4,1%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7,2%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58,8%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33,2%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1,34×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CUPSEY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Ottimistico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24,4%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15,9%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10,2%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3,4%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5,8%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61,9%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37,0%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1,16×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CUPSEY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20,0%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14,8%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9,4%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3,0%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5,3%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63,2%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38,0%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1,09×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CUPSEY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Pessimistico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14,8%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13,4%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8,3%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2,7%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4,7%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65,2%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39,7%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1,00×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WOJAK (ETH)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Ottimistico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23,9%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20,9%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13,7%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4,7%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9,0%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58,1%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33,3%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1,45×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WOJAK (ETH)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19,3%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19,3%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12,5%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4,2%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8,0%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59,6%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34,3%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1,34×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WOJAK (ETH)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Pessimistico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13,9%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17,2%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10,9%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3,5%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6,9%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62,2%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36,3%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1,20×</w:t>
            </w:r>
          </w:p>
        </w:tc>
      </w:tr>
    </w:tbl>
    <w:p>
      <w:pPr>
        <w:pStyle w:val="BodyText"/>
      </w:pPr>
      <w:r>
        <w:t xml:space="preserve">Stime del modello. La conseguenza pratica è che</w:t>
      </w:r>
      <w:r>
        <w:t xml:space="preserve"> </w:t>
      </w:r>
      <w:r>
        <w:rPr>
          <w:bCs/>
          <w:b/>
        </w:rPr>
        <w:t xml:space="preserve">le conclusioni dipendono molto più dai base rate sulle memecoin (passo 2) e dai fattori per token (passo 3) che dalla visione macro su SOL</w:t>
      </w:r>
      <w:r>
        <w:t xml:space="preserve">: chi è molto più ottimista del modello su Solana (per esempio chi prende alla lettera i $400 di Standard Chartered) sposta la probabilità di raddoppio di TROLL dal 17,5% al 19,5%, non al 50%. Per arrivare al 50% serve che SOL raddoppi davvero, e quell'evento vale 1 su 8. Questo è anche il modo corretto di leggere la tabella degli scenari del rapporto precedente: i multipli dello scenario "forte" (TROLL 4–6×, WOJAK 3–4×, CHILLGUY 3–5×, TRIPLE T 3–4×, CUPSEY 3–3,5×, CHILLHOUSE 4–8× con SOL a $250) sono obiettivi plausibili condizionati all'euforia, ma nello scenario E il modello dà una probabilità di raggiungere almeno 3× del 42% per TROLL, 25% per WOJAK, 24% per TRIPLE T, 19% per CHILLGUY, 17% per CUPSEY e 12% per CHILLHOUSE, e lo scenario E ha a sua volta il 10% di probabilità: il prodotto (1–5% per token) è esattamente ciò che mostrano le colonne non condizionate.</w:t>
      </w:r>
    </w:p>
    <w:bookmarkEnd w:id="110"/>
    <w:bookmarkStart w:id="115" w:name="X5d02574d264814ebf12effdd940d8b22d34a2cc"/>
    <w:p>
      <w:pPr>
        <w:pStyle w:val="Heading2"/>
      </w:pPr>
      <w:r>
        <w:t xml:space="preserve">Passo 5: come usare questi numeri, cosa li cambierebbe, cosa monitorare</w:t>
      </w:r>
    </w:p>
    <w:p>
      <w:pPr>
        <w:pStyle w:val="FirstParagraph"/>
      </w:pPr>
      <w:r>
        <w:rPr>
          <w:bCs/>
          <w:b/>
        </w:rPr>
        <w:t xml:space="preserve">Perché i numeri escono così, detto semplicemente.</w:t>
      </w:r>
      <w:r>
        <w:t xml:space="preserve"> </w:t>
      </w:r>
      <w:r>
        <w:t xml:space="preserve">Il risultato è il prodotto di tre probabilità in catena, ciascuna inferiore a uno. La prima è che SOL salga davvero (1 su 5 per +50%, 1 su 8 per il raddoppio), e questa è la parte "ottimista" del modello, perché dà peso anche ai mercati predittivi e alla storia del 2023, più generosi delle opzioni. La seconda è che, dato il rialzo, la meme vecchia partecipi: i dati del 2025 e del 2026 dicono che non è scontato, perché il denaro nuovo va ai token nuovi, e perciò anche nello scenario migliore solo una meme consolidata su due raddoppia. La terza è il profilo del singolo token: TROLL parte avvantaggiato, CHILLGUY e CHILLHOUSE svantaggiati, gli altri tre in mezzo ma con metà del destino scollegato da SOL. Moltiplicando una probabilità bassa per una media per un aggiustamento si ottengono numeri tra il 6% e il 18% per il raddoppio. Il valore atteso sopra 1 non contraddice il fatto che l'esito tipico sia una perdita del 60–75%: è la media di tanti percorsi, dominata da pochi casi a 10–30×, e ha senso solo per chi può distribuire la scommessa su molte posizioni e tollerare la perdita quasi totale su ciascuna; chi non può, deve guardare la mediana e la colonna "morta".</w:t>
      </w:r>
    </w:p>
    <w:p>
      <w:pPr>
        <w:pStyle w:val="BodyText"/>
      </w:pPr>
      <w:r>
        <w:rPr>
          <w:bCs/>
          <w:b/>
        </w:rPr>
        <w:t xml:space="preserve">Cosa farebbe cambiare i numeri.</w:t>
      </w:r>
      <w:r>
        <w:t xml:space="preserve"> </w:t>
      </w:r>
      <w:r>
        <w:t xml:space="preserve">I segnali che sposterebbero il passo 1 sono una svolta della Fed verso i tagli nel 2027 (Morningstar li attende, i dot no), una ripresa stabile degli afflussi negli ETF SOL sopra i $100 mln a settimana, una data certa per Alpenglow su mainnet e un ritorno di BTC sopra la media a 50 settimane ($82.000) che Galaxy usa come conferma della fine del mercato orso (</w:t>
      </w:r>
      <w:hyperlink r:id="rId111">
        <w:r>
          <w:rPr>
            <w:rStyle w:val="Hyperlink"/>
          </w:rPr>
          <w:t xml:space="preserve">Morningstar</w:t>
        </w:r>
      </w:hyperlink>
      <w:r>
        <w:t xml:space="preserve">;</w:t>
      </w:r>
      <w:r>
        <w:t xml:space="preserve"> </w:t>
      </w:r>
      <w:hyperlink r:id="rId112">
        <w:r>
          <w:rPr>
            <w:rStyle w:val="Hyperlink"/>
          </w:rPr>
          <w:t xml:space="preserve">AMBCrypto/Galaxy</w:t>
        </w:r>
      </w:hyperlink>
      <w:r>
        <w:t xml:space="preserve">); in senso opposto, un secondo rialzo Fed a dicembre o una rottura di SOL sotto i $100. I segnali che sposterebbero il passo 2, più importanti, sono una ripresa del comparto meme Solana oltre i $5 mld guidata dai nomi del 2024–25 e non dai lanci nuovi, un ritorno della quota meme nel volume Solana verso il 30–40% e un Altcoin Season Index sopra 75 (era a 61 a inizio ottobre, 40 nel Fear &amp; Greed del 7–8 ottobre) (</w:t>
      </w:r>
      <w:hyperlink r:id="rId113">
        <w:r>
          <w:rPr>
            <w:rStyle w:val="Hyperlink"/>
          </w:rPr>
          <w:t xml:space="preserve">CoinMarketCap</w:t>
        </w:r>
      </w:hyperlink>
      <w:r>
        <w:t xml:space="preserve">;</w:t>
      </w:r>
      <w:r>
        <w:t xml:space="preserve"> </w:t>
      </w:r>
      <w:hyperlink r:id="rId114">
        <w:r>
          <w:rPr>
            <w:rStyle w:val="Hyperlink"/>
          </w:rPr>
          <w:t xml:space="preserve">BitDegree</w:t>
        </w:r>
      </w:hyperlink>
      <w:r>
        <w:t xml:space="preserve">). I segnali per token sono quelli già individuati nel rapporto precedente: per TROLL un listing spot o futures su Binance globale (che il modello non prezza esplicitamente, e che varrebbe un +10–80% immediato ma non un cambio di regime a dodici mesi) e la prova on-chain di accumulo; per CHILLGUY la permanenza del perpetual Binance, il cui delisting è un rischio discreto fuori dal modello; per TRIPLE T l'avvicinarsi del Ramadan 2027 (inizio febbraio) e un listing di prima fascia; per CUPSEY un riconoscimento formale di pump.fun o la prova che i wallet di progetto e dei KOL non vendono; per WOJAK l'ammissione alla negoziazione su un exchange UE aperta dal whitepaper MiCAR, un listing Binance o Coinbase, un volume stabilmente sopra i $5 mln al giorno e una tabella verificabile dei primi dieci holder; per CHILLHOUSE un qualsiasi segno di vita dell'account @ChillHouseSOL, assente dal novembre 2025.</w:t>
      </w:r>
    </w:p>
    <w:p>
      <w:pPr>
        <w:pStyle w:val="BodyText"/>
      </w:pPr>
      <w:r>
        <w:rPr>
          <w:bCs/>
          <w:b/>
        </w:rPr>
        <w:t xml:space="preserve">Avvertenze esplicite.</w:t>
      </w:r>
      <w:r>
        <w:t xml:space="preserve"> </w:t>
      </w:r>
      <w:r>
        <w:t xml:space="preserve">La tabella seguente elenca i limiti che ogni lettore deve tenere accanto alle cifre.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Avvertenza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 cosa significa per i numeri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Modello illustrativo, non predittivo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 probabilità di scenario, la tabella condizionata e i moltiplicatori sono stime di giudizio ancorate alle fonti; un altro analista otterrebbe numeri diversi. Lo scopo è rendere trasparente il ragionamento, non prevedere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Dati da snippet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Nessuna pagina di mercato (Polymarket, Kalshi, Deribit, CoinGecko, Coinglass) è stata consultata direttamente: tutti i numeri vengono da snippet dei motori di ricerca o da notizie, con snapshot tra il 21 settembre e l'8 ottobre 2026; i tracker divergono anche del 15–50% su prezzi e volumi dei token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Campioni piccoli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 base rate di SOL vengono da 57 finestre mensili sovrapposte ricostruite dalle note (da verificare su dati giornalieri); quelli delle memecoin da un solo studio Coin Metrics (150 token) più finestre aneddotiche per token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Studio con survivorship bias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Il 3,3% di ritorno all'ATH di Coin Metrics riguarda token con un prezzo su CEX, cioè i sopravvissuti; per l'universo largo i tassi sono più bassi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Nessun beta formale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Nessuna fonte pubblica un beta di regressione delle meme Solana rispetto a SOL; i parametri del Monte Carlo (beta 1,5 e 1,3, decadimento −80%) sono calibrati sulla tabella di giudizio, non stimati sui dati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Mercati predittivi sottili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 scala Kalshi è un mercato a tre mesi con $183.000 di volume e long-shot bias; usarla per dodici mesi richiede l'assunzione in due stadi del modello; non esistono mercati 2027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Assunzioni su ETH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Volatilità di ETH al 50% e riutilizzo delle componenti storica e predittiva di SOL come proxy sono assunzioni; la tabella condizionata di WOJAK è quella delle meme Solana, mentre le meme Ethereum di culto potrebbero sopravvivere meglio (PEPE segnò un nuovo ATH a dicembre 2024)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Code e valore atteso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P(≥ 10x), P(nuovo ATH) per ATH lontani ed EV dipendono dall'ipotesi sulla coda (Pareto o Student-t) e dal tetto di 30×; vanno citati come intervalli e ordini di grandezza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Rischi discreti non modellati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Delisting del perpetual Binance (CHILLGUY), seconda migrazione di contratto (CUPSEY, WOJAK), ritiro della liquidità (CHILLHOUSE, stato della LP ignoto), rug, hack ed exploit sono eventi fuori dal quadro lognormale/Student-t e sono catturati solo in parte dai moltiplicatori di ribasso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Dipendenza dal solo punto di arrivo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Il modello guarda dove SOL chiude l'anno, non il percorso: un picco a $200 a marzo con ritorno a $110 in ottobre è "scenario B" ma potrebbe dare esiti meme molto diversi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Nessuna consulenza finanziaria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 sei token sono asset illiquidi, ad alto rischio e senza floor fondamentale; la perdita totale è un esito plausibile in ogni scenario; questo documento è un'analisi informativa e non una raccomandazione di acquisto, vendita o detenzione</w:t>
            </w:r>
          </w:p>
        </w:tc>
      </w:tr>
    </w:tbl>
    <w:bookmarkEnd w:id="115"/>
    <w:bookmarkStart w:id="116" w:name="conclusione"/>
    <w:p>
      <w:pPr>
        <w:pStyle w:val="Heading2"/>
      </w:pPr>
      <w:r>
        <w:t xml:space="preserve">Conclusione</w:t>
      </w:r>
    </w:p>
    <w:p>
      <w:pPr>
        <w:pStyle w:val="FirstParagraph"/>
      </w:pPr>
      <w:r>
        <w:t xml:space="preserve">Il contributo di questa analisi rispetto al rapporto descrittivo precedente è aver separato tre domande che il discorso di mercato fonde: "SOL salirà?", "se sale, le vecchie meme seguiranno?" e "quale delle sei?". La prima ha una risposta che oscilla poco tra fonti ottimiste e pessimiste (15–24% per +50%); la seconda è quella decisiva e la meno discussa, perché la risposta del 2026 (categoria piatta durante un +39–60% di SOL, 81% dei token a −90%, 3,3% di ritorni all'ATH) dimezza o peggio qualunque probabilità ottenuta dalla prima; la terza produce una gerarchia stabile in ogni scenario (TROLL, poi TRIPLE T e WOJAK, poi CUPSEY, CHILLGUY e CHILLHOUSE) ma con differenze di pochi punti percentuali, non di ordini di grandezza. Il risultato controintuitivo è che per tre token su sei un raddoppio di SOL conta meno del loro ciclo di attenzione, mentre per CHILLGUY, il token con la narrativa più esaurita, il rally è l'unico modo per salire: la sua probabilità di raddoppio decuplica tra uno scenario di SOL in calo e uno di SOL raddoppiato.</w:t>
      </w:r>
    </w:p>
    <w:p>
      <w:pPr>
        <w:pStyle w:val="BodyText"/>
      </w:pPr>
      <w:r>
        <w:t xml:space="preserve">Per chi usa questi numeri, l'implicazione operativa è che la variabile da monitorare non è il prezzo di SOL ma la composizione del rally: se i primi segnali di una nuova fase meme vedono salire BONK, WIF, POPCAT e i nomi del 2024–25 prima dei lanci nuovi, le righe D ed E della tabella generica vanno riviste al rialzo e tutte le probabilità di questo rapporto con esse; se invece, come a settembre 2026 con ZCAT, i capitali vanno ancora ai token di quella settimana, le stime qui riportate sono, semmai, ottimistiche. Nel frattempo, la cifra più onesta da ricordare è la mediana: tra un anno il percorso tipico di ciascuno dei sei token vale tra un quinto e poco meno della metà di oggi, e una probabilità tra il 6% e il 18% di raddoppio è il prezzo di quella asimmetria.</w:t>
      </w:r>
    </w:p>
    <w:bookmarkEnd w:id="116"/>
    <w:bookmarkEnd w:id="11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it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20" w:before="20"/>
    </w:pPr>
    <w:rPr>
      <w:sz w:val="15"/>
      <w:szCs w:val="15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Borders>
        <w:top w:color="BFBFBF" w:sz="4" w:val="single"/>
        <w:left w:color="BFBFBF" w:sz="4" w:val="single"/>
        <w:bottom w:color="BFBFBF" w:sz="4" w:val="single"/>
        <w:right w:color="BFBFBF" w:sz="4" w:val="single"/>
        <w:insideH w:color="BFBFBF" w:sz="4" w:val="single"/>
        <w:insideV w:color="BFBFBF" w:sz="4" w:val="single"/>
      </w:tblBorders>
      <w:tblCellMar>
        <w:top w:type="dxa" w:w="30"/>
        <w:left w:type="dxa" w:w="60"/>
        <w:bottom w:type="dxa" w:w="30"/>
        <w:right w:type="dxa" w:w="60"/>
      </w:tblCellMar>
    </w:tblPr>
    <w:tblStylePr w:type="firstRow">
      <w:tblPr>
        <w:jc w:val="left"/>
        <w:tblInd w:type="dxa" w:w="0"/>
      </w:tblPr>
      <w:trPr>
        <w:jc w:val="left"/>
      </w:trPr>
      <w:tcPr>
        <w:shd w:color="auto" w:fill="E7EEF7" w:val="clear"/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112" Target="https://ambcrypto.com/why-galaxy-research-believes-this-level-could-end-bitcoins-bear-market/" TargetMode="External" /><Relationship Type="http://schemas.openxmlformats.org/officeDocument/2006/relationships/hyperlink" Id="rId61" Target="https://blockonomi.com/bonk-price-reaches-all-time-high-dominates-solana-ecosystem-with-175-november-gains/" TargetMode="External" /><Relationship Type="http://schemas.openxmlformats.org/officeDocument/2006/relationships/hyperlink" Id="rId105" Target="https://blog.kraken.com/product/asset-listings/wojak-is-available-for-trading" TargetMode="External" /><Relationship Type="http://schemas.openxmlformats.org/officeDocument/2006/relationships/hyperlink" Id="rId64" Target="https://changelly.com/blog/top-10-solana-memecoins-for-the-2025-bull-run/" TargetMode="External" /><Relationship Type="http://schemas.openxmlformats.org/officeDocument/2006/relationships/hyperlink" Id="rId68" Target="https://coindcx.com/blog/crypto-highlights/best-solana-meme-coins/" TargetMode="External" /><Relationship Type="http://schemas.openxmlformats.org/officeDocument/2006/relationships/hyperlink" Id="rId57" Target="https://coingape.com/markets/bitwise-predicts-solana-price-will-hit-new-all-time-highs-in-2026/" TargetMode="External" /><Relationship Type="http://schemas.openxmlformats.org/officeDocument/2006/relationships/hyperlink" Id="rId35" Target="https://coingape.com/markets/solana-price-outlook-eyes-130-as-open-interest-climbs-to-7-24b/" TargetMode="External" /><Relationship Type="http://schemas.openxmlformats.org/officeDocument/2006/relationships/hyperlink" Id="rId113" Target="https://coinmarketcap.com/charts/altcoin-season-index/" TargetMode="External" /><Relationship Type="http://schemas.openxmlformats.org/officeDocument/2006/relationships/hyperlink" Id="rId87" Target="https://coinmarketcap.com/cmc-ai/just-a-chill-guy/price-analysis/" TargetMode="External" /><Relationship Type="http://schemas.openxmlformats.org/officeDocument/2006/relationships/hyperlink" Id="rId48" Target="https://coinmarketcap.com/cmc-ai/solana/latest-updates/" TargetMode="External" /><Relationship Type="http://schemas.openxmlformats.org/officeDocument/2006/relationships/hyperlink" Id="rId99" Target="https://coinmarketcap.com/cmc-ai/troll-sol/latest-updates/" TargetMode="External" /><Relationship Type="http://schemas.openxmlformats.org/officeDocument/2006/relationships/hyperlink" Id="rId73" Target="https://coinmetrics.substack.com/p/state-of-the-network-issue-384" TargetMode="External" /><Relationship Type="http://schemas.openxmlformats.org/officeDocument/2006/relationships/hyperlink" Id="rId102" Target="https://coinranking.com/coin/Gpdg_bp5Z+tungtungtungsahur-triplet" TargetMode="External" /><Relationship Type="http://schemas.openxmlformats.org/officeDocument/2006/relationships/hyperlink" Id="rId82" Target="https://coinranking.com/coin/zNZHO_Sjf+solana-sol/historical-data" TargetMode="External" /><Relationship Type="http://schemas.openxmlformats.org/officeDocument/2006/relationships/hyperlink" Id="rId32" Target="https://coinstats.app/ai/a/investment-analysis-solana" TargetMode="External" /><Relationship Type="http://schemas.openxmlformats.org/officeDocument/2006/relationships/hyperlink" Id="rId36" Target="https://cryptobriefing.com/deribit-solana-options-september-25-expiry/" TargetMode="External" /><Relationship Type="http://schemas.openxmlformats.org/officeDocument/2006/relationships/hyperlink" Id="rId69" Target="https://cryptonews.com/cryptocurrency/best-solana-meme-coins/" TargetMode="External" /><Relationship Type="http://schemas.openxmlformats.org/officeDocument/2006/relationships/hyperlink" Id="rId108" Target="https://cryptonews.com/news/wojak-meme-coin-price-analysis/" TargetMode="External" /><Relationship Type="http://schemas.openxmlformats.org/officeDocument/2006/relationships/hyperlink" Id="rId62" Target="https://cryptorank.io/news/feed/2364d-solana-based-popcat-hits-all-time-high-can-it-hit-2-next" TargetMode="External" /><Relationship Type="http://schemas.openxmlformats.org/officeDocument/2006/relationships/hyperlink" Id="rId81" Target="https://cryptorank.io/price/triplet" TargetMode="External" /><Relationship Type="http://schemas.openxmlformats.org/officeDocument/2006/relationships/hyperlink" Id="rId53" Target="https://cryptoticker.io/en/solana-alpenglow-mainnet-date-missed/" TargetMode="External" /><Relationship Type="http://schemas.openxmlformats.org/officeDocument/2006/relationships/hyperlink" Id="rId96" Target="https://decrypt.co/337937/trollface-meme-creator-grants-exclusive-ip-rights-solana-token" TargetMode="External" /><Relationship Type="http://schemas.openxmlformats.org/officeDocument/2006/relationships/hyperlink" Id="rId93" Target="https://dexpaprika.com/solana/pool/35TqQMeiRwEbK6FR5qiPwastuAAvo32VjnULJpxVSxUK" TargetMode="External" /><Relationship Type="http://schemas.openxmlformats.org/officeDocument/2006/relationships/hyperlink" Id="rId79" Target="https://empirica.io/blog/the-binance-effect-a-7-year-analysis-for-token-founders/" TargetMode="External" /><Relationship Type="http://schemas.openxmlformats.org/officeDocument/2006/relationships/hyperlink" Id="rId101" Target="https://en.wikipedia.org/wiki/Tung_Tung_Tung_Sahur" TargetMode="External" /><Relationship Type="http://schemas.openxmlformats.org/officeDocument/2006/relationships/hyperlink" Id="rId43" Target="https://fortune.com/2026/09/16/fed-rate-hike-trump-kevin-warsh/" TargetMode="External" /><Relationship Type="http://schemas.openxmlformats.org/officeDocument/2006/relationships/hyperlink" Id="rId86" Target="https://fortune.com/article/price-of-ethereum-06-30-2026/" TargetMode="External" /><Relationship Type="http://schemas.openxmlformats.org/officeDocument/2006/relationships/hyperlink" Id="rId58" Target="https://fortune.com/article/price-of-ethereum-09-21-2026/" TargetMode="External" /><Relationship Type="http://schemas.openxmlformats.org/officeDocument/2006/relationships/hyperlink" Id="rId38" Target="https://kalshi.com/markets/kxsold26/sol-price-end-of-2026/kxsold26-27jan0100" TargetMode="External" /><Relationship Type="http://schemas.openxmlformats.org/officeDocument/2006/relationships/hyperlink" Id="rId39" Target="https://kalshi.com/markets/kxsolmaxy/solana-max-yearly/kxsolmaxy-27jan01" TargetMode="External" /><Relationship Type="http://schemas.openxmlformats.org/officeDocument/2006/relationships/hyperlink" Id="rId100" Target="https://madeonsol.com/token/J8PSdNP3QewKq2Z1JJJFDMaqF7KcaiJhR7gbr5KZpump" TargetMode="External" /><Relationship Type="http://schemas.openxmlformats.org/officeDocument/2006/relationships/hyperlink" Id="rId37" Target="https://news.bitcoin.com/price-predictions/ethereum-solana-and-zcash-face-wild-year-end-price-predictions/" TargetMode="External" /><Relationship Type="http://schemas.openxmlformats.org/officeDocument/2006/relationships/hyperlink" Id="rId72" Target="https://panews.io/articles/15l9pxk2" TargetMode="External" /><Relationship Type="http://schemas.openxmlformats.org/officeDocument/2006/relationships/hyperlink" Id="rId24" Target="https://phantom.com/tokens/solana/6NwarBvDkXhByqVp2Qkq5i9XbtA2B3Bwe8SWGu9vpump" TargetMode="External" /><Relationship Type="http://schemas.openxmlformats.org/officeDocument/2006/relationships/hyperlink" Id="rId92" Target="https://phemex.com/news/article/binance-to-delist-several-perpetual-contracts-in-april-70791" TargetMode="External" /><Relationship Type="http://schemas.openxmlformats.org/officeDocument/2006/relationships/hyperlink" Id="rId88" Target="https://phemex.com/news/article/meme-coin-troll-market-cap-surpasses-120m-amid-30-surge-80495" TargetMode="External" /><Relationship Type="http://schemas.openxmlformats.org/officeDocument/2006/relationships/hyperlink" Id="rId71" Target="https://phemex.com/news/article/solana-memecoin-hold-time-plummets-to-58-seconds-in-2026-70043" TargetMode="External" /><Relationship Type="http://schemas.openxmlformats.org/officeDocument/2006/relationships/hyperlink" Id="rId42" Target="https://polymarket.com/event/solana-all-time-high-by" TargetMode="External" /><Relationship Type="http://schemas.openxmlformats.org/officeDocument/2006/relationships/hyperlink" Id="rId41" Target="https://polymarket.com/event/what-price-will-solana-hit-in-2026" TargetMode="External" /><Relationship Type="http://schemas.openxmlformats.org/officeDocument/2006/relationships/hyperlink" Id="rId40" Target="https://polymarket.com/predictions/solana" TargetMode="External" /><Relationship Type="http://schemas.openxmlformats.org/officeDocument/2006/relationships/hyperlink" Id="rId103" Target="https://pump.fun/coin/6NwarBvDkXhByqVp2Qkq5i9XbtA2B3Bwe8SWGu9vpump" TargetMode="External" /><Relationship Type="http://schemas.openxmlformats.org/officeDocument/2006/relationships/hyperlink" Id="rId49" Target="https://solanacompass.com/news/us-spot-solana-etfs-log-12-consecutive-weeks-of-net-inflows-accumulating-14b" TargetMode="External" /><Relationship Type="http://schemas.openxmlformats.org/officeDocument/2006/relationships/hyperlink" Id="rId59" Target="https://thecoinrepublic.com/2026/10/07/crypto-market-reacts-to-us-fomc-news-as-officials-signal-another-fed-rate-hike" TargetMode="External" /><Relationship Type="http://schemas.openxmlformats.org/officeDocument/2006/relationships/hyperlink" Id="rId50" Target="https://www.21shares.com/en-us/insights/solana-h1-2026-earnings-analysis" TargetMode="External" /><Relationship Type="http://schemas.openxmlformats.org/officeDocument/2006/relationships/hyperlink" Id="rId114" Target="https://www.bitdegree.org/cryptocurrency-prices/fear-and-greed-index" TargetMode="External" /><Relationship Type="http://schemas.openxmlformats.org/officeDocument/2006/relationships/hyperlink" Id="rId70" Target="https://www.bitget.com/news/detail/12560605799325" TargetMode="External" /><Relationship Type="http://schemas.openxmlformats.org/officeDocument/2006/relationships/hyperlink" Id="rId84" Target="https://www.bybit.com/en/price/cupsey-2/" TargetMode="External" /><Relationship Type="http://schemas.openxmlformats.org/officeDocument/2006/relationships/hyperlink" Id="rId27" Target="https://www.bybit.com/en/price/solana/" TargetMode="External" /><Relationship Type="http://schemas.openxmlformats.org/officeDocument/2006/relationships/hyperlink" Id="rId20" Target="https://www.bybitglobal.com/en/price/chill-guy/" TargetMode="External" /><Relationship Type="http://schemas.openxmlformats.org/officeDocument/2006/relationships/hyperlink" Id="rId89" Target="https://www.ccn.com/analysis/crypto/troll-price-surges-solana-memecoin-breakout-2026-analysis-prediction/" TargetMode="External" /><Relationship Type="http://schemas.openxmlformats.org/officeDocument/2006/relationships/hyperlink" Id="rId45" Target="https://www.cnbc.com/2026/09/15/senate-cloture-vote-on-clarity-act-fails-dealing-regulatory-setback-to-crypto-industry.html" TargetMode="External" /><Relationship Type="http://schemas.openxmlformats.org/officeDocument/2006/relationships/hyperlink" Id="rId44" Target="https://www.cnbc.com/2026/09/18/three-words-from-kevin-warsh-have-wall-street-wondering-how-far-the-fed-will-go-with-rate-hikes.html" TargetMode="External" /><Relationship Type="http://schemas.openxmlformats.org/officeDocument/2006/relationships/hyperlink" Id="rId31" Target="https://www.coinbase.com/price/solana" TargetMode="External" /><Relationship Type="http://schemas.openxmlformats.org/officeDocument/2006/relationships/hyperlink" Id="rId21" Target="https://www.coinbase.com/price/solana-chill-house-pump" TargetMode="External" /><Relationship Type="http://schemas.openxmlformats.org/officeDocument/2006/relationships/hyperlink" Id="rId22" Target="https://www.coinbase.com/price/solana-troll-hgh2" TargetMode="External" /><Relationship Type="http://schemas.openxmlformats.org/officeDocument/2006/relationships/hyperlink" Id="rId76" Target="https://www.coindesk.com/business/2025/05/07/98-of-tokens-on-pump-fun-have-been-rug-pulls-or-an-act-of-fraud-new-report-says" TargetMode="External" /><Relationship Type="http://schemas.openxmlformats.org/officeDocument/2006/relationships/hyperlink" Id="rId46" Target="https://www.coindesk.com/business/2026/09/15/live-updates-bitcoin-slides-from-nearly-usd80-000-as-senate-votes-on-clarity-act" TargetMode="External" /><Relationship Type="http://schemas.openxmlformats.org/officeDocument/2006/relationships/hyperlink" Id="rId47" Target="https://www.coindesk.com/daybook-us/2026/10/08/bitcoin-etf-investors-head-for-the-exit-and-it-s-the-biggest-rush-in-months" TargetMode="External" /><Relationship Type="http://schemas.openxmlformats.org/officeDocument/2006/relationships/hyperlink" Id="rId54" Target="https://www.coindesk.com/markets/2026/02/03/this-analyst-expects-solana-to-reach-usd2-000-by-2030-despite-cutting-his-2026-target" TargetMode="External" /><Relationship Type="http://schemas.openxmlformats.org/officeDocument/2006/relationships/hyperlink" Id="rId55" Target="https://www.coindesk.com/markets/2026/02/12/standard-chartered-sees-bitcoin-sliding-to-usd50-000-ether-to-usd1-400-before-recovery" TargetMode="External" /><Relationship Type="http://schemas.openxmlformats.org/officeDocument/2006/relationships/hyperlink" Id="rId29" Target="https://www.coindesk.com/price/solana" TargetMode="External" /><Relationship Type="http://schemas.openxmlformats.org/officeDocument/2006/relationships/hyperlink" Id="rId97" Target="https://www.coingabbar.com/en/crypto-currency-news/coinbase-listing-announcement-today-cfg-troll-token" TargetMode="External" /><Relationship Type="http://schemas.openxmlformats.org/officeDocument/2006/relationships/hyperlink" Id="rId85" Target="https://www.coingecko.com/en/coins/wojak-5" TargetMode="External" /><Relationship Type="http://schemas.openxmlformats.org/officeDocument/2006/relationships/hyperlink" Id="rId77" Target="https://www.coingecko.com/research/publications/state-of-memecoins-2025" TargetMode="External" /><Relationship Type="http://schemas.openxmlformats.org/officeDocument/2006/relationships/hyperlink" Id="rId34" Target="https://www.coinlore.com/coin/solana/historical-data" TargetMode="External" /><Relationship Type="http://schemas.openxmlformats.org/officeDocument/2006/relationships/hyperlink" Id="rId56" Target="https://www.cryptotimes.io/2026/09/19/solana-sol-price-prediction-2026-2027-2030-will-it-hit-300-high/" TargetMode="External" /><Relationship Type="http://schemas.openxmlformats.org/officeDocument/2006/relationships/hyperlink" Id="rId67" Target="https://www.cryptotimes.io/insights/trending-solana-memecoins/" TargetMode="External" /><Relationship Type="http://schemas.openxmlformats.org/officeDocument/2006/relationships/hyperlink" Id="rId33" Target="https://www.derivasys.com/reports/sol/2026-10-03" TargetMode="External" /><Relationship Type="http://schemas.openxmlformats.org/officeDocument/2006/relationships/hyperlink" Id="rId78" Target="https://www.fool.com/investing/2026/04/19/shiba-inu-vs-dogecoin-which-meme-coin-is-the-less/" TargetMode="External" /><Relationship Type="http://schemas.openxmlformats.org/officeDocument/2006/relationships/hyperlink" Id="rId63" Target="https://www.fxempire.com/forecasts/article/solana-memecoins-to-watch-in-the-week-ahead-popcat-wif-bonk-price-analysis-1466503" TargetMode="External" /><Relationship Type="http://schemas.openxmlformats.org/officeDocument/2006/relationships/hyperlink" Id="rId90" Target="https://www.geckoterminal.com/solana/pools/93tjgwff5Ac5ThyMi8C4WejVVQq4tuMeMuYW1LEYZ7bu" TargetMode="External" /><Relationship Type="http://schemas.openxmlformats.org/officeDocument/2006/relationships/hyperlink" Id="rId28" Target="https://www.investing.com/crypto/solana/historical-data" TargetMode="External" /><Relationship Type="http://schemas.openxmlformats.org/officeDocument/2006/relationships/hyperlink" Id="rId95" Target="https://www.kraken.com/en-ca/sell/chillhouse" TargetMode="External" /><Relationship Type="http://schemas.openxmlformats.org/officeDocument/2006/relationships/hyperlink" Id="rId25" Target="https://www.kraken.com/prices/wojak" TargetMode="External" /><Relationship Type="http://schemas.openxmlformats.org/officeDocument/2006/relationships/hyperlink" Id="rId74" Target="https://www.kucoin.com/news/flash/coin-metrics-study-81-of-solana-memecoins-drop-90-from-peak" TargetMode="External" /><Relationship Type="http://schemas.openxmlformats.org/officeDocument/2006/relationships/hyperlink" Id="rId94" Target="https://www.mexc.com/news/145606" TargetMode="External" /><Relationship Type="http://schemas.openxmlformats.org/officeDocument/2006/relationships/hyperlink" Id="rId65" Target="https://www.mitrade.com/insights/news/live-news/article-3-1026040-20250809" TargetMode="External" /><Relationship Type="http://schemas.openxmlformats.org/officeDocument/2006/relationships/hyperlink" Id="rId111" Target="https://www.morningstar.com/economy/warsh-pounds-table-inflation-fight-we-see-rate-cuts-2027" TargetMode="External" /><Relationship Type="http://schemas.openxmlformats.org/officeDocument/2006/relationships/hyperlink" Id="rId23" Target="https://www.okx.com/en-us/price/tung-tung-tung-sahur-triplet" TargetMode="External" /><Relationship Type="http://schemas.openxmlformats.org/officeDocument/2006/relationships/hyperlink" Id="rId104" Target="https://www.pcrisk.com/removal-guides/34793-cupsey-airdrop-scam" TargetMode="External" /><Relationship Type="http://schemas.openxmlformats.org/officeDocument/2006/relationships/hyperlink" Id="rId66" Target="https://www.researchgate.net/publication/401094962_An_Empirical_Analysis_of_Meme_Coin_Performance_2025-2026" TargetMode="External" /><Relationship Type="http://schemas.openxmlformats.org/officeDocument/2006/relationships/hyperlink" Id="rId75" Target="https://www.techflowpost.com/en-US/article/34400" TargetMode="External" /><Relationship Type="http://schemas.openxmlformats.org/officeDocument/2006/relationships/hyperlink" Id="rId52" Target="https://www.theblock.co/news/markets/2026-09-17-grayscales-pandl-still-sees-bitcoins-58k-low-as-the-bottom-gives-clients-green-light-415346" TargetMode="External" /><Relationship Type="http://schemas.openxmlformats.org/officeDocument/2006/relationships/hyperlink" Id="rId91" Target="https://www.theblock.co/post/327554/just-a-chill-guy-legal" TargetMode="External" /><Relationship Type="http://schemas.openxmlformats.org/officeDocument/2006/relationships/hyperlink" Id="rId51" Target="https://www.theblock.co/treasuries/upxi" TargetMode="External" /><Relationship Type="http://schemas.openxmlformats.org/officeDocument/2006/relationships/hyperlink" Id="rId30" Target="https://www.tokenpost.com/news/investing/28354" TargetMode="External" /><Relationship Type="http://schemas.openxmlformats.org/officeDocument/2006/relationships/hyperlink" Id="rId107" Target="https://www.tradingview.com/news/coinmarketcal:91c0a2240094b:0-wojak-wojak-migration-burn-complete-23-april-2026/" TargetMode="External" /><Relationship Type="http://schemas.openxmlformats.org/officeDocument/2006/relationships/hyperlink" Id="rId83" Target="https://www.tradingview.com/symbols/CUPSEY1USDT/" TargetMode="External" /><Relationship Type="http://schemas.openxmlformats.org/officeDocument/2006/relationships/hyperlink" Id="rId106" Target="https://www.wojakcto.com/whitepaper" TargetMode="External" /><Relationship Type="http://schemas.openxmlformats.org/officeDocument/2006/relationships/hyperlink" Id="rId98" Target="https://x.com/BinanceUS/status/2014162094116180093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2" Target="https://ambcrypto.com/why-galaxy-research-believes-this-level-could-end-bitcoins-bear-market/" TargetMode="External" /><Relationship Type="http://schemas.openxmlformats.org/officeDocument/2006/relationships/hyperlink" Id="rId61" Target="https://blockonomi.com/bonk-price-reaches-all-time-high-dominates-solana-ecosystem-with-175-november-gains/" TargetMode="External" /><Relationship Type="http://schemas.openxmlformats.org/officeDocument/2006/relationships/hyperlink" Id="rId105" Target="https://blog.kraken.com/product/asset-listings/wojak-is-available-for-trading" TargetMode="External" /><Relationship Type="http://schemas.openxmlformats.org/officeDocument/2006/relationships/hyperlink" Id="rId64" Target="https://changelly.com/blog/top-10-solana-memecoins-for-the-2025-bull-run/" TargetMode="External" /><Relationship Type="http://schemas.openxmlformats.org/officeDocument/2006/relationships/hyperlink" Id="rId68" Target="https://coindcx.com/blog/crypto-highlights/best-solana-meme-coins/" TargetMode="External" /><Relationship Type="http://schemas.openxmlformats.org/officeDocument/2006/relationships/hyperlink" Id="rId57" Target="https://coingape.com/markets/bitwise-predicts-solana-price-will-hit-new-all-time-highs-in-2026/" TargetMode="External" /><Relationship Type="http://schemas.openxmlformats.org/officeDocument/2006/relationships/hyperlink" Id="rId35" Target="https://coingape.com/markets/solana-price-outlook-eyes-130-as-open-interest-climbs-to-7-24b/" TargetMode="External" /><Relationship Type="http://schemas.openxmlformats.org/officeDocument/2006/relationships/hyperlink" Id="rId113" Target="https://coinmarketcap.com/charts/altcoin-season-index/" TargetMode="External" /><Relationship Type="http://schemas.openxmlformats.org/officeDocument/2006/relationships/hyperlink" Id="rId87" Target="https://coinmarketcap.com/cmc-ai/just-a-chill-guy/price-analysis/" TargetMode="External" /><Relationship Type="http://schemas.openxmlformats.org/officeDocument/2006/relationships/hyperlink" Id="rId48" Target="https://coinmarketcap.com/cmc-ai/solana/latest-updates/" TargetMode="External" /><Relationship Type="http://schemas.openxmlformats.org/officeDocument/2006/relationships/hyperlink" Id="rId99" Target="https://coinmarketcap.com/cmc-ai/troll-sol/latest-updates/" TargetMode="External" /><Relationship Type="http://schemas.openxmlformats.org/officeDocument/2006/relationships/hyperlink" Id="rId73" Target="https://coinmetrics.substack.com/p/state-of-the-network-issue-384" TargetMode="External" /><Relationship Type="http://schemas.openxmlformats.org/officeDocument/2006/relationships/hyperlink" Id="rId102" Target="https://coinranking.com/coin/Gpdg_bp5Z+tungtungtungsahur-triplet" TargetMode="External" /><Relationship Type="http://schemas.openxmlformats.org/officeDocument/2006/relationships/hyperlink" Id="rId82" Target="https://coinranking.com/coin/zNZHO_Sjf+solana-sol/historical-data" TargetMode="External" /><Relationship Type="http://schemas.openxmlformats.org/officeDocument/2006/relationships/hyperlink" Id="rId32" Target="https://coinstats.app/ai/a/investment-analysis-solana" TargetMode="External" /><Relationship Type="http://schemas.openxmlformats.org/officeDocument/2006/relationships/hyperlink" Id="rId36" Target="https://cryptobriefing.com/deribit-solana-options-september-25-expiry/" TargetMode="External" /><Relationship Type="http://schemas.openxmlformats.org/officeDocument/2006/relationships/hyperlink" Id="rId69" Target="https://cryptonews.com/cryptocurrency/best-solana-meme-coins/" TargetMode="External" /><Relationship Type="http://schemas.openxmlformats.org/officeDocument/2006/relationships/hyperlink" Id="rId108" Target="https://cryptonews.com/news/wojak-meme-coin-price-analysis/" TargetMode="External" /><Relationship Type="http://schemas.openxmlformats.org/officeDocument/2006/relationships/hyperlink" Id="rId62" Target="https://cryptorank.io/news/feed/2364d-solana-based-popcat-hits-all-time-high-can-it-hit-2-next" TargetMode="External" /><Relationship Type="http://schemas.openxmlformats.org/officeDocument/2006/relationships/hyperlink" Id="rId81" Target="https://cryptorank.io/price/triplet" TargetMode="External" /><Relationship Type="http://schemas.openxmlformats.org/officeDocument/2006/relationships/hyperlink" Id="rId53" Target="https://cryptoticker.io/en/solana-alpenglow-mainnet-date-missed/" TargetMode="External" /><Relationship Type="http://schemas.openxmlformats.org/officeDocument/2006/relationships/hyperlink" Id="rId96" Target="https://decrypt.co/337937/trollface-meme-creator-grants-exclusive-ip-rights-solana-token" TargetMode="External" /><Relationship Type="http://schemas.openxmlformats.org/officeDocument/2006/relationships/hyperlink" Id="rId93" Target="https://dexpaprika.com/solana/pool/35TqQMeiRwEbK6FR5qiPwastuAAvo32VjnULJpxVSxUK" TargetMode="External" /><Relationship Type="http://schemas.openxmlformats.org/officeDocument/2006/relationships/hyperlink" Id="rId79" Target="https://empirica.io/blog/the-binance-effect-a-7-year-analysis-for-token-founders/" TargetMode="External" /><Relationship Type="http://schemas.openxmlformats.org/officeDocument/2006/relationships/hyperlink" Id="rId101" Target="https://en.wikipedia.org/wiki/Tung_Tung_Tung_Sahur" TargetMode="External" /><Relationship Type="http://schemas.openxmlformats.org/officeDocument/2006/relationships/hyperlink" Id="rId43" Target="https://fortune.com/2026/09/16/fed-rate-hike-trump-kevin-warsh/" TargetMode="External" /><Relationship Type="http://schemas.openxmlformats.org/officeDocument/2006/relationships/hyperlink" Id="rId86" Target="https://fortune.com/article/price-of-ethereum-06-30-2026/" TargetMode="External" /><Relationship Type="http://schemas.openxmlformats.org/officeDocument/2006/relationships/hyperlink" Id="rId58" Target="https://fortune.com/article/price-of-ethereum-09-21-2026/" TargetMode="External" /><Relationship Type="http://schemas.openxmlformats.org/officeDocument/2006/relationships/hyperlink" Id="rId38" Target="https://kalshi.com/markets/kxsold26/sol-price-end-of-2026/kxsold26-27jan0100" TargetMode="External" /><Relationship Type="http://schemas.openxmlformats.org/officeDocument/2006/relationships/hyperlink" Id="rId39" Target="https://kalshi.com/markets/kxsolmaxy/solana-max-yearly/kxsolmaxy-27jan01" TargetMode="External" /><Relationship Type="http://schemas.openxmlformats.org/officeDocument/2006/relationships/hyperlink" Id="rId100" Target="https://madeonsol.com/token/J8PSdNP3QewKq2Z1JJJFDMaqF7KcaiJhR7gbr5KZpump" TargetMode="External" /><Relationship Type="http://schemas.openxmlformats.org/officeDocument/2006/relationships/hyperlink" Id="rId37" Target="https://news.bitcoin.com/price-predictions/ethereum-solana-and-zcash-face-wild-year-end-price-predictions/" TargetMode="External" /><Relationship Type="http://schemas.openxmlformats.org/officeDocument/2006/relationships/hyperlink" Id="rId72" Target="https://panews.io/articles/15l9pxk2" TargetMode="External" /><Relationship Type="http://schemas.openxmlformats.org/officeDocument/2006/relationships/hyperlink" Id="rId24" Target="https://phantom.com/tokens/solana/6NwarBvDkXhByqVp2Qkq5i9XbtA2B3Bwe8SWGu9vpump" TargetMode="External" /><Relationship Type="http://schemas.openxmlformats.org/officeDocument/2006/relationships/hyperlink" Id="rId92" Target="https://phemex.com/news/article/binance-to-delist-several-perpetual-contracts-in-april-70791" TargetMode="External" /><Relationship Type="http://schemas.openxmlformats.org/officeDocument/2006/relationships/hyperlink" Id="rId88" Target="https://phemex.com/news/article/meme-coin-troll-market-cap-surpasses-120m-amid-30-surge-80495" TargetMode="External" /><Relationship Type="http://schemas.openxmlformats.org/officeDocument/2006/relationships/hyperlink" Id="rId71" Target="https://phemex.com/news/article/solana-memecoin-hold-time-plummets-to-58-seconds-in-2026-70043" TargetMode="External" /><Relationship Type="http://schemas.openxmlformats.org/officeDocument/2006/relationships/hyperlink" Id="rId42" Target="https://polymarket.com/event/solana-all-time-high-by" TargetMode="External" /><Relationship Type="http://schemas.openxmlformats.org/officeDocument/2006/relationships/hyperlink" Id="rId41" Target="https://polymarket.com/event/what-price-will-solana-hit-in-2026" TargetMode="External" /><Relationship Type="http://schemas.openxmlformats.org/officeDocument/2006/relationships/hyperlink" Id="rId40" Target="https://polymarket.com/predictions/solana" TargetMode="External" /><Relationship Type="http://schemas.openxmlformats.org/officeDocument/2006/relationships/hyperlink" Id="rId103" Target="https://pump.fun/coin/6NwarBvDkXhByqVp2Qkq5i9XbtA2B3Bwe8SWGu9vpump" TargetMode="External" /><Relationship Type="http://schemas.openxmlformats.org/officeDocument/2006/relationships/hyperlink" Id="rId49" Target="https://solanacompass.com/news/us-spot-solana-etfs-log-12-consecutive-weeks-of-net-inflows-accumulating-14b" TargetMode="External" /><Relationship Type="http://schemas.openxmlformats.org/officeDocument/2006/relationships/hyperlink" Id="rId59" Target="https://thecoinrepublic.com/2026/10/07/crypto-market-reacts-to-us-fomc-news-as-officials-signal-another-fed-rate-hike" TargetMode="External" /><Relationship Type="http://schemas.openxmlformats.org/officeDocument/2006/relationships/hyperlink" Id="rId50" Target="https://www.21shares.com/en-us/insights/solana-h1-2026-earnings-analysis" TargetMode="External" /><Relationship Type="http://schemas.openxmlformats.org/officeDocument/2006/relationships/hyperlink" Id="rId114" Target="https://www.bitdegree.org/cryptocurrency-prices/fear-and-greed-index" TargetMode="External" /><Relationship Type="http://schemas.openxmlformats.org/officeDocument/2006/relationships/hyperlink" Id="rId70" Target="https://www.bitget.com/news/detail/12560605799325" TargetMode="External" /><Relationship Type="http://schemas.openxmlformats.org/officeDocument/2006/relationships/hyperlink" Id="rId84" Target="https://www.bybit.com/en/price/cupsey-2/" TargetMode="External" /><Relationship Type="http://schemas.openxmlformats.org/officeDocument/2006/relationships/hyperlink" Id="rId27" Target="https://www.bybit.com/en/price/solana/" TargetMode="External" /><Relationship Type="http://schemas.openxmlformats.org/officeDocument/2006/relationships/hyperlink" Id="rId20" Target="https://www.bybitglobal.com/en/price/chill-guy/" TargetMode="External" /><Relationship Type="http://schemas.openxmlformats.org/officeDocument/2006/relationships/hyperlink" Id="rId89" Target="https://www.ccn.com/analysis/crypto/troll-price-surges-solana-memecoin-breakout-2026-analysis-prediction/" TargetMode="External" /><Relationship Type="http://schemas.openxmlformats.org/officeDocument/2006/relationships/hyperlink" Id="rId45" Target="https://www.cnbc.com/2026/09/15/senate-cloture-vote-on-clarity-act-fails-dealing-regulatory-setback-to-crypto-industry.html" TargetMode="External" /><Relationship Type="http://schemas.openxmlformats.org/officeDocument/2006/relationships/hyperlink" Id="rId44" Target="https://www.cnbc.com/2026/09/18/three-words-from-kevin-warsh-have-wall-street-wondering-how-far-the-fed-will-go-with-rate-hikes.html" TargetMode="External" /><Relationship Type="http://schemas.openxmlformats.org/officeDocument/2006/relationships/hyperlink" Id="rId31" Target="https://www.coinbase.com/price/solana" TargetMode="External" /><Relationship Type="http://schemas.openxmlformats.org/officeDocument/2006/relationships/hyperlink" Id="rId21" Target="https://www.coinbase.com/price/solana-chill-house-pump" TargetMode="External" /><Relationship Type="http://schemas.openxmlformats.org/officeDocument/2006/relationships/hyperlink" Id="rId22" Target="https://www.coinbase.com/price/solana-troll-hgh2" TargetMode="External" /><Relationship Type="http://schemas.openxmlformats.org/officeDocument/2006/relationships/hyperlink" Id="rId76" Target="https://www.coindesk.com/business/2025/05/07/98-of-tokens-on-pump-fun-have-been-rug-pulls-or-an-act-of-fraud-new-report-says" TargetMode="External" /><Relationship Type="http://schemas.openxmlformats.org/officeDocument/2006/relationships/hyperlink" Id="rId46" Target="https://www.coindesk.com/business/2026/09/15/live-updates-bitcoin-slides-from-nearly-usd80-000-as-senate-votes-on-clarity-act" TargetMode="External" /><Relationship Type="http://schemas.openxmlformats.org/officeDocument/2006/relationships/hyperlink" Id="rId47" Target="https://www.coindesk.com/daybook-us/2026/10/08/bitcoin-etf-investors-head-for-the-exit-and-it-s-the-biggest-rush-in-months" TargetMode="External" /><Relationship Type="http://schemas.openxmlformats.org/officeDocument/2006/relationships/hyperlink" Id="rId54" Target="https://www.coindesk.com/markets/2026/02/03/this-analyst-expects-solana-to-reach-usd2-000-by-2030-despite-cutting-his-2026-target" TargetMode="External" /><Relationship Type="http://schemas.openxmlformats.org/officeDocument/2006/relationships/hyperlink" Id="rId55" Target="https://www.coindesk.com/markets/2026/02/12/standard-chartered-sees-bitcoin-sliding-to-usd50-000-ether-to-usd1-400-before-recovery" TargetMode="External" /><Relationship Type="http://schemas.openxmlformats.org/officeDocument/2006/relationships/hyperlink" Id="rId29" Target="https://www.coindesk.com/price/solana" TargetMode="External" /><Relationship Type="http://schemas.openxmlformats.org/officeDocument/2006/relationships/hyperlink" Id="rId97" Target="https://www.coingabbar.com/en/crypto-currency-news/coinbase-listing-announcement-today-cfg-troll-token" TargetMode="External" /><Relationship Type="http://schemas.openxmlformats.org/officeDocument/2006/relationships/hyperlink" Id="rId85" Target="https://www.coingecko.com/en/coins/wojak-5" TargetMode="External" /><Relationship Type="http://schemas.openxmlformats.org/officeDocument/2006/relationships/hyperlink" Id="rId77" Target="https://www.coingecko.com/research/publications/state-of-memecoins-2025" TargetMode="External" /><Relationship Type="http://schemas.openxmlformats.org/officeDocument/2006/relationships/hyperlink" Id="rId34" Target="https://www.coinlore.com/coin/solana/historical-data" TargetMode="External" /><Relationship Type="http://schemas.openxmlformats.org/officeDocument/2006/relationships/hyperlink" Id="rId56" Target="https://www.cryptotimes.io/2026/09/19/solana-sol-price-prediction-2026-2027-2030-will-it-hit-300-high/" TargetMode="External" /><Relationship Type="http://schemas.openxmlformats.org/officeDocument/2006/relationships/hyperlink" Id="rId67" Target="https://www.cryptotimes.io/insights/trending-solana-memecoins/" TargetMode="External" /><Relationship Type="http://schemas.openxmlformats.org/officeDocument/2006/relationships/hyperlink" Id="rId33" Target="https://www.derivasys.com/reports/sol/2026-10-03" TargetMode="External" /><Relationship Type="http://schemas.openxmlformats.org/officeDocument/2006/relationships/hyperlink" Id="rId78" Target="https://www.fool.com/investing/2026/04/19/shiba-inu-vs-dogecoin-which-meme-coin-is-the-less/" TargetMode="External" /><Relationship Type="http://schemas.openxmlformats.org/officeDocument/2006/relationships/hyperlink" Id="rId63" Target="https://www.fxempire.com/forecasts/article/solana-memecoins-to-watch-in-the-week-ahead-popcat-wif-bonk-price-analysis-1466503" TargetMode="External" /><Relationship Type="http://schemas.openxmlformats.org/officeDocument/2006/relationships/hyperlink" Id="rId90" Target="https://www.geckoterminal.com/solana/pools/93tjgwff5Ac5ThyMi8C4WejVVQq4tuMeMuYW1LEYZ7bu" TargetMode="External" /><Relationship Type="http://schemas.openxmlformats.org/officeDocument/2006/relationships/hyperlink" Id="rId28" Target="https://www.investing.com/crypto/solana/historical-data" TargetMode="External" /><Relationship Type="http://schemas.openxmlformats.org/officeDocument/2006/relationships/hyperlink" Id="rId95" Target="https://www.kraken.com/en-ca/sell/chillhouse" TargetMode="External" /><Relationship Type="http://schemas.openxmlformats.org/officeDocument/2006/relationships/hyperlink" Id="rId25" Target="https://www.kraken.com/prices/wojak" TargetMode="External" /><Relationship Type="http://schemas.openxmlformats.org/officeDocument/2006/relationships/hyperlink" Id="rId74" Target="https://www.kucoin.com/news/flash/coin-metrics-study-81-of-solana-memecoins-drop-90-from-peak" TargetMode="External" /><Relationship Type="http://schemas.openxmlformats.org/officeDocument/2006/relationships/hyperlink" Id="rId94" Target="https://www.mexc.com/news/145606" TargetMode="External" /><Relationship Type="http://schemas.openxmlformats.org/officeDocument/2006/relationships/hyperlink" Id="rId65" Target="https://www.mitrade.com/insights/news/live-news/article-3-1026040-20250809" TargetMode="External" /><Relationship Type="http://schemas.openxmlformats.org/officeDocument/2006/relationships/hyperlink" Id="rId111" Target="https://www.morningstar.com/economy/warsh-pounds-table-inflation-fight-we-see-rate-cuts-2027" TargetMode="External" /><Relationship Type="http://schemas.openxmlformats.org/officeDocument/2006/relationships/hyperlink" Id="rId23" Target="https://www.okx.com/en-us/price/tung-tung-tung-sahur-triplet" TargetMode="External" /><Relationship Type="http://schemas.openxmlformats.org/officeDocument/2006/relationships/hyperlink" Id="rId104" Target="https://www.pcrisk.com/removal-guides/34793-cupsey-airdrop-scam" TargetMode="External" /><Relationship Type="http://schemas.openxmlformats.org/officeDocument/2006/relationships/hyperlink" Id="rId66" Target="https://www.researchgate.net/publication/401094962_An_Empirical_Analysis_of_Meme_Coin_Performance_2025-2026" TargetMode="External" /><Relationship Type="http://schemas.openxmlformats.org/officeDocument/2006/relationships/hyperlink" Id="rId75" Target="https://www.techflowpost.com/en-US/article/34400" TargetMode="External" /><Relationship Type="http://schemas.openxmlformats.org/officeDocument/2006/relationships/hyperlink" Id="rId52" Target="https://www.theblock.co/news/markets/2026-09-17-grayscales-pandl-still-sees-bitcoins-58k-low-as-the-bottom-gives-clients-green-light-415346" TargetMode="External" /><Relationship Type="http://schemas.openxmlformats.org/officeDocument/2006/relationships/hyperlink" Id="rId91" Target="https://www.theblock.co/post/327554/just-a-chill-guy-legal" TargetMode="External" /><Relationship Type="http://schemas.openxmlformats.org/officeDocument/2006/relationships/hyperlink" Id="rId51" Target="https://www.theblock.co/treasuries/upxi" TargetMode="External" /><Relationship Type="http://schemas.openxmlformats.org/officeDocument/2006/relationships/hyperlink" Id="rId30" Target="https://www.tokenpost.com/news/investing/28354" TargetMode="External" /><Relationship Type="http://schemas.openxmlformats.org/officeDocument/2006/relationships/hyperlink" Id="rId107" Target="https://www.tradingview.com/news/coinmarketcal:91c0a2240094b:0-wojak-wojak-migration-burn-complete-23-april-2026/" TargetMode="External" /><Relationship Type="http://schemas.openxmlformats.org/officeDocument/2006/relationships/hyperlink" Id="rId83" Target="https://www.tradingview.com/symbols/CUPSEY1USDT/" TargetMode="External" /><Relationship Type="http://schemas.openxmlformats.org/officeDocument/2006/relationships/hyperlink" Id="rId106" Target="https://www.wojakcto.com/whitepaper" TargetMode="External" /><Relationship Type="http://schemas.openxmlformats.org/officeDocument/2006/relationships/hyperlink" Id="rId98" Target="https://x.com/BinanceUS/status/2014162094116180093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Probabilità di rialzo a 12 mesi: CHILLGUY, CHILLHOUSE, TROLL, TRIPLE T, CUPSEY e WOJAK</dc:title>
  <dc:creator/>
  <dc:language>it</dc:language>
  <cp:keywords/>
  <dcterms:created xsi:type="dcterms:W3CDTF">2026-10-09T17:26:57Z</dcterms:created>
  <dcterms:modified xsi:type="dcterms:W3CDTF">2026-10-09T17:26:57Z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