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 Estratégico Go-To-Market y Arquitectura de Ingeniería de Negocios: Intervención Operativa en el Ecosistema Hotelero de Douala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conceptualización y el despliegue de un servicio de consultoría B2B de alto nivel en el sector de la hospitalidad exige una metamorfosis profunda de los activos intangibles. El conocimiento tácito acumulado durante veinticinco años en la inspección y gestión de pisos debe someterse a un riguroso proceso de ingeniería de negocio para convertirse en un producto consultivo estandarizado, escalable y auditable. Este informe despliega un marco estratégico Go-To-Market (GTM) integral, cimentado en la excelencia operativa y diseñado específicamente para penetrar la estructura de toma de decisiones del Hotel Akwa Palace en Douala, Camerún. La metodología aplicada se basa en el principio de que la gestión es una tecnología versionable y escalable, utilizando un enfoque de "Efecto Pinza" que alinea la visión estratégica de la alta dirección con la ejecución granular en el origen de las operaciones.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Macroeconómico y del Ecosistema de la Hospitalidad en Camerún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una intervención consultiva modifique el terreno cognitivo de un cliente corporativo, debe estar anclada en una comprensión absoluta de las presiones macroeconómicas que dictan el comportamiento del mercado local. Camerún, en el segundo trimestre de 2026, opera bajo un paradigma de transición digital y expansión de infraestructuras que altera las expectativas de servicio de los consumidores internacionales.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Dinámicas de Infraestructura Turística y el Impacto del e-Visa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sector hotelero camerunés ha alcanzado una madurez estructural significativa, reportando una capacidad instalada de aproximadamente 35,000 habitaciones a nivel nacional y manteniendo una tasa de ocupación media del 72%.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oferta se encuentra polarizada en torno a los principales centros neurálgicos del país; la región del Litoral, cuya capital económica es Douala, concentra 310 establecimientos de alojamiento clasificados.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Douala actúa como el principal imán para el turismo de negocios y el comercio transfronterizo, lo que somete a sus hoteles de lujo a un escrutinio constante por parte de viajeros corporativos acostumbrados a Acuerdos de Nivel de Servicio (SLA) de clase mundial.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dinamismo en la ocupación hotelera es el resultado directo de la exitosa implementación del sistema de visados electrónicos (e-Visa) por parte del gobierno camerunés. Operativo en su totalidad desde abril de 2023 a través de la plataforma digital </w:t>
      </w:r>
      <w:r w:rsidDel="00000000" w:rsidR="00000000" w:rsidRPr="00000000">
        <w:rPr>
          <w:rFonts w:ascii="Google Sans" w:cs="Google Sans" w:eastAsia="Google Sans" w:hAnsi="Google Sans"/>
          <w:i w:val="1"/>
          <w:iCs w:val="1"/>
          <w:color w:val="1f1f1f"/>
          <w:rtl w:val="0"/>
        </w:rPr>
        <w:t xml:space="preserve">evisacam</w:t>
      </w:r>
      <w:r w:rsidDel="00000000" w:rsidR="00000000" w:rsidRPr="00000000">
        <w:rPr>
          <w:rFonts w:ascii="Google Sans" w:cs="Google Sans" w:eastAsia="Google Sans" w:hAnsi="Google Sans"/>
          <w:color w:val="1f1f1f"/>
          <w:rtl w:val="0"/>
        </w:rPr>
        <w:t xml:space="preserve">, el sistema ha evolucionado para 2026 hasta convertirse en una herramienta de facilitación de flujo migratorio altamente eficiente.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Las estadísticas gubernamentales más recientes indican que, hasta el cierre del tercer trimestre de 2025, el sistema había emitido 411,439 visados pagados, inyectando 46.873 mil millones de francos CFA (XAF) en ingresos estatales.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plataforma procesa solicitudes estándar en 72 horas y peticiones exprés en 24 horas, ostentando una tasa de aprobación del 92% para mercados internacionales clave, lo cual supera los índices de accesibilidad de numerosas naciones europeas.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eliminación de la fricción burocrática en las embajadas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 traduce en un volumen acelerado de llegadas al Aeropuerto Internacional de Douala. Para establecimientos emblemáticos como el Akwa Palace, este flujo continuo de capital extranjero representa una oportunidad de maximización del Retorno de Inversión (ROI), pero simultáneamente expone cualquier deficiencia en la estandarización de sus procesos internos. La consultoría debe posicionarse como el mecanismo tecnológico que asegura que la infraestructura del hotel soporte este incremento de demanda sin sufrir degradación en la calidad percibida.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Modernización del Ecosistema Financiero y Transaccional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terreno comercial B2B en Camerún está siendo reconfigurado por la penetración de tecnologías financieras. Si bien el dinero en efectivo sigue dominando entre el 90% y el 95% de las transacciones diarias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infraestructura de pagos digitales ha alcanzado una masa crítica. Para 2023, existían más de 10 millones de carteras de dinero móvil activas en el país (dominadas por operadores como MTN Mobile Money y Orange Money), y las proyecciones para el cierre de 2025 estimaban un volumen de transacciones fintech superior a los 2.6 billones de francos CFA.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institucional, el acuerdo de crecimiento firmado en marzo de 2026 entre Afriland First Bank y Visa busca democratizar aún más los pagos electrónicos y reducir la dependencia del efectivo.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Además, la integración regional mediante el Sistema Panafricano de Pagos y Liquidación (PAPSS) permite la ejecución instantánea de transacciones transfronterizas.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Esta maduración tecnológica es fundamental para la estructuración del servicio de consultoría, ya que permite diseñar contratos internacionales con arquitecturas de facturación transparentes, liquidaciones instantáneas y sin el riesgo cambiario o la fricción administrativa que históricamente penalizaban los acuerdos B2B en la región de África Central.</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Costes Laborales y Retornos Operativos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marco regulatorio laboral en Camerún define parámetros estrictos que los operadores hoteleros deben equilibrar para mantener la rentabilidad. La semana laboral estándar está fijada en 40 horas, complementada con normativas sobre horas extraordinarias, 18 días laborables de vacaciones anuales remuneradas y 14 semanas de licencia por maternidad.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Los empleadores soportan una carga fiscal adicional de aproximadamente el 14.5% del salario bruto destinado al fondo nacional de seguridad social (CNPS), el cual cubre pensiones, riesgos laborales y prestaciones familiares, con topes aplicables sobre salarios de 750,000 XAF mensuales.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disección de las bandas salariales dentro del sector de Turismo, Gastronomía y Negocios Hoteleros revela una estructura de costes que subraya la necesidad de algoritmos de gestión eficientes. El salario bruto promedio mensual en el sector es de 140,319 XAF.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posiciones de base, que son el motor operativo de la reputación de un hotel, presentan los siguientes rangos de compensación: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Clasificación de Puesto (Hostelería)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Rango Salarial Mensual (XAF)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Responsabilidades Operativas Clave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Camarera de Pisos (Chambermaid)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68,698 – 150,869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Higienización de habitaciones, reposición de inventario, cambio de lencería, mantenimiento preventivo visual.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Ayudante de Cocina / Limpieza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73,403 – 153,707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Mantenimiento de estándares sanitarios, organización de áreas de trabajo, limpieza de equipamiento.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Recepcionista (Front Desk)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86,850 – 157,118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Gestión de disponibilidad, procesamiento de pagos, resolución inicial de quejas de huéspedes.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Jefe de Turno (Shift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105,299 – 245,063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Supervisión de flujos de trabajo, inspección del cumplimiento de estándares de limpieza y mantenimiento.</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asimetría entre el coste del capital humano en la base operativa (promediando los 100,000 XAF) y las expectativas de un huésped internacional que abona tarifas de lujo genera una fricción inevitable si no existen Procedimientos Operativos Estándar (SOPs) draconianos. La consultoría no interviene para sugerir incrementos salariales lineales, sino para aportar una capa de ingeniería de procesos que extraiga el máximo rendimiento cualitativo de la estructura de costes existente. Esta es la propuesta de valor determinística: transformar el gasto laboral en una inversión de alta precisión mediante la estandarización.</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Inteligencia Estratégica: Perfilado del Hotel Akwa Palace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ejecución de la Fase 2 del modelo GTM requiere una radiografía exhaustiva del cliente objetivo. El Hotel Akwa Palace no es simplemente una estructura de alojamiento; es una institución empresarial compleja con una jerarquía de toma de decisiones que debe ser abordada mediante tácticas de Inteligencia Humana (HUMINT) y un mapeo de actores (Stakeholders).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Mapeo de la Cúpula Directiva (Allies, Neutrals, Enemies)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éxito de la negociación "4th Wall" depende de la capacidad de la consultora para navegar la política interna del Groupe Sohaing y adaptar el terreno cognitivo de cada directivo clave.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figura cumbre es Olivier Sohaing Tayou, Director General (Managing Director) del Akwa Palace y CEO del Groupe Sohaing. Su perfil académico y profesional es excepcionalmente analítico, ostentando un máster en finanzas corporativas por la London Business School y habiendo forjado su carrera como auditor en PwC y gerente senior de estrategia comercial en Accenture.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Un líder con este historial rechaza las propuestas basadas en intuición o carisma; exige datos empíricos, análisis de depreciación de activos, mitigación de riesgos y proyecciones de ROI matemático. La propuesta debe presentarse con la misma transparencia y rigor que un informe de las Big Four.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operativo, la interlocución recae sobre Gabriel Mbasse, General Manager y Jefe de Ventas y Marketing.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Su métrica de éxito es la ocupación, el ADR (Tarifa Promedio Diaria) y la reputación de la marca. Él representa un "Aliado" natural, ya que cualquier fricción en las habitaciones impacta directamente en sus esfuerzos de comercialización.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administración de la infraestructura y el control de costes laborales es jurisdicción de Celine Koloko Sohaing.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Como Administradora, su posición será "Neutral" hasta que se le demuestre que la consultoría no incrementará la carga del fondo de seguridad social (CNPS)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sino que optimizará el rendimiento del personal actual.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Gertrude Pem, Directora de Hoteles Akwa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ocupa la posición más delicada en el mapeo táctico. Como responsable directa de la calidad de las instalaciones, puede percibir la llegada de una experta externa con 25 años de experiencia como una amenaza a su autoridad o una crítica implícita a su gestión. El protocolo de entrevista debe clasificarla inicialmente como una potencial "Enemiga" (resistencia estructural) y aplicar técnicas de pacificación (Pacify) para reposicionarla como aliada. El mensaje hacia ella debe centrarse en el empoderamiento: la consultora le proporcionará herramientas algorítmicas (SOPs, checklists) que facilitarán su labor de supervisión, permitiéndole pasar de la microgestión reactiva a la gestión por excepción.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Auditoría de Reputación y Fricciones Estructurales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de fuentes abiertas (OSINT) sobre la reputación del Akwa Palace en los años 2025 y 2026 revela una dicotomía operativa. El establecimiento mantiene una calificación consolidada de 8.1 sobre 10 ("Muy Bien") en agregadores globales, respaldada por evaluaciones excepcionales hacia su personal (9.0), ubicación (8.8) y confort general (8.5).</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Los huéspedes corporativos alaban consistentemente la seguridad, las dimensiones de las habitaciones y las instalaciones periféricas como la piscina.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la disección cualitativa de las reseñas expone fisuras crónicas en la comunicación entre el departamento de pisos y el área de mantenimiento, lo que indica una falta de trazabilidad en las inspecciones diarias.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Las quejas documentadas incluyen caídas drásticas en la presión del agua durante horas punta, fallos intermitentes en los sistemas de aire acondicionado, problemas de seguridad con las cajas fuertes de operación manual y un aislamiento acústico deficiente frente al ruido del tráfico exterior.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Además, se han reportado fallos en la logística periférica, como la ausencia de vehículos de traslado al aeropuerto a pesar de las confirmaciones previas.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Estas anomalías no son fallos de infraestructura insalvables, sino síntomas clínicos de una carencia de procesos de normalización. Que un huésped ingrese a una habitación con el aire acondicionado defectuoso significa que la camarera de pisos o la gobernanta carecen de un procedimiento de verificación obligatoria del termostato durante la limpieza. Esta es la declaración del problema que fundamenta la definición del producto consultivo: transformar la voluntad del personal en garantía algorítmica.</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Definición del Producto y Alcance Estratégico (Semanas 1-2)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transición de operaria experta a ingeniera de procesos requiere la paquetización del conocimiento. La experiencia tácita de más de dos décadas debe codificarse en una declaración de valor B2B que el Hotel Akwa Palace reconozca como una necesidad crítica de infraestructura.</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Definición de Requisitos del Producto (Product Requirements Definition)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servicio no debe comercializarse como "capacitación de limpieza", sino como una auditoría de "Excelencia Operativa y Gobernanza de Calidad". Aplicando la Trinidad Metodológica (Estrategia, Tácticas, Procesos)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producto se define como la implementación de un sistema cerrado de estandarización que elimina la subjetividad en la preparación de las instalaciones.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declaración del problema se centra en la erosión silenciosa de la rentabilidad: los fallos no detectados en las habitaciones obligan al hotel a emitir compensaciones financieras, dañan la reputación digital y aceleran la depreciación de los activos físicos. La visión del servicio es instaurar un marco donde la camarera de pisos actúe como la primera inspectora técnica de la infraestructura, identificando y escalando anomalías antes de que el huésped realice el registro. Las métricas de éxito esperadas incluirán la reducción porcentual de quejas por mantenimiento en las plataformas digitales, la disminución del tiempo de inactividad de las habitaciones y el aumento de la puntuación en la categoría de "Relación calidad-precio" (actualmente en 7.8).</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Precios por Suscripción y Definición de Valor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modelo financiero de la consultoría debe abandonar categóricamente la facturación por horas, un modelo arcaico que castiga la eficiencia y fomenta la microgestión por parte del cliente. En su lugar, se debe adoptar una Estrategia de Precios por Suscripción (Subscription Pricing Strategy) basada en el valor aportado y la retención del conocimiento.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propuesta se estructura en un modelo de intervención de dos etapas. La primera etapa es la intervención estructural y la auditoría profunda, sujeta a un esquema de riesgo compartido 50/50. El hotel debe abonar el cincuenta por ciento del coste total al momento de la firma del contrato. Esta transparencia radical se justifica comunicando que estos fondos cubren inmediatamente la "infraestructura, el mapeo de procesos y los servicios gestionados" necesarios para iniciar el despliegue en Douala.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cincuenta por ciento restante se liquida exclusivamente contra la entrega exitosa del ecosistema documental final (manuales, SOPs y matrices de certificación de empleados).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segunda etapa asegura la recurrencia financiera mediante un modelo de Suscripción (Retainer). Una vez finalizada la implantación, la consultora no desaparece; se transiciona a una tarifa mensual o trimestral para actuar como auditora externa de calidad. Mediante inspecciones misteriosas o visitas de evaluación programadas, la consultora asegura que la entropía operativa no destruya los estándares implementados, garantizando la inmutabilidad de la calidad a largo plazo.</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de Mensajería y Tarjetas de Batalla (Battlecards)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sortear las defensas de la junta directiva del Akwa Palace, se desarrolla una Matriz de Mensajería que traduce la experiencia operativa en declaraciones de posicionamiento de alta gerencia, personalizadas para cada perfil decisor.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Vector Estratégico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Interlocutor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Propuesta de Valor Determinística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Narrativa de Transición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Mitigación de Riesgos Financieros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Olivier Sohaing Tayou (MD/CEO)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estandarización detiene la depreciación acelerada. Un SOP que obliga a revisar filtros de aire acondicionado previene colapsos térmicos costosos. El servicio no es un gasto en Recursos Humanos, es una póliza de seguro sobre los activos de capital del Groupe Sohaing.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Transición de una gestión de capital basada en reparaciones de emergencia a un modelo de mantenimiento predictivo auditado en tiempo real.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Alineación Comercial y de Marca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Gabriel Mbasse (GM / Ventas)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Cierre de la brecha entre la puntuación del personal (9.0) y la percepción de valor (7.8). La garantía de calidad elimina la necesidad de otorgar compensaciones por fricciones operativas reportadas por los huéspedes.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Transición de un departamento de marketing a la defensiva a uno que comercializa una garantía de calidad certificada internacionalmente.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Arquitectura de Procesos y Empoderamiento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Gertrude Pem (Directora de Hoteles)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Transferencia de la carga cognitiva. La provisión de manuales visuales y matrices de verificación traslada la responsabilidad de la calidad desde la intuición de la gobernanta hacia la arquitectura del proceso mismo.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Transición de la microgestión extenuante hacia un liderazgo basado en la gestión de excepciones y métricas de cumplimiento.</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w:t>
      </w:r>
      <w:r w:rsidDel="00000000" w:rsidR="00000000" w:rsidRPr="00000000">
        <w:rPr>
          <w:rFonts w:ascii="Google Sans" w:cs="Google Sans" w:eastAsia="Google Sans" w:hAnsi="Google Sans"/>
          <w:i w:val="1"/>
          <w:iCs w:val="1"/>
          <w:color w:val="1f1f1f"/>
          <w:rtl w:val="0"/>
        </w:rPr>
        <w:t xml:space="preserve">Battlecards</w:t>
      </w:r>
      <w:r w:rsidDel="00000000" w:rsidR="00000000" w:rsidRPr="00000000">
        <w:rPr>
          <w:rFonts w:ascii="Google Sans" w:cs="Google Sans" w:eastAsia="Google Sans" w:hAnsi="Google Sans"/>
          <w:color w:val="1f1f1f"/>
          <w:rtl w:val="0"/>
        </w:rPr>
        <w:t xml:space="preserve"> proporcionan el armamento dialéctico frente a la inercia del hotel. Ante la objeción clásica de "nuestro personal ya sabe limpiar", la consultora desplegará datos extraídos de OSINT, señalando que la competencia directa en Camerún (nuevos proyectos de Marriott, Hilton y residencias corporativas internacionales en la región)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está operando con franquicias que exigen estas auditorías por defecto. La inercia no es estabilidad; es pérdida de cuota de mercado garantizada.</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Inteligencia y Preparación de Stakeholders (Semana 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fase de inteligencia dicta que el primer contacto con la directora o la junta del Akwa Palace no debe ser una presentación de ventas tradicional, sino una auditoría diagnóstica. La consultora debe aplicar un Protocolo de Entrevista de Stakeholders meticulosamente coreografiado.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Protocolo de Entrevista Estructurada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encuentro inicial se diseña para establecer autoridad intelectual y control del flujo cognitivo. El protocolo se divide en cuatro secuencias de control de tiempo y percepción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Apertura y Diagnóstico (AS-IS):</w:t>
      </w:r>
      <w:r w:rsidDel="00000000" w:rsidR="00000000" w:rsidRPr="00000000">
        <w:rPr>
          <w:rFonts w:ascii="Google Sans" w:cs="Google Sans" w:eastAsia="Google Sans" w:hAnsi="Google Sans"/>
          <w:color w:val="1f1f1f"/>
          <w:rtl w:val="0"/>
        </w:rPr>
        <w:t xml:space="preserve"> En lugar de hablar de sus 25 años de experiencia, la consultora abre la reunión exponiendo un diagnóstico de la situación actual del hotel (AS-IS). Utilizando los datos de OSINT recopilados, señala específicamente las debilidades en la presión del agua, la climatización inconsistente y las discrepancias de insonorización que afectan la experiencia matutina de los huéspedes.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Esto rompe la barrera defensiva, demostrando que la consultora comprende los dolores del hotel mejor que la propia gerencia intermedia.</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Proyección del Horizonte de Calidad (TO-BE):</w:t>
      </w:r>
      <w:r w:rsidDel="00000000" w:rsidR="00000000" w:rsidRPr="00000000">
        <w:rPr>
          <w:rFonts w:ascii="Google Sans" w:cs="Google Sans" w:eastAsia="Google Sans" w:hAnsi="Google Sans"/>
          <w:color w:val="1f1f1f"/>
          <w:rtl w:val="0"/>
        </w:rPr>
        <w:t xml:space="preserve"> Se presenta la arquitectura de la solución. Se visualiza un modelo operativo donde el personal de base se adhiere a un marco de procesos inquebrantable, eliminando las dependencias del juicio individual y garantizando que ninguna habitación sea asignada sin una certificación previa de sus sistemas críticos.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Arquitectura de Certificación de Empleados:</w:t>
      </w:r>
      <w:r w:rsidDel="00000000" w:rsidR="00000000" w:rsidRPr="00000000">
        <w:rPr>
          <w:rFonts w:ascii="Google Sans" w:cs="Google Sans" w:eastAsia="Google Sans" w:hAnsi="Google Sans"/>
          <w:color w:val="1f1f1f"/>
          <w:rtl w:val="0"/>
        </w:rPr>
        <w:t xml:space="preserve"> Se introduce el modelo de gobernanza para el personal, basado en niveles de certificación. No se confía en la "experiencia", sino en la validación técnica.</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Nivel Bronce:</w:t>
      </w:r>
      <w:r w:rsidDel="00000000" w:rsidR="00000000" w:rsidRPr="00000000">
        <w:rPr>
          <w:rFonts w:ascii="Google Sans" w:cs="Google Sans" w:eastAsia="Google Sans" w:hAnsi="Google Sans"/>
          <w:color w:val="1f1f1f"/>
          <w:rtl w:val="0"/>
        </w:rPr>
        <w:t xml:space="preserve"> El empleado ha comprendido el manual teórico.</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Nivel Plata:</w:t>
      </w:r>
      <w:r w:rsidDel="00000000" w:rsidR="00000000" w:rsidRPr="00000000">
        <w:rPr>
          <w:rFonts w:ascii="Google Sans" w:cs="Google Sans" w:eastAsia="Google Sans" w:hAnsi="Google Sans"/>
          <w:color w:val="1f1f1f"/>
          <w:rtl w:val="0"/>
        </w:rPr>
        <w:t xml:space="preserve"> El empleado ejecuta el proceso perfectamente bajo la atenta mirada del auditor.</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Nivel Oro:</w:t>
      </w:r>
      <w:r w:rsidDel="00000000" w:rsidR="00000000" w:rsidRPr="00000000">
        <w:rPr>
          <w:rFonts w:ascii="Google Sans" w:cs="Google Sans" w:eastAsia="Google Sans" w:hAnsi="Google Sans"/>
          <w:color w:val="1f1f1f"/>
          <w:rtl w:val="0"/>
        </w:rPr>
        <w:t xml:space="preserve"> Validación funcional plena, donde el empleado demuestra consistencia sistémica sin supervisión.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Cierre y Alineación:</w:t>
      </w:r>
      <w:r w:rsidDel="00000000" w:rsidR="00000000" w:rsidRPr="00000000">
        <w:rPr>
          <w:rFonts w:ascii="Google Sans" w:cs="Google Sans" w:eastAsia="Google Sans" w:hAnsi="Google Sans"/>
          <w:color w:val="1f1f1f"/>
          <w:rtl w:val="0"/>
        </w:rPr>
        <w:t xml:space="preserve"> Se concluye la reunión preguntando a los directivos en qué áreas específicas del flujo operativo ven el mayor riesgo de pérdida financiera. Esto fuerza a los stakeholders a verbalizar sus debilidades, posicionando a la consultora como la única solución lógica.</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Mapeo de Ecosistema: Aliados, Neutrales y Enemigos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Aplicar el marco de mapeo es vital para anticipar sabotajes internos durante la implantación. El General Manager y el CEO se cultivan como aliados estratégicos, atrayéndolos con promesas de reducción de costes y aumento de reputación. El departamento de finanzas y recursos humanos se aborda como terreno neutral; se les pacifica demostrando que la normalización de procesos acelera los tiempos de incorporación de nuevos empleados y reduce los litigios laborales por mala comunicación de expectativas.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personal veterano de pisos y mantenimiento conforma el grupo de riesgo principal (Enemigos de la transición). Con salarios base bajos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pueden percibir la estandarización como una imposición que demanda más esfuerzo por la misma compensación. La estrategia de intervención no debe ser punitiva, sino pedagógica. Se les debe comunicar que los nuevos procesos (SOPs) no están diseñados para vigilarlos, sino para protegerlos de reprimendas injustas, proporcionándoles un escudo documental que certifica cuándo una falla es de mantenimiento y no de limpieza.</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Negociación y Ejecución "4th Wall" (Semanas 4-5)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metodología "4th Wall" representa la barrera final entre la propuesta de valor y el cierre contractual. En esta fase, la consultora penetra en la estructura del Akwa Palace, aplicando técnicas avanzadas de estimación de proyectos y mitigación de ansiedad corporativa.</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Interacción y Terraformación (Engage y Terraform)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terraformación cognitiva implica preparar a la organización para aceptar un cambio profundo en sus cimientos operativos sin rechazo inmunológico. Se establecen canales de comunicación directa con Olivier Sohaing Tayou y Gabriel Mbasse, presentándoles el proyecto no como una auditoría de limpieza, sino como una "actualización del sistema operativo" del hotel.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consultora posiciona su intervención como una maniobra estratégica indispensable para competir en el nuevo escenario económico camerunés impulsado por el e-Visa y el capital internacional.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Estimación del Proyecto y Gestión de Escenarios (Min/Par/Max)</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blindar la viabilidad económica de la consultoría, se ejecuta un cálculo exhaustivo de esfuerzo y presupuesto, huyendo de las promesas de fechas de entrega estáticas. Se aplica el modelo de gestión de escenarios de Holistika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Escenario Mínimo (Min):</w:t>
      </w:r>
      <w:r w:rsidDel="00000000" w:rsidR="00000000" w:rsidRPr="00000000">
        <w:rPr>
          <w:rFonts w:ascii="Google Sans" w:cs="Google Sans" w:eastAsia="Google Sans" w:hAnsi="Google Sans"/>
          <w:color w:val="1f1f1f"/>
          <w:rtl w:val="0"/>
        </w:rPr>
        <w:t xml:space="preserve"> Se asume una fricción nula. La gerencia proporciona inmediatamente los planos del hotel, los manuales antiguos y el acceso sin restricciones a las instalaciones. El personal coopera y asimila los nuevos flujos rápidamente. Este es el tiempo base óptimo.</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Escenario Nominal (Par):</w:t>
      </w:r>
      <w:r w:rsidDel="00000000" w:rsidR="00000000" w:rsidRPr="00000000">
        <w:rPr>
          <w:rFonts w:ascii="Google Sans" w:cs="Google Sans" w:eastAsia="Google Sans" w:hAnsi="Google Sans"/>
          <w:color w:val="1f1f1f"/>
          <w:rtl w:val="0"/>
        </w:rPr>
        <w:t xml:space="preserve"> El estándar de la industria. Contempla la resistencia natural al cambio, la necesidad de iterar sobre los documentos operativos y la lentitud burocrática inherente a las grandes instituciones corporativas.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Escenario Máximo (Max):</w:t>
      </w:r>
      <w:r w:rsidDel="00000000" w:rsidR="00000000" w:rsidRPr="00000000">
        <w:rPr>
          <w:rFonts w:ascii="Google Sans" w:cs="Google Sans" w:eastAsia="Google Sans" w:hAnsi="Google Sans"/>
          <w:color w:val="1f1f1f"/>
          <w:rtl w:val="0"/>
        </w:rPr>
        <w:t xml:space="preserve"> Modela el peor contexto posible. El personal sabotea activamente las auditorías, existen barreras lingüísticas o de alfabetización que requieren la creación de manuales puramente visuales, y los directivos retrasan las aprobaciones.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presupuesto económico presentado al Akwa Palace se ancla firmemente en el Escenario Nominal (Par), garantizando que la consultora mantenga márgenes de rentabilidad saludables incluso frente a turbulencias operativas.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 y Pacify: Transparencia y Alineación de Expectativas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fase "Sell" (Vender) se ejecuta mediante una política de libros abiertos. La consultora presenta el desglose financiero, justificando el requerimiento del 50% de pago por adelantado como provisión necesaria para el diseño de infraestructura documental, herramientas de auditoría de campo y el despliegue del tiempo directivo.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Simultáneamente, se despliega la táctica "Pacify" (Pacificar). Las organizaciones de gran tamaño sufren de ansiedad ante los costes no recuperables. La consultora pacifica a la junta directiva definiendo claramente las métricas de éxito. Se establece un contrato de expectativas donde el éxito no se mide por "habitaciones más limpias", sino por la implementación comprobada de protocolos de control de calidad, la reducción estadísticamente medible de incidencias reportadas a recepción y la certificación documentada del 100% de la plantilla de pisos en el nivel Plata o superior.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Delivery y Normalización Operativa (Implantación)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la arquitectura comercial validada y el anticipo financiero asegurado, la consultora abandona la sala de juntas y desciende al núcleo de las operaciones. El conocimiento tácito de 25 años se despliega en el terreno, transformando la ineficiencia en rigor algorítmico.</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Observación de Campo Multidimensional (Field Observation)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observación no es una simple ronda de inspección; es una disección etnográfica del comportamiento del personal del Akwa Palace, analizando los flujos de trabajo a través de cuatro perspectivas cruzadas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Perspectiva del Controlador de Negocio:</w:t>
      </w:r>
      <w:r w:rsidDel="00000000" w:rsidR="00000000" w:rsidRPr="00000000">
        <w:rPr>
          <w:rFonts w:ascii="Google Sans" w:cs="Google Sans" w:eastAsia="Google Sans" w:hAnsi="Google Sans"/>
          <w:color w:val="1f1f1f"/>
          <w:rtl w:val="0"/>
        </w:rPr>
        <w:t xml:space="preserve"> La consultora observa la carencia de marcos estandarizados. Determina cómo las camareras de piso procesan la información caótica y la traduce a un formato lógico, identificando el tiempo muerto entre la finalización de la limpieza y la revisión de la gobernanta.</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Perspectiva de Auditoría (Contabilidad de Procesos):</w:t>
      </w:r>
      <w:r w:rsidDel="00000000" w:rsidR="00000000" w:rsidRPr="00000000">
        <w:rPr>
          <w:rFonts w:ascii="Google Sans" w:cs="Google Sans" w:eastAsia="Google Sans" w:hAnsi="Google Sans"/>
          <w:color w:val="1f1f1f"/>
          <w:rtl w:val="0"/>
        </w:rPr>
        <w:t xml:space="preserve"> Se mapea el ecosistema para identificar a los "dueños" de cada fallo. Si un huésped encuentra el aire acondicionado apagado, ¿la responsabilidad recae en la falta de reporte de la camarera o en la inacción del técnico de mantenimiento? Se traza el mapa de responsabilidades absolutas.</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Perspectiva Ejecutiva (CFO/CEO):</w:t>
      </w:r>
      <w:r w:rsidDel="00000000" w:rsidR="00000000" w:rsidRPr="00000000">
        <w:rPr>
          <w:rFonts w:ascii="Google Sans" w:cs="Google Sans" w:eastAsia="Google Sans" w:hAnsi="Google Sans"/>
          <w:color w:val="1f1f1f"/>
          <w:rtl w:val="0"/>
        </w:rPr>
        <w:t xml:space="preserve"> Se garantiza que la observación se traduzca en protección de activos. Se documenta cómo las malas prácticas operativas (ej. abuso de químicos de limpieza o mala manipulación de lencería) destruyen valor material y cómo la intervención frenará esta hemorragia financiera.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Perspectiva del Huésped:</w:t>
      </w:r>
      <w:r w:rsidDel="00000000" w:rsidR="00000000" w:rsidRPr="00000000">
        <w:rPr>
          <w:rFonts w:ascii="Google Sans" w:cs="Google Sans" w:eastAsia="Google Sans" w:hAnsi="Google Sans"/>
          <w:color w:val="1f1f1f"/>
          <w:rtl w:val="0"/>
        </w:rPr>
        <w:t xml:space="preserve"> Se asegura de que la lógica de la consultora se adapte a la arquitectura del Akwa Palace, sin exigir que el hotel modifique su esencia, sino optimizando la respuesta humana ante las fricciones sistémicas (como la presión del agua matutina).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y Despliegue del Kit de Incorporación (Employee Onboarding Kit)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intervención no culmina con un informe de errores; su valor reside en la cura estructural. La consultora diseña un Paquete de Incorporación y Formación definitivo para erradicar las ineficiencias futuras. Utilizando los metadatos de los Procedimientos Operativos Estándar (SOP)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 construyen manuales codificados que actúan como la columna vertebral del conocimiento del hotel.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SOP creado para el Akwa Palace se clasifica meticulosamente (Nombre del Ítem, Número, Clase de Objeto, Nivel de Seguridad Interna) para establecer una gobernanza documental estricta.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contenido del Kit incluye:</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Inmersión Cultural y Organizativa:</w:t>
      </w:r>
      <w:r w:rsidDel="00000000" w:rsidR="00000000" w:rsidRPr="00000000">
        <w:rPr>
          <w:rFonts w:ascii="Google Sans" w:cs="Google Sans" w:eastAsia="Google Sans" w:hAnsi="Google Sans"/>
          <w:color w:val="1f1f1f"/>
          <w:rtl w:val="0"/>
        </w:rPr>
        <w:t xml:space="preserve"> Una alineación inmediata sobre la misión del hotel, posicionando al personal de pisos no como servicio secundario, sino como guardianes de los activos del Groupe Sohaing y la primera línea de defensa de la experiencia del huésped.</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Procedimientos Algorítmicos Visuales:</w:t>
      </w:r>
      <w:r w:rsidDel="00000000" w:rsidR="00000000" w:rsidRPr="00000000">
        <w:rPr>
          <w:rFonts w:ascii="Google Sans" w:cs="Google Sans" w:eastAsia="Google Sans" w:hAnsi="Google Sans"/>
          <w:color w:val="1f1f1f"/>
          <w:rtl w:val="0"/>
        </w:rPr>
        <w:t xml:space="preserve"> Manuales que desglosan la limpieza e inspección técnica en pasos atómicos inquebrantables. Se incluyen protocolos de purga de grifería, testeo de cajas fuertes y verificación de termostatos durante el ciclo de higienización de la habitación, eliminando la aparición de fallos frente al cliente final.</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Listas de Verificación Tácticas:</w:t>
      </w:r>
      <w:r w:rsidDel="00000000" w:rsidR="00000000" w:rsidRPr="00000000">
        <w:rPr>
          <w:rFonts w:ascii="Google Sans" w:cs="Google Sans" w:eastAsia="Google Sans" w:hAnsi="Google Sans"/>
          <w:color w:val="1f1f1f"/>
          <w:rtl w:val="0"/>
        </w:rPr>
        <w:t xml:space="preserve"> Documentación de uso diario (checklists en formato one-pager) que guían a los nuevos empleados de manera determinística, asegurando que la calidad se cumpla independientemente de la barrera de idioma, alfabetización o nivel de fatiga del operario.</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Normalización y Traspaso de Poder (Normalize)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fase final es la integración permanente de la nueva arquitectura de procesos en el ADN del hotel. La normalización busca crear una "única fuente de verdad" operativa.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través del "Efecto Pinza", la alta dirección reconoce los beneficios en el ROI, mientras la base operativa ejecuta los nuevos SOPs por inercia.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este punto, la consultora supervisa la transición de la plantilla a través de las fases de certificación hasta asegurar la independencia funcional del personal del hotel (Nivel Oro). Se oficializa la entrega de la infraestructura documental a la administración del Akwa Palace, justificando la liberación del 50% final del contrato económico.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proyecto culmina proponiendo el inicio inmediato de la fase de suscripción, consolidando a la consultora como el garante externo y perpetuo de la excelencia operativa del establecimiento frente al auge del nuevo turismo en Camerún.</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Holistika Ecosystem Organizational Baseline and Role Governance Architecture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Cameroon's E-Visa System Generates CFA46.9bn from 411439 Visas, accessed April 20, 2026, </w:t>
      </w:r>
      <w:hyperlink r:id="rId6">
        <w:r w:rsidDel="00000000" w:rsidR="00000000" w:rsidRPr="00000000">
          <w:rPr>
            <w:rFonts w:ascii="Google Sans" w:cs="Google Sans" w:eastAsia="Google Sans" w:hAnsi="Google Sans"/>
            <w:color w:val="0000ee"/>
            <w:sz w:val="24"/>
            <w:szCs w:val="24"/>
            <w:u w:val="single"/>
            <w:rtl w:val="0"/>
          </w:rPr>
          <w:t xml:space="preserve">https://www.businessincameroon.com/public-management/2811-15413-cameroon-s-e-visa-system-generates-cfa46-9bn-from-411-439-visas</w:t>
        </w:r>
      </w:hyperlink>
      <w:r w:rsidDel="00000000" w:rsidR="00000000" w:rsidRPr="00000000">
        <w:rPr>
          <w:rtl w:val="0"/>
        </w:rPr>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Cameroon Tourist Visa - Definitive Guide (2026) | BTW, accessed April 20, 2026, </w:t>
      </w:r>
      <w:hyperlink r:id="rId7">
        <w:r w:rsidDel="00000000" w:rsidR="00000000" w:rsidRPr="00000000">
          <w:rPr>
            <w:rFonts w:ascii="Google Sans" w:cs="Google Sans" w:eastAsia="Google Sans" w:hAnsi="Google Sans"/>
            <w:color w:val="0000ee"/>
            <w:sz w:val="24"/>
            <w:szCs w:val="24"/>
            <w:u w:val="single"/>
            <w:rtl w:val="0"/>
          </w:rPr>
          <w:t xml:space="preserve">https://btwvisas.com/visa-guide/cameroon-tourist-visa</w:t>
        </w:r>
      </w:hyperlink>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Cameroon Would Reject Visas, accessed April 20, 2026, </w:t>
      </w:r>
      <w:hyperlink r:id="rId8">
        <w:r w:rsidDel="00000000" w:rsidR="00000000" w:rsidRPr="00000000">
          <w:rPr>
            <w:rFonts w:ascii="Google Sans" w:cs="Google Sans" w:eastAsia="Google Sans" w:hAnsi="Google Sans"/>
            <w:color w:val="0000ee"/>
            <w:sz w:val="24"/>
            <w:szCs w:val="24"/>
            <w:u w:val="single"/>
            <w:rtl w:val="0"/>
          </w:rPr>
          <w:t xml:space="preserve">https://cameroon-visa.info/why-cameroon-would-reject-visas/</w:t>
        </w:r>
      </w:hyperlink>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Afriland First Bank, Visa Sign Growth Agreement to Expand Digital Payments in Cameroon, accessed April 20, 2026, </w:t>
      </w:r>
      <w:hyperlink r:id="rId9">
        <w:r w:rsidDel="00000000" w:rsidR="00000000" w:rsidRPr="00000000">
          <w:rPr>
            <w:rFonts w:ascii="Google Sans" w:cs="Google Sans" w:eastAsia="Google Sans" w:hAnsi="Google Sans"/>
            <w:color w:val="0000ee"/>
            <w:sz w:val="24"/>
            <w:szCs w:val="24"/>
            <w:u w:val="single"/>
            <w:rtl w:val="0"/>
          </w:rPr>
          <w:t xml:space="preserve">https://www.businessincameroon.com/finance/1203-15882-afriland-first-bank-visa-sign-growth-agreement-to-expand-digital-payments-in-cameroon</w:t>
        </w:r>
      </w:hyperlink>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Money, Digital and Wider Fintech in Cameroon in 2026, accessed April 20, 2026, </w:t>
      </w:r>
      <w:hyperlink r:id="rId10">
        <w:r w:rsidDel="00000000" w:rsidR="00000000" w:rsidRPr="00000000">
          <w:rPr>
            <w:rFonts w:ascii="Google Sans" w:cs="Google Sans" w:eastAsia="Google Sans" w:hAnsi="Google Sans"/>
            <w:color w:val="0000ee"/>
            <w:sz w:val="24"/>
            <w:szCs w:val="24"/>
            <w:u w:val="single"/>
            <w:rtl w:val="0"/>
          </w:rPr>
          <w:t xml:space="preserve">https://thefintechtimes.com/mobile-money-digital-and-wider-fintech-in-cameroon-in-2026/</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 - PAPSS, accessed April 20, 2026, </w:t>
      </w:r>
      <w:hyperlink r:id="rId11">
        <w:r w:rsidDel="00000000" w:rsidR="00000000" w:rsidRPr="00000000">
          <w:rPr>
            <w:rFonts w:ascii="Google Sans" w:cs="Google Sans" w:eastAsia="Google Sans" w:hAnsi="Google Sans"/>
            <w:color w:val="0000ee"/>
            <w:sz w:val="24"/>
            <w:szCs w:val="24"/>
            <w:u w:val="single"/>
            <w:rtl w:val="0"/>
          </w:rPr>
          <w:t xml:space="preserve">https://papss.com/media/</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Employment Laws and Regulations in Cameroon - Atlas HXM, accessed April 20, 2026, </w:t>
      </w:r>
      <w:hyperlink r:id="rId12">
        <w:r w:rsidDel="00000000" w:rsidR="00000000" w:rsidRPr="00000000">
          <w:rPr>
            <w:rFonts w:ascii="Google Sans" w:cs="Google Sans" w:eastAsia="Google Sans" w:hAnsi="Google Sans"/>
            <w:color w:val="0000ee"/>
            <w:sz w:val="24"/>
            <w:szCs w:val="24"/>
            <w:u w:val="single"/>
            <w:rtl w:val="0"/>
          </w:rPr>
          <w:t xml:space="preserve">https://www.atlashxm.com/countries/cameroon</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Cameroon Working Hours &amp; Overtime Regulations - Playroll, accessed April 20, 2026, </w:t>
      </w:r>
      <w:hyperlink r:id="rId13">
        <w:r w:rsidDel="00000000" w:rsidR="00000000" w:rsidRPr="00000000">
          <w:rPr>
            <w:rFonts w:ascii="Google Sans" w:cs="Google Sans" w:eastAsia="Google Sans" w:hAnsi="Google Sans"/>
            <w:color w:val="0000ee"/>
            <w:sz w:val="24"/>
            <w:szCs w:val="24"/>
            <w:u w:val="single"/>
            <w:rtl w:val="0"/>
          </w:rPr>
          <w:t xml:space="preserve">https://www.playroll.com/working-hours/cameroon</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Benefits in Cameroon for 2026 - Remote People, accessed April 20, 2026, </w:t>
      </w:r>
      <w:hyperlink r:id="rId14">
        <w:r w:rsidDel="00000000" w:rsidR="00000000" w:rsidRPr="00000000">
          <w:rPr>
            <w:rFonts w:ascii="Google Sans" w:cs="Google Sans" w:eastAsia="Google Sans" w:hAnsi="Google Sans"/>
            <w:color w:val="0000ee"/>
            <w:sz w:val="24"/>
            <w:szCs w:val="24"/>
            <w:u w:val="single"/>
            <w:rtl w:val="0"/>
          </w:rPr>
          <w:t xml:space="preserve">https://remotepeople.com/countries/cameroon/employer-of-record/employee-benefits/</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Cameroon Payroll &amp; Benefits Guide | Papaya Global, accessed April 20, 2026, </w:t>
      </w:r>
      <w:hyperlink r:id="rId15">
        <w:r w:rsidDel="00000000" w:rsidR="00000000" w:rsidRPr="00000000">
          <w:rPr>
            <w:rFonts w:ascii="Google Sans" w:cs="Google Sans" w:eastAsia="Google Sans" w:hAnsi="Google Sans"/>
            <w:color w:val="0000ee"/>
            <w:sz w:val="24"/>
            <w:szCs w:val="24"/>
            <w:u w:val="single"/>
            <w:rtl w:val="0"/>
          </w:rPr>
          <w:t xml:space="preserve">https://www.papayaglobal.com/countrypedia/country/cameroon/</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 Akwa Palace Officiel - The Org, accessed April 20, 2026, </w:t>
      </w:r>
      <w:hyperlink r:id="rId16">
        <w:r w:rsidDel="00000000" w:rsidR="00000000" w:rsidRPr="00000000">
          <w:rPr>
            <w:rFonts w:ascii="Google Sans" w:cs="Google Sans" w:eastAsia="Google Sans" w:hAnsi="Google Sans"/>
            <w:color w:val="0000ee"/>
            <w:sz w:val="24"/>
            <w:szCs w:val="24"/>
            <w:u w:val="single"/>
            <w:rtl w:val="0"/>
          </w:rPr>
          <w:t xml:space="preserve">https://theorg.com/org/hotel-akwa-palace-officiel</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Olivier SOHAING TAYOU - Managing Director at Hotel Akwa Palace Officiel | The Org, accessed April 20, 2026, </w:t>
      </w:r>
      <w:hyperlink r:id="rId17">
        <w:r w:rsidDel="00000000" w:rsidR="00000000" w:rsidRPr="00000000">
          <w:rPr>
            <w:rFonts w:ascii="Google Sans" w:cs="Google Sans" w:eastAsia="Google Sans" w:hAnsi="Google Sans"/>
            <w:color w:val="0000ee"/>
            <w:sz w:val="24"/>
            <w:szCs w:val="24"/>
            <w:u w:val="single"/>
            <w:rtl w:val="0"/>
          </w:rPr>
          <w:t xml:space="preserve">https://theorg.com/org/hotel-akwa-palace-officiel/org-chart/olivier-sohaing-tayou</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AKWA PALACE Douala, accessed April 20, 2026, </w:t>
      </w:r>
      <w:hyperlink r:id="rId18">
        <w:r w:rsidDel="00000000" w:rsidR="00000000" w:rsidRPr="00000000">
          <w:rPr>
            <w:rFonts w:ascii="Google Sans" w:cs="Google Sans" w:eastAsia="Google Sans" w:hAnsi="Google Sans"/>
            <w:color w:val="0000ee"/>
            <w:sz w:val="24"/>
            <w:szCs w:val="24"/>
            <w:u w:val="single"/>
            <w:rtl w:val="0"/>
          </w:rPr>
          <w:t xml:space="preserve">https://www.booking.com/hotel/cm/akwa-palace.html</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 Akwa Palace Reviews, Deals &amp; Photos 2026 - Expedia, accessed April 20, 2026, </w:t>
      </w:r>
      <w:hyperlink r:id="rId19">
        <w:r w:rsidDel="00000000" w:rsidR="00000000" w:rsidRPr="00000000">
          <w:rPr>
            <w:rFonts w:ascii="Google Sans" w:cs="Google Sans" w:eastAsia="Google Sans" w:hAnsi="Google Sans"/>
            <w:color w:val="0000ee"/>
            <w:sz w:val="24"/>
            <w:szCs w:val="24"/>
            <w:u w:val="single"/>
            <w:rtl w:val="0"/>
          </w:rPr>
          <w:t xml:space="preserve">https://www.expedia.com/Douala-Hotels-Hotel-Akwa-Palace.h7771953.Hotel-Information</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 Akwa Palace, Douala, accessed April 20, 2026, </w:t>
      </w:r>
      <w:hyperlink r:id="rId20">
        <w:r w:rsidDel="00000000" w:rsidR="00000000" w:rsidRPr="00000000">
          <w:rPr>
            <w:rFonts w:ascii="Google Sans" w:cs="Google Sans" w:eastAsia="Google Sans" w:hAnsi="Google Sans"/>
            <w:color w:val="0000ee"/>
            <w:sz w:val="24"/>
            <w:szCs w:val="24"/>
            <w:u w:val="single"/>
            <w:rtl w:val="0"/>
          </w:rPr>
          <w:t xml:space="preserve">https://www.hotels.com/ho479684/hotel-akwa-palace-douala-cameroon/</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AKWA PALACE Douala - Douala, Cameroon - Updated 2026: Hotel prices and reviews, accessed April 20, 2026, </w:t>
      </w:r>
      <w:hyperlink r:id="rId21">
        <w:r w:rsidDel="00000000" w:rsidR="00000000" w:rsidRPr="00000000">
          <w:rPr>
            <w:rFonts w:ascii="Google Sans" w:cs="Google Sans" w:eastAsia="Google Sans" w:hAnsi="Google Sans"/>
            <w:color w:val="0000ee"/>
            <w:sz w:val="24"/>
            <w:szCs w:val="24"/>
            <w:u w:val="single"/>
            <w:rtl w:val="0"/>
          </w:rPr>
          <w:t xml:space="preserve">https://en.planetofhotels.com/cameroon/douala/hotel-akwa-palace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otels.com/ho479684/hotel-akwa-palace-douala-cameroon/" TargetMode="External"/><Relationship Id="rId11" Type="http://schemas.openxmlformats.org/officeDocument/2006/relationships/hyperlink" Target="https://papss.com/media/" TargetMode="External"/><Relationship Id="rId10" Type="http://schemas.openxmlformats.org/officeDocument/2006/relationships/hyperlink" Target="https://thefintechtimes.com/mobile-money-digital-and-wider-fintech-in-cameroon-in-2026/" TargetMode="External"/><Relationship Id="rId21" Type="http://schemas.openxmlformats.org/officeDocument/2006/relationships/hyperlink" Target="https://en.planetofhotels.com/cameroon/douala/hotel-akwa-palace" TargetMode="External"/><Relationship Id="rId13" Type="http://schemas.openxmlformats.org/officeDocument/2006/relationships/hyperlink" Target="https://www.playroll.com/working-hours/cameroon" TargetMode="External"/><Relationship Id="rId12" Type="http://schemas.openxmlformats.org/officeDocument/2006/relationships/hyperlink" Target="https://www.atlashxm.com/countries/camero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sinessincameroon.com/finance/1203-15882-afriland-first-bank-visa-sign-growth-agreement-to-expand-digital-payments-in-cameroon" TargetMode="External"/><Relationship Id="rId15" Type="http://schemas.openxmlformats.org/officeDocument/2006/relationships/hyperlink" Target="https://www.papayaglobal.com/countrypedia/country/cameroon/" TargetMode="External"/><Relationship Id="rId14" Type="http://schemas.openxmlformats.org/officeDocument/2006/relationships/hyperlink" Target="https://remotepeople.com/countries/cameroon/employer-of-record/employee-benefits/" TargetMode="External"/><Relationship Id="rId17" Type="http://schemas.openxmlformats.org/officeDocument/2006/relationships/hyperlink" Target="https://theorg.com/org/hotel-akwa-palace-officiel/org-chart/olivier-sohaing-tayou" TargetMode="External"/><Relationship Id="rId16" Type="http://schemas.openxmlformats.org/officeDocument/2006/relationships/hyperlink" Target="https://theorg.com/org/hotel-akwa-palace-officiel" TargetMode="External"/><Relationship Id="rId5" Type="http://schemas.openxmlformats.org/officeDocument/2006/relationships/styles" Target="styles.xml"/><Relationship Id="rId19" Type="http://schemas.openxmlformats.org/officeDocument/2006/relationships/hyperlink" Target="https://www.expedia.com/Douala-Hotels-Hotel-Akwa-Palace.h7771953.Hotel-Information" TargetMode="External"/><Relationship Id="rId6" Type="http://schemas.openxmlformats.org/officeDocument/2006/relationships/hyperlink" Target="https://www.businessincameroon.com/public-management/2811-15413-cameroon-s-e-visa-system-generates-cfa46-9bn-from-411-439-visas" TargetMode="External"/><Relationship Id="rId18" Type="http://schemas.openxmlformats.org/officeDocument/2006/relationships/hyperlink" Target="https://www.booking.com/hotel/cm/akwa-palace.html" TargetMode="External"/><Relationship Id="rId7" Type="http://schemas.openxmlformats.org/officeDocument/2006/relationships/hyperlink" Target="https://btwvisas.com/visa-guide/cameroon-tourist-visa" TargetMode="External"/><Relationship Id="rId8" Type="http://schemas.openxmlformats.org/officeDocument/2006/relationships/hyperlink" Target="https://cameroon-visa.info/why-cameroon-would-reject-vis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