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0"/>
          <w:szCs w:val="30"/>
        </w:rPr>
        <w:t xml:space="preserve">BUSINESS REQUIREMENTS DOCUMENT (BRD)</w:t>
      </w:r>
    </w:p>
    <w:p>
      <w:pPr>
        <w:spacing w:after="120"/>
        <w:jc w:val="center"/>
      </w:pPr>
      <w:r>
        <w:rPr>
          <w:b/>
          <w:bCs/>
          <w:sz w:val="24"/>
          <w:szCs w:val="24"/>
        </w:rPr>
        <w:t xml:space="preserve">REAL-TIME INVENTORY VISIBILITY, LOW-STOCK ALERTING &amp; PRODUCT PROFITABILITY REPORTING</w:t>
      </w:r>
    </w:p>
    <w:p>
      <w:r>
        <w:br w:type="page"/>
      </w:r>
    </w:p>
    <w:p>
      <w:pPr>
        <w:pStyle w:val="Heading1"/>
        <w:spacing w:after="200" w:before="360"/>
      </w:pPr>
      <w:r>
        <w:rPr>
          <w:b/>
          <w:bCs/>
          <w:color w:val="1F3864"/>
        </w:rPr>
        <w:t xml:space="preserve">APPROVAL SHEET</w:t>
      </w:r>
    </w:p>
    <w:p>
      <w:pPr>
        <w:spacing w:after="120"/>
        <w:jc w:val="center"/>
      </w:pPr>
      <w:r>
        <w:rPr>
          <w:b/>
          <w:bCs/>
        </w:rPr>
        <w:t xml:space="preserve">BUSINESS REQUIREMENTS DOCUMENT (BRD)</w:t>
      </w:r>
    </w:p>
    <w:p>
      <w:pPr>
        <w:spacing w:after="120"/>
        <w:jc w:val="center"/>
      </w:pPr>
      <w:r>
        <w:rPr>
          <w:b/>
          <w:bCs/>
        </w:rPr>
        <w:t xml:space="preserve">REAL-TIME INVENTORY VISIBILITY, LOW-STOCK ALERTING &amp; PRODUCT PROFITABILITY REPORTING</w:t>
      </w:r>
    </w:p>
    <w:p>
      <w:pPr>
        <w:spacing w:after="120"/>
        <w:jc w:val="center"/>
      </w:pPr>
      <w:r>
        <w:t xml:space="preserve">[City], July 30, 2026</w:t>
      </w:r>
    </w:p>
    <w:p>
      <w:pPr>
        <w:spacing w:after="200"/>
      </w:pPr>
    </w:p>
    <w:p>
      <w:pPr>
        <w:spacing w:after="120"/>
        <w:jc w:val="center"/>
      </w:pPr>
      <w:r>
        <w:rPr>
          <w:b/>
          <w:bCs/>
        </w:rPr>
        <w:t xml:space="preserve">Prepared by,</w:t>
      </w:r>
    </w:p>
    <w:p>
      <w:pPr>
        <w:spacing w:after="120"/>
        <w:jc w:val="center"/>
      </w:pPr>
      <w:r>
        <w:t xml:space="preserve">Business Analyst</w:t>
      </w:r>
    </w:p>
    <w:p>
      <w:pPr>
        <w:spacing w:after="120"/>
        <w:jc w:val="center"/>
      </w:pPr>
      <w:r>
        <w:rPr>
          <w:u w:val="single"/>
        </w:rPr>
        <w:t xml:space="preserve">[Business Analyst Name]</w:t>
      </w:r>
    </w:p>
    <w:p>
      <w:pPr>
        <w:spacing w:after="400"/>
      </w:pPr>
    </w:p>
    <w:tbl>
      <w:tblPr>
        <w:tblW w:type="dxa" w:w="9800"/>
        <w:tblBorders>
          <w:top w:val="none"/>
          <w:left w:val="none"/>
          <w:bottom w:val="none"/>
          <w:right w:val="none"/>
          <w:insideH w:val="none"/>
          <w:insideV w:val="none"/>
        </w:tblBorders>
      </w:tblPr>
      <w:tblGrid>
        <w:gridCol w:w="4900"/>
        <w:gridCol w:w="4900"/>
      </w:tblGrid>
      <w:tr>
        <w:tc>
          <w:tcPr>
            <w:tcW w:type="dxa" w:w="4900"/>
            <w:tcBorders>
              <w:top w:val="none"/>
              <w:left w:val="none"/>
              <w:bottom w:val="none"/>
              <w:right w:val="none"/>
            </w:tcBorders>
          </w:tcPr>
          <w:p>
            <w:pPr>
              <w:spacing w:after="60"/>
              <w:jc w:val="center"/>
            </w:pPr>
            <w:r>
              <w:rPr>
                <w:b/>
                <w:bCs/>
              </w:rPr>
              <w:t xml:space="preserve">Acknowledged by,</w:t>
            </w:r>
          </w:p>
          <w:p>
            <w:pPr>
              <w:spacing w:after="600"/>
              <w:jc w:val="center"/>
            </w:pPr>
            <w:r>
              <w:rPr>
                <w:b/>
                <w:bCs/>
              </w:rPr>
              <w:t xml:space="preserve">Store Operations Lead</w:t>
            </w:r>
          </w:p>
          <w:p>
            <w:pPr>
              <w:spacing w:after="40"/>
              <w:jc w:val="center"/>
            </w:pPr>
            <w:r>
              <w:rPr>
                <w:u w:val="single"/>
              </w:rPr>
              <w:t xml:space="preserve">(________________________)</w:t>
            </w:r>
          </w:p>
          <w:p>
            <w:pPr>
              <w:jc w:val="center"/>
            </w:pPr>
            <w:r>
              <w:t xml:space="preserve">Date:</w:t>
            </w:r>
          </w:p>
        </w:tc>
        <w:tc>
          <w:tcPr>
            <w:tcW w:type="dxa" w:w="4900"/>
            <w:tcBorders>
              <w:top w:val="none"/>
              <w:left w:val="none"/>
              <w:bottom w:val="none"/>
              <w:right w:val="none"/>
            </w:tcBorders>
          </w:tcPr>
          <w:p>
            <w:pPr>
              <w:spacing w:after="60"/>
              <w:jc w:val="center"/>
            </w:pPr>
            <w:r>
              <w:rPr>
                <w:b/>
                <w:bCs/>
              </w:rPr>
              <w:t xml:space="preserve">Acknowledged by,</w:t>
            </w:r>
          </w:p>
          <w:p>
            <w:pPr>
              <w:spacing w:after="600"/>
              <w:jc w:val="center"/>
            </w:pPr>
            <w:r>
              <w:rPr>
                <w:b/>
                <w:bCs/>
              </w:rPr>
              <w:t xml:space="preserve">IT / Systems Lead</w:t>
            </w:r>
          </w:p>
          <w:p>
            <w:pPr>
              <w:spacing w:after="40"/>
              <w:jc w:val="center"/>
            </w:pPr>
            <w:r>
              <w:rPr>
                <w:u w:val="single"/>
              </w:rPr>
              <w:t xml:space="preserve">(________________________)</w:t>
            </w:r>
          </w:p>
          <w:p>
            <w:pPr>
              <w:jc w:val="center"/>
            </w:pPr>
            <w:r>
              <w:t xml:space="preserve">Date:</w:t>
            </w:r>
          </w:p>
        </w:tc>
      </w:tr>
    </w:tbl>
    <w:p>
      <w:pPr>
        <w:spacing w:after="300"/>
      </w:pPr>
    </w:p>
    <w:p>
      <w:pPr>
        <w:spacing w:after="120"/>
        <w:jc w:val="center"/>
      </w:pPr>
      <w:r>
        <w:rPr>
          <w:b/>
          <w:bCs/>
        </w:rPr>
        <w:t xml:space="preserve">Approved by,</w:t>
      </w:r>
    </w:p>
    <w:p>
      <w:pPr>
        <w:spacing w:after="120"/>
        <w:jc w:val="center"/>
      </w:pPr>
      <w:r>
        <w:rPr>
          <w:b/>
          <w:bCs/>
        </w:rPr>
        <w:t xml:space="preserve">Business Owner</w:t>
      </w:r>
    </w:p>
    <w:p>
      <w:pPr>
        <w:spacing w:after="500"/>
      </w:pPr>
    </w:p>
    <w:p>
      <w:pPr>
        <w:spacing w:after="120"/>
        <w:jc w:val="center"/>
      </w:pPr>
      <w:r>
        <w:rPr>
          <w:u w:val="single"/>
        </w:rPr>
        <w:t xml:space="preserve">(________________________)</w:t>
      </w:r>
    </w:p>
    <w:p>
      <w:pPr>
        <w:spacing w:after="120"/>
        <w:jc w:val="center"/>
      </w:pPr>
      <w:r>
        <w:t xml:space="preserve">Date:</w:t>
      </w:r>
    </w:p>
    <w:p>
      <w:r>
        <w:br w:type="page"/>
      </w:r>
    </w:p>
    <w:p>
      <w:pPr>
        <w:pStyle w:val="Heading1"/>
        <w:spacing w:after="200" w:before="360"/>
      </w:pPr>
      <w:r>
        <w:rPr>
          <w:b/>
          <w:bCs/>
          <w:color w:val="1F3864"/>
        </w:rPr>
        <w:t xml:space="preserve">FOREWORD</w:t>
      </w:r>
    </w:p>
    <w:p>
      <w:pPr>
        <w:spacing w:after="160" w:line="276"/>
        <w:jc w:val="both"/>
      </w:pPr>
      <w:r>
        <w:t xml:space="preserve">This Business Requirements Document (BRD) has been prepared to formally define the business, functional, and process requirements needed to give the business real-time visibility into inventory levels, prevent overselling of out-of-stock items online, and provide clear, self-serve visibility into product-level profitability.</w:t>
      </w:r>
    </w:p>
    <w:p>
      <w:pPr>
        <w:spacing w:after="160" w:line="276"/>
        <w:jc w:val="both"/>
      </w:pPr>
      <w:r>
        <w:t xml:space="preserve">Completion of this document would not have been possible without input and collaboration from several teams. The author wishes to thank:</w:t>
      </w:r>
    </w:p>
    <w:p>
      <w:pPr>
        <w:pStyle w:val="ListParagraph"/>
        <w:numPr>
          <w:ilvl w:val="0"/>
          <w:numId w:val="2"/>
        </w:numPr>
        <w:spacing w:after="100" w:line="276"/>
      </w:pPr>
      <w:r>
        <w:t xml:space="preserve">Store Operations staff, for describing the current manual stock-check process and its limitations.</w:t>
      </w:r>
    </w:p>
    <w:p>
      <w:pPr>
        <w:pStyle w:val="ListParagraph"/>
        <w:numPr>
          <w:ilvl w:val="0"/>
          <w:numId w:val="2"/>
        </w:numPr>
        <w:spacing w:after="100" w:line="276"/>
      </w:pPr>
      <w:r>
        <w:t xml:space="preserve">The Finance team, for input on product cost and margin data availability.</w:t>
      </w:r>
    </w:p>
    <w:p>
      <w:pPr>
        <w:pStyle w:val="ListParagraph"/>
        <w:numPr>
          <w:ilvl w:val="0"/>
          <w:numId w:val="2"/>
        </w:numPr>
        <w:spacing w:after="100" w:line="276"/>
      </w:pPr>
      <w:r>
        <w:t xml:space="preserve">IT / Systems support, for input on the technical feasibility of a real-time integration between the point-of-sale (POS) system and the online storefront.</w:t>
      </w:r>
    </w:p>
    <w:p>
      <w:pPr>
        <w:spacing w:after="120"/>
        <w:jc w:val="center"/>
      </w:pPr>
      <w:r>
        <w:t xml:space="preserve">[City], July 30, 2026</w:t>
      </w:r>
    </w:p>
    <w:p>
      <w:pPr>
        <w:spacing w:after="120"/>
        <w:jc w:val="center"/>
      </w:pPr>
      <w:r>
        <w:rPr>
          <w:b/>
          <w:bCs/>
        </w:rPr>
        <w:t xml:space="preserve">[Business Analyst Name]</w:t>
      </w:r>
    </w:p>
    <w:p>
      <w:r>
        <w:br w:type="page"/>
      </w:r>
    </w:p>
    <w:p>
      <w:pPr>
        <w:pStyle w:val="Heading1"/>
        <w:spacing w:after="200" w:before="360"/>
      </w:pPr>
      <w:r>
        <w:rPr>
          <w:b/>
          <w:bCs/>
          <w:color w:val="1F3864"/>
        </w:rPr>
        <w:t xml:space="preserve">ABSTRACT</w:t>
      </w:r>
    </w:p>
    <w:p>
      <w:pPr>
        <w:spacing w:after="160" w:line="276"/>
        <w:jc w:val="both"/>
      </w:pPr>
      <w:r>
        <w:t xml:space="preserve">The business currently relies on a manual process to verify inventory: a store associate physically walks to the shelf and counts stock by hand, and there is no real-time link between the point-of-sale (POS) system and the online storefront. In the second quarter of 2026, this gap caused four confirmed instances of an item being sold online after it was already out of stock in-store, most recently resulting in the Owner personally contacting the affected customer to apologize and process a refund. A sample audit of 50 SKUs found inventory records matched physical stock only 78% of the time.</w:t>
      </w:r>
    </w:p>
    <w:p>
      <w:pPr>
        <w:spacing w:after="160" w:line="276"/>
        <w:jc w:val="both"/>
      </w:pPr>
      <w:r>
        <w:t xml:space="preserve">This BRD defines requirements for a real-time inventory dashboard that synchronizes stock between the POS system and the online storefront, automatically removes out-of-stock items from the online store, and sends automated low-stock alerts — eliminating the need for manual shelf checks. As a secondary, lower-priority objective, it also defines a weekly product profitability report so Finance and the Owner can identify which products are profitable versus which are simply taking up shelf space. Combined, these changes are projected to deliver approximately $12,400 in annual benefit: $7,808 from Phase 1 (real-time sync and alerting) through recovered labor time and reduced overselling losses, and a further $4,560 from Phase 2 (profitability reporting) through reduced holding costs on identified slow-moving stock.</w:t>
      </w:r>
    </w:p>
    <w:p>
      <w:pPr>
        <w:spacing w:after="160" w:line="276"/>
        <w:jc w:val="both"/>
      </w:pPr>
      <w:r>
        <w:rPr>
          <w:i/>
          <w:iCs/>
        </w:rPr>
        <w:t xml:space="preserve">Keywords: Inventory Management, Real-Time Stock Sync, Low-Stock Alerting, Overselling Prevention, Product Profitability Reporting, Business Requirements Document (BRD).</w:t>
      </w:r>
    </w:p>
    <w:p>
      <w:r>
        <w:br w:type="page"/>
      </w:r>
    </w:p>
    <w:p>
      <w:pPr>
        <w:pStyle w:val="Heading1"/>
        <w:spacing w:after="200" w:before="360"/>
      </w:pPr>
      <w:r>
        <w:rPr>
          <w:b/>
          <w:bCs/>
          <w:color w:val="1F3864"/>
        </w:rPr>
        <w:t xml:space="preserve">TABLE OF CONTENTS</w:t>
      </w:r>
    </w:p>
    <w:p>
      <w:pPr>
        <w:tabs>
          <w:tab w:val="right" w:pos="9026" w:leader="dot"/>
        </w:tabs>
        <w:spacing w:after="80"/>
        <w:ind w:left="0"/>
      </w:pPr>
      <w:r>
        <w:rPr>
          <w:b/>
          <w:bCs/>
        </w:rPr>
        <w:t xml:space="preserve">APPROVAL SHEET	2</w:t>
      </w:r>
    </w:p>
    <w:p>
      <w:pPr>
        <w:tabs>
          <w:tab w:val="right" w:pos="9026" w:leader="dot"/>
        </w:tabs>
        <w:spacing w:after="80"/>
        <w:ind w:left="0"/>
      </w:pPr>
      <w:r>
        <w:rPr>
          <w:b/>
          <w:bCs/>
        </w:rPr>
        <w:t xml:space="preserve">FOREWORD	3</w:t>
      </w:r>
    </w:p>
    <w:p>
      <w:pPr>
        <w:tabs>
          <w:tab w:val="right" w:pos="9026" w:leader="dot"/>
        </w:tabs>
        <w:spacing w:after="80"/>
        <w:ind w:left="0"/>
      </w:pPr>
      <w:r>
        <w:rPr>
          <w:b/>
          <w:bCs/>
        </w:rPr>
        <w:t xml:space="preserve">ABSTRACT	4</w:t>
      </w:r>
    </w:p>
    <w:p>
      <w:pPr>
        <w:tabs>
          <w:tab w:val="right" w:pos="9026" w:leader="dot"/>
        </w:tabs>
        <w:spacing w:after="80"/>
        <w:ind w:left="0"/>
      </w:pPr>
      <w:r>
        <w:rPr>
          <w:b/>
          <w:bCs/>
        </w:rPr>
        <w:t xml:space="preserve">TABLE OF CONTENTS	5</w:t>
      </w:r>
    </w:p>
    <w:p>
      <w:pPr>
        <w:tabs>
          <w:tab w:val="right" w:pos="9026" w:leader="dot"/>
        </w:tabs>
        <w:spacing w:after="80"/>
        <w:ind w:left="0"/>
      </w:pPr>
      <w:r>
        <w:rPr>
          <w:b/>
          <w:bCs/>
        </w:rPr>
        <w:t xml:space="preserve">LIST OF TABLES	7</w:t>
      </w:r>
    </w:p>
    <w:p>
      <w:pPr>
        <w:tabs>
          <w:tab w:val="right" w:pos="9026" w:leader="dot"/>
        </w:tabs>
        <w:spacing w:after="80"/>
        <w:ind w:left="0"/>
      </w:pPr>
      <w:r>
        <w:rPr>
          <w:b/>
          <w:bCs/>
        </w:rPr>
        <w:t xml:space="preserve">CHAPTER I	8</w:t>
      </w:r>
    </w:p>
    <w:p>
      <w:pPr>
        <w:tabs>
          <w:tab w:val="right" w:pos="9026" w:leader="dot"/>
        </w:tabs>
        <w:spacing w:after="80"/>
        <w:ind w:left="0"/>
      </w:pPr>
      <w:r>
        <w:rPr>
          <w:b/>
          <w:bCs/>
        </w:rPr>
        <w:t xml:space="preserve">INTRODUCTION	8</w:t>
      </w:r>
    </w:p>
    <w:p>
      <w:pPr>
        <w:tabs>
          <w:tab w:val="right" w:pos="9026" w:leader="dot"/>
        </w:tabs>
        <w:spacing w:after="80"/>
        <w:ind w:left="260"/>
      </w:pPr>
      <w:r>
        <w:rPr>
          <w:b w:val="false"/>
          <w:bCs w:val="false"/>
        </w:rPr>
        <w:t xml:space="preserve">1.1 Overview	8</w:t>
      </w:r>
    </w:p>
    <w:p>
      <w:pPr>
        <w:tabs>
          <w:tab w:val="right" w:pos="9026" w:leader="dot"/>
        </w:tabs>
        <w:spacing w:after="80"/>
        <w:ind w:left="520"/>
      </w:pPr>
      <w:r>
        <w:rPr>
          <w:b w:val="false"/>
          <w:bCs w:val="false"/>
        </w:rPr>
        <w:t xml:space="preserve">1.1.1 Background	8</w:t>
      </w:r>
    </w:p>
    <w:p>
      <w:pPr>
        <w:tabs>
          <w:tab w:val="right" w:pos="9026" w:leader="dot"/>
        </w:tabs>
        <w:spacing w:after="80"/>
        <w:ind w:left="520"/>
      </w:pPr>
      <w:r>
        <w:rPr>
          <w:b w:val="false"/>
          <w:bCs w:val="false"/>
        </w:rPr>
        <w:t xml:space="preserve">1.1.2 Business and Market Analysis	8</w:t>
      </w:r>
    </w:p>
    <w:p>
      <w:pPr>
        <w:tabs>
          <w:tab w:val="right" w:pos="9026" w:leader="dot"/>
        </w:tabs>
        <w:spacing w:after="80"/>
        <w:ind w:left="520"/>
      </w:pPr>
      <w:r>
        <w:rPr>
          <w:b w:val="false"/>
          <w:bCs w:val="false"/>
        </w:rPr>
        <w:t xml:space="preserve">1.1.3 Relevant Historical Data	8</w:t>
      </w:r>
    </w:p>
    <w:p>
      <w:pPr>
        <w:tabs>
          <w:tab w:val="right" w:pos="9026" w:leader="dot"/>
        </w:tabs>
        <w:spacing w:after="80"/>
        <w:ind w:left="260"/>
      </w:pPr>
      <w:r>
        <w:rPr>
          <w:b w:val="false"/>
          <w:bCs w:val="false"/>
        </w:rPr>
        <w:t xml:space="preserve">1.2 Business Objective	9</w:t>
      </w:r>
    </w:p>
    <w:p>
      <w:pPr>
        <w:tabs>
          <w:tab w:val="right" w:pos="9026" w:leader="dot"/>
        </w:tabs>
        <w:spacing w:after="80"/>
        <w:ind w:left="260"/>
      </w:pPr>
      <w:r>
        <w:rPr>
          <w:b w:val="false"/>
          <w:bCs w:val="false"/>
        </w:rPr>
        <w:t xml:space="preserve">1.3 Purpose of this Business Requirement	9</w:t>
      </w:r>
    </w:p>
    <w:p>
      <w:pPr>
        <w:tabs>
          <w:tab w:val="right" w:pos="9026" w:leader="dot"/>
        </w:tabs>
        <w:spacing w:after="80"/>
        <w:ind w:left="260"/>
      </w:pPr>
      <w:r>
        <w:rPr>
          <w:b w:val="false"/>
          <w:bCs w:val="false"/>
        </w:rPr>
        <w:t xml:space="preserve">1.4 Program Type	9</w:t>
      </w:r>
    </w:p>
    <w:p>
      <w:pPr>
        <w:tabs>
          <w:tab w:val="right" w:pos="9026" w:leader="dot"/>
        </w:tabs>
        <w:spacing w:after="80"/>
        <w:ind w:left="260"/>
      </w:pPr>
      <w:r>
        <w:rPr>
          <w:b w:val="false"/>
          <w:bCs w:val="false"/>
        </w:rPr>
        <w:t xml:space="preserve">1.5 Business Risk	9</w:t>
      </w:r>
    </w:p>
    <w:p>
      <w:pPr>
        <w:tabs>
          <w:tab w:val="right" w:pos="9026" w:leader="dot"/>
        </w:tabs>
        <w:spacing w:after="80"/>
        <w:ind w:left="0"/>
      </w:pPr>
      <w:r>
        <w:rPr>
          <w:b/>
          <w:bCs/>
        </w:rPr>
        <w:t xml:space="preserve">CHAPTER II	10</w:t>
      </w:r>
    </w:p>
    <w:p>
      <w:pPr>
        <w:tabs>
          <w:tab w:val="right" w:pos="9026" w:leader="dot"/>
        </w:tabs>
        <w:spacing w:after="80"/>
        <w:ind w:left="0"/>
      </w:pPr>
      <w:r>
        <w:rPr>
          <w:b/>
          <w:bCs/>
        </w:rPr>
        <w:t xml:space="preserve">BENEFIT ANALYSIS	10</w:t>
      </w:r>
    </w:p>
    <w:p>
      <w:pPr>
        <w:tabs>
          <w:tab w:val="right" w:pos="9026" w:leader="dot"/>
        </w:tabs>
        <w:spacing w:after="80"/>
        <w:ind w:left="260"/>
      </w:pPr>
      <w:r>
        <w:rPr>
          <w:b w:val="false"/>
          <w:bCs w:val="false"/>
        </w:rPr>
        <w:t xml:space="preserve">2.1 Summary	10</w:t>
      </w:r>
    </w:p>
    <w:p>
      <w:pPr>
        <w:tabs>
          <w:tab w:val="right" w:pos="9026" w:leader="dot"/>
        </w:tabs>
        <w:spacing w:after="80"/>
        <w:ind w:left="260"/>
      </w:pPr>
      <w:r>
        <w:rPr>
          <w:b w:val="false"/>
          <w:bCs w:val="false"/>
        </w:rPr>
        <w:t xml:space="preserve">2.2 Assumption and Calculation	10</w:t>
      </w:r>
    </w:p>
    <w:p>
      <w:pPr>
        <w:tabs>
          <w:tab w:val="right" w:pos="9026" w:leader="dot"/>
        </w:tabs>
        <w:spacing w:after="80"/>
        <w:ind w:left="0"/>
      </w:pPr>
      <w:r>
        <w:rPr>
          <w:b/>
          <w:bCs/>
        </w:rPr>
        <w:t xml:space="preserve">CHAPTER III	12</w:t>
      </w:r>
    </w:p>
    <w:p>
      <w:pPr>
        <w:tabs>
          <w:tab w:val="right" w:pos="9026" w:leader="dot"/>
        </w:tabs>
        <w:spacing w:after="80"/>
        <w:ind w:left="0"/>
      </w:pPr>
      <w:r>
        <w:rPr>
          <w:b/>
          <w:bCs/>
        </w:rPr>
        <w:t xml:space="preserve">SERVICE DESCRIPTION	12</w:t>
      </w:r>
    </w:p>
    <w:p>
      <w:pPr>
        <w:tabs>
          <w:tab w:val="right" w:pos="9026" w:leader="dot"/>
        </w:tabs>
        <w:spacing w:after="80"/>
        <w:ind w:left="260"/>
      </w:pPr>
      <w:r>
        <w:rPr>
          <w:b w:val="false"/>
          <w:bCs w:val="false"/>
        </w:rPr>
        <w:t xml:space="preserve">3.1 General Requirement	12</w:t>
      </w:r>
    </w:p>
    <w:p>
      <w:pPr>
        <w:tabs>
          <w:tab w:val="right" w:pos="9026" w:leader="dot"/>
        </w:tabs>
        <w:spacing w:after="80"/>
        <w:ind w:left="260"/>
      </w:pPr>
      <w:r>
        <w:rPr>
          <w:b w:val="false"/>
          <w:bCs w:val="false"/>
        </w:rPr>
        <w:t xml:space="preserve">3.2 Product / Service Specification	12</w:t>
      </w:r>
    </w:p>
    <w:p>
      <w:pPr>
        <w:tabs>
          <w:tab w:val="right" w:pos="9026" w:leader="dot"/>
        </w:tabs>
        <w:spacing w:after="80"/>
        <w:ind w:left="260"/>
      </w:pPr>
      <w:r>
        <w:rPr>
          <w:b w:val="false"/>
          <w:bCs w:val="false"/>
        </w:rPr>
        <w:t xml:space="preserve">3.3 Business Process	13</w:t>
      </w:r>
    </w:p>
    <w:p>
      <w:pPr>
        <w:tabs>
          <w:tab w:val="right" w:pos="9026" w:leader="dot"/>
        </w:tabs>
        <w:spacing w:after="80"/>
        <w:ind w:left="520"/>
      </w:pPr>
      <w:r>
        <w:rPr>
          <w:b w:val="false"/>
          <w:bCs w:val="false"/>
        </w:rPr>
        <w:t xml:space="preserve">3.3.1 Business Process Impact	13</w:t>
      </w:r>
    </w:p>
    <w:p>
      <w:pPr>
        <w:tabs>
          <w:tab w:val="right" w:pos="9026" w:leader="dot"/>
        </w:tabs>
        <w:spacing w:after="80"/>
        <w:ind w:left="520"/>
      </w:pPr>
      <w:r>
        <w:rPr>
          <w:b w:val="false"/>
          <w:bCs w:val="false"/>
        </w:rPr>
        <w:t xml:space="preserve">3.3.2 Description	13</w:t>
      </w:r>
    </w:p>
    <w:p>
      <w:pPr>
        <w:tabs>
          <w:tab w:val="right" w:pos="9026" w:leader="dot"/>
        </w:tabs>
        <w:spacing w:after="80"/>
        <w:ind w:left="520"/>
      </w:pPr>
      <w:r>
        <w:rPr>
          <w:b w:val="false"/>
          <w:bCs w:val="false"/>
        </w:rPr>
        <w:t xml:space="preserve">3.3.3 Security	13</w:t>
      </w:r>
    </w:p>
    <w:p>
      <w:pPr>
        <w:tabs>
          <w:tab w:val="right" w:pos="9026" w:leader="dot"/>
        </w:tabs>
        <w:spacing w:after="80"/>
        <w:ind w:left="520"/>
      </w:pPr>
      <w:r>
        <w:rPr>
          <w:b w:val="false"/>
          <w:bCs w:val="false"/>
        </w:rPr>
        <w:t xml:space="preserve">3.3.4 Organization and Policy	13</w:t>
      </w:r>
    </w:p>
    <w:p>
      <w:pPr>
        <w:tabs>
          <w:tab w:val="right" w:pos="9026" w:leader="dot"/>
        </w:tabs>
        <w:spacing w:after="80"/>
        <w:ind w:left="520"/>
      </w:pPr>
      <w:r>
        <w:rPr>
          <w:b w:val="false"/>
          <w:bCs w:val="false"/>
        </w:rPr>
        <w:t xml:space="preserve">3.3.5 Service Delivery Plan	13</w:t>
      </w:r>
    </w:p>
    <w:p>
      <w:pPr>
        <w:tabs>
          <w:tab w:val="right" w:pos="9026" w:leader="dot"/>
        </w:tabs>
        <w:spacing w:after="80"/>
        <w:ind w:left="260"/>
      </w:pPr>
      <w:r>
        <w:rPr>
          <w:b w:val="false"/>
          <w:bCs w:val="false"/>
        </w:rPr>
        <w:t xml:space="preserve">3.4 Complain Handling	13</w:t>
      </w:r>
    </w:p>
    <w:p>
      <w:pPr>
        <w:tabs>
          <w:tab w:val="right" w:pos="9026" w:leader="dot"/>
        </w:tabs>
        <w:spacing w:after="80"/>
        <w:ind w:left="260"/>
      </w:pPr>
      <w:r>
        <w:rPr>
          <w:b w:val="false"/>
          <w:bCs w:val="false"/>
        </w:rPr>
        <w:t xml:space="preserve">3.5 Reporting	14</w:t>
      </w:r>
    </w:p>
    <w:p>
      <w:pPr>
        <w:tabs>
          <w:tab w:val="right" w:pos="9026" w:leader="dot"/>
        </w:tabs>
        <w:spacing w:after="80"/>
        <w:ind w:left="260"/>
      </w:pPr>
      <w:r>
        <w:rPr>
          <w:b w:val="false"/>
          <w:bCs w:val="false"/>
        </w:rPr>
        <w:t xml:space="preserve">3.6 Monitoring	14</w:t>
      </w:r>
    </w:p>
    <w:p>
      <w:pPr>
        <w:tabs>
          <w:tab w:val="right" w:pos="9026" w:leader="dot"/>
        </w:tabs>
        <w:spacing w:after="80"/>
        <w:ind w:left="260"/>
      </w:pPr>
      <w:r>
        <w:rPr>
          <w:b w:val="false"/>
          <w:bCs w:val="false"/>
        </w:rPr>
        <w:t xml:space="preserve">3.7 Settlement Plan	14</w:t>
      </w:r>
    </w:p>
    <w:p>
      <w:pPr>
        <w:tabs>
          <w:tab w:val="right" w:pos="9026" w:leader="dot"/>
        </w:tabs>
        <w:spacing w:after="80"/>
        <w:ind w:left="260"/>
      </w:pPr>
      <w:r>
        <w:rPr>
          <w:b w:val="false"/>
          <w:bCs w:val="false"/>
        </w:rPr>
        <w:t xml:space="preserve">3.8 Assumptions and Dependencies	14</w:t>
      </w:r>
    </w:p>
    <w:p>
      <w:pPr>
        <w:tabs>
          <w:tab w:val="right" w:pos="9026" w:leader="dot"/>
        </w:tabs>
        <w:spacing w:after="80"/>
        <w:ind w:left="0"/>
      </w:pPr>
      <w:r>
        <w:rPr>
          <w:b/>
          <w:bCs/>
        </w:rPr>
        <w:t xml:space="preserve">CHAPTER IV	15</w:t>
      </w:r>
    </w:p>
    <w:p>
      <w:pPr>
        <w:tabs>
          <w:tab w:val="right" w:pos="9026" w:leader="dot"/>
        </w:tabs>
        <w:spacing w:after="80"/>
        <w:ind w:left="0"/>
      </w:pPr>
      <w:r>
        <w:rPr>
          <w:b/>
          <w:bCs/>
        </w:rPr>
        <w:t xml:space="preserve">RELEASE PLAN	15</w:t>
      </w:r>
    </w:p>
    <w:p>
      <w:pPr>
        <w:tabs>
          <w:tab w:val="right" w:pos="9026" w:leader="dot"/>
        </w:tabs>
        <w:spacing w:after="80"/>
        <w:ind w:left="260"/>
      </w:pPr>
      <w:r>
        <w:rPr>
          <w:b w:val="false"/>
          <w:bCs w:val="false"/>
        </w:rPr>
        <w:t xml:space="preserve">4.1 Target Ready for Service	15</w:t>
      </w:r>
    </w:p>
    <w:p>
      <w:pPr>
        <w:tabs>
          <w:tab w:val="right" w:pos="9026" w:leader="dot"/>
        </w:tabs>
        <w:spacing w:after="80"/>
        <w:ind w:left="260"/>
      </w:pPr>
      <w:r>
        <w:rPr>
          <w:b w:val="false"/>
          <w:bCs w:val="false"/>
        </w:rPr>
        <w:t xml:space="preserve">4.2 Commercial Launch	15</w:t>
      </w:r>
    </w:p>
    <w:p>
      <w:pPr>
        <w:tabs>
          <w:tab w:val="right" w:pos="9026" w:leader="dot"/>
        </w:tabs>
        <w:spacing w:after="80"/>
        <w:ind w:left="260"/>
      </w:pPr>
      <w:r>
        <w:rPr>
          <w:b w:val="false"/>
          <w:bCs w:val="false"/>
        </w:rPr>
        <w:t xml:space="preserve">4.3 Internal Socialization Plan	15</w:t>
      </w:r>
    </w:p>
    <w:p>
      <w:pPr>
        <w:tabs>
          <w:tab w:val="right" w:pos="9026" w:leader="dot"/>
        </w:tabs>
        <w:spacing w:after="80"/>
        <w:ind w:left="260"/>
      </w:pPr>
      <w:r>
        <w:rPr>
          <w:b w:val="false"/>
          <w:bCs w:val="false"/>
        </w:rPr>
        <w:t xml:space="preserve">4.4 Rollout Scenario	15</w:t>
      </w:r>
    </w:p>
    <w:p>
      <w:pPr>
        <w:tabs>
          <w:tab w:val="right" w:pos="9026" w:leader="dot"/>
        </w:tabs>
        <w:spacing w:after="80"/>
        <w:ind w:left="0"/>
      </w:pPr>
      <w:r>
        <w:rPr>
          <w:b/>
          <w:bCs/>
        </w:rPr>
        <w:t xml:space="preserve">CHAPTER V	16</w:t>
      </w:r>
    </w:p>
    <w:p>
      <w:pPr>
        <w:tabs>
          <w:tab w:val="right" w:pos="9026" w:leader="dot"/>
        </w:tabs>
        <w:spacing w:after="80"/>
        <w:ind w:left="0"/>
      </w:pPr>
      <w:r>
        <w:rPr>
          <w:b/>
          <w:bCs/>
        </w:rPr>
        <w:t xml:space="preserve">RETIREMENT PLAN &amp; SIGNOFF	16</w:t>
      </w:r>
    </w:p>
    <w:p>
      <w:pPr>
        <w:tabs>
          <w:tab w:val="right" w:pos="9026" w:leader="dot"/>
        </w:tabs>
        <w:spacing w:after="80"/>
        <w:ind w:left="260"/>
      </w:pPr>
      <w:r>
        <w:rPr>
          <w:b w:val="false"/>
          <w:bCs w:val="false"/>
        </w:rPr>
        <w:t xml:space="preserve">5.1 Product / Service Retirement Plan	16</w:t>
      </w:r>
    </w:p>
    <w:p>
      <w:pPr>
        <w:tabs>
          <w:tab w:val="right" w:pos="9026" w:leader="dot"/>
        </w:tabs>
        <w:spacing w:after="80"/>
        <w:ind w:left="260"/>
      </w:pPr>
      <w:r>
        <w:rPr>
          <w:b w:val="false"/>
          <w:bCs w:val="false"/>
        </w:rPr>
        <w:t xml:space="preserve">5.2 Document Signoff	16</w:t>
      </w:r>
    </w:p>
    <w:p>
      <w:r>
        <w:br w:type="page"/>
      </w:r>
    </w:p>
    <w:p>
      <w:pPr>
        <w:pStyle w:val="Heading1"/>
        <w:spacing w:after="200" w:before="360"/>
      </w:pPr>
      <w:r>
        <w:rPr>
          <w:b/>
          <w:bCs/>
          <w:color w:val="1F3864"/>
        </w:rPr>
        <w:t xml:space="preserve">LIST OF TABLES</w:t>
      </w:r>
    </w:p>
    <w:p>
      <w:pPr>
        <w:spacing w:after="160" w:line="276"/>
        <w:jc w:val="both"/>
      </w:pPr>
      <w:r>
        <w:t xml:space="preserve">Table 1.1  Current-State Baseline — Q2 2026</w:t>
      </w:r>
    </w:p>
    <w:p>
      <w:pPr>
        <w:spacing w:after="160" w:line="276"/>
        <w:jc w:val="both"/>
      </w:pPr>
      <w:r>
        <w:t xml:space="preserve">Table 2.1  Benefit Calculation</w:t>
      </w:r>
    </w:p>
    <w:p>
      <w:pPr>
        <w:spacing w:after="160" w:line="276"/>
        <w:jc w:val="both"/>
      </w:pPr>
      <w:r>
        <w:t xml:space="preserve">Table 3.1  General Requirements</w:t>
      </w:r>
    </w:p>
    <w:p>
      <w:pPr>
        <w:spacing w:after="160" w:line="276"/>
        <w:jc w:val="both"/>
      </w:pPr>
      <w:r>
        <w:t xml:space="preserve">Table 5.1  Document Signoff Matrix</w:t>
      </w:r>
    </w:p>
    <w:p>
      <w:r>
        <w:br w:type="page"/>
      </w:r>
    </w:p>
    <w:p>
      <w:pPr>
        <w:pStyle w:val="Heading1"/>
        <w:spacing w:after="200" w:before="360"/>
      </w:pPr>
      <w:r>
        <w:rPr>
          <w:b/>
          <w:bCs/>
          <w:color w:val="1F3864"/>
        </w:rPr>
        <w:t xml:space="preserve">CHAPTER I</w:t>
      </w:r>
    </w:p>
    <w:p>
      <w:pPr>
        <w:pStyle w:val="Heading1"/>
        <w:spacing w:after="200" w:before="360"/>
      </w:pPr>
      <w:r>
        <w:rPr>
          <w:b/>
          <w:bCs/>
          <w:color w:val="1F3864"/>
        </w:rPr>
        <w:t xml:space="preserve">INTRODUCTION</w:t>
      </w:r>
    </w:p>
    <w:p>
      <w:pPr>
        <w:pStyle w:val="Heading2"/>
        <w:spacing w:after="140" w:before="280"/>
      </w:pPr>
      <w:r>
        <w:rPr>
          <w:b/>
          <w:bCs/>
          <w:color w:val="1F3864"/>
        </w:rPr>
        <w:t xml:space="preserve">1.1 Overview</w:t>
      </w:r>
    </w:p>
    <w:p>
      <w:pPr>
        <w:pStyle w:val="Heading3"/>
        <w:spacing w:after="120" w:before="220"/>
      </w:pPr>
      <w:r>
        <w:rPr>
          <w:b/>
          <w:bCs/>
          <w:color w:val="1F3864"/>
        </w:rPr>
        <w:t xml:space="preserve">1.1.1 Background</w:t>
      </w:r>
    </w:p>
    <w:p>
      <w:pPr>
        <w:spacing w:after="160" w:line="276"/>
        <w:jc w:val="both"/>
      </w:pPr>
      <w:r>
        <w:t xml:space="preserve">In the second quarter of 2026 (April–June), the business recorded four confirmed instances of an item being sold on the online storefront after it was already out of stock in the physical store — most recently last week, when the Owner personally contacted the affected customer to apologize and process a refund. The current process for verifying stock relies on a store associate physically walking to the shelf and counting items by hand; there is no real-time link between the point-of-sale (POS) system and the online storefront. This manual, disconnected process is the direct root cause of the repeated overselling incidents and is the trigger for this initiative.</w:t>
      </w:r>
    </w:p>
    <w:p>
      <w:pPr>
        <w:pStyle w:val="Heading3"/>
        <w:spacing w:after="120" w:before="220"/>
      </w:pPr>
      <w:r>
        <w:rPr>
          <w:b/>
          <w:bCs/>
          <w:color w:val="1F3864"/>
        </w:rPr>
        <w:t xml:space="preserve">1.1.2 Business and Market Analysis</w:t>
      </w:r>
    </w:p>
    <w:p>
      <w:pPr>
        <w:spacing w:after="160" w:line="276"/>
        <w:jc w:val="both"/>
      </w:pPr>
      <w:r>
        <w:t xml:space="preserve">The Owner has identified a comparable peer business that operates a real-time inventory dashboard which automatically alerts staff when stock runs low, removing the need for manual shelf checks entirely. The current business has no equivalent capability: stock visibility depends on someone physically walking to the shelf, and the online storefront has no automated way to reflect an in-store stockout. This gap — relative to the working example the Owner has observed elsewhere — is the concrete competitive benchmark this initiative aims to close.</w:t>
      </w:r>
    </w:p>
    <w:p>
      <w:pPr>
        <w:pStyle w:val="Heading3"/>
        <w:spacing w:after="120" w:before="220"/>
      </w:pPr>
      <w:r>
        <w:rPr>
          <w:b/>
          <w:bCs/>
          <w:color w:val="1F3864"/>
        </w:rPr>
        <w:t xml:space="preserve">1.1.3 Relevant Historical Data</w:t>
      </w:r>
    </w:p>
    <w:p>
      <w:pPr>
        <w:spacing w:after="160" w:line="276"/>
        <w:jc w:val="both"/>
      </w:pPr>
      <w:r>
        <w:t xml:space="preserve">The table below summarizes the current-state baseline referenced throughout this document.</w:t>
      </w:r>
    </w:p>
    <w:p>
      <w:pPr>
        <w:spacing w:after="120" w:before="120"/>
      </w:pPr>
      <w:r>
        <w:rPr>
          <w:b/>
          <w:bCs/>
          <w:i/>
          <w:iCs/>
          <w:sz w:val="20"/>
          <w:szCs w:val="20"/>
        </w:rPr>
        <w:t xml:space="preserve">Table 1.1  Current-State Baseline — Q2 2026</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900"/>
        <w:gridCol w:w="4900"/>
      </w:tblGrid>
      <w:tr>
        <w:trPr>
          <w:tblHeader/>
        </w:trPr>
        <w:tc>
          <w:tcPr>
            <w:tcW w:type="dxa" w:w="4900"/>
            <w:shd w:fill="D9E2F3" w:color="auto" w:val="clear"/>
            <w:tcMar>
              <w:top w:type="dxa" w:w="100"/>
              <w:left w:type="dxa" w:w="120"/>
              <w:bottom w:type="dxa" w:w="100"/>
              <w:right w:type="dxa" w:w="120"/>
            </w:tcMar>
          </w:tcPr>
          <w:p>
            <w:pPr>
              <w:jc w:val="left"/>
            </w:pPr>
            <w:r>
              <w:rPr>
                <w:b/>
                <w:bCs/>
                <w:sz w:val="20"/>
                <w:szCs w:val="20"/>
              </w:rPr>
              <w:t xml:space="preserve">Metric (Q2 2026 baseline)</w:t>
            </w:r>
          </w:p>
        </w:tc>
        <w:tc>
          <w:tcPr>
            <w:tcW w:type="dxa" w:w="4900"/>
            <w:shd w:fill="D9E2F3" w:color="auto" w:val="clear"/>
            <w:tcMar>
              <w:top w:type="dxa" w:w="100"/>
              <w:left w:type="dxa" w:w="120"/>
              <w:bottom w:type="dxa" w:w="100"/>
              <w:right w:type="dxa" w:w="120"/>
            </w:tcMar>
          </w:tcPr>
          <w:p>
            <w:pPr>
              <w:jc w:val="center"/>
            </w:pPr>
            <w:r>
              <w:rPr>
                <w:b/>
                <w:bCs/>
                <w:sz w:val="20"/>
                <w:szCs w:val="20"/>
              </w:rPr>
              <w:t xml:space="preserve">Value</w:t>
            </w:r>
          </w:p>
        </w:tc>
      </w:tr>
      <w:tr>
        <w:tc>
          <w:tcPr>
            <w:tcW w:type="dxa" w:w="4900"/>
            <w:tcMar>
              <w:top w:type="dxa" w:w="100"/>
              <w:left w:type="dxa" w:w="120"/>
              <w:bottom w:type="dxa" w:w="100"/>
              <w:right w:type="dxa" w:w="120"/>
            </w:tcMar>
          </w:tcPr>
          <w:p>
            <w:pPr>
              <w:jc w:val="left"/>
            </w:pPr>
            <w:r>
              <w:rPr>
                <w:b w:val="false"/>
                <w:bCs w:val="false"/>
                <w:sz w:val="20"/>
                <w:szCs w:val="20"/>
              </w:rPr>
              <w:t xml:space="preserve">Active SKUs (in-store + online)</w:t>
            </w:r>
          </w:p>
        </w:tc>
        <w:tc>
          <w:tcPr>
            <w:tcW w:type="dxa" w:w="4900"/>
            <w:tcMar>
              <w:top w:type="dxa" w:w="100"/>
              <w:left w:type="dxa" w:w="120"/>
              <w:bottom w:type="dxa" w:w="100"/>
              <w:right w:type="dxa" w:w="120"/>
            </w:tcMar>
          </w:tcPr>
          <w:p>
            <w:pPr>
              <w:jc w:val="center"/>
            </w:pPr>
            <w:r>
              <w:rPr>
                <w:b w:val="false"/>
                <w:bCs w:val="false"/>
                <w:sz w:val="20"/>
                <w:szCs w:val="20"/>
              </w:rPr>
              <w:t xml:space="preserve">1,240</w:t>
            </w:r>
          </w:p>
        </w:tc>
      </w:tr>
      <w:tr>
        <w:tc>
          <w:tcPr>
            <w:tcW w:type="dxa" w:w="4900"/>
            <w:tcMar>
              <w:top w:type="dxa" w:w="100"/>
              <w:left w:type="dxa" w:w="120"/>
              <w:bottom w:type="dxa" w:w="100"/>
              <w:right w:type="dxa" w:w="120"/>
            </w:tcMar>
          </w:tcPr>
          <w:p>
            <w:pPr>
              <w:jc w:val="left"/>
            </w:pPr>
            <w:r>
              <w:rPr>
                <w:b w:val="false"/>
                <w:bCs w:val="false"/>
                <w:sz w:val="20"/>
                <w:szCs w:val="20"/>
              </w:rPr>
              <w:t xml:space="preserve">Inventory record accuracy (Q2 2026 sample audit, 50 SKUs)</w:t>
            </w:r>
          </w:p>
        </w:tc>
        <w:tc>
          <w:tcPr>
            <w:tcW w:type="dxa" w:w="4900"/>
            <w:tcMar>
              <w:top w:type="dxa" w:w="100"/>
              <w:left w:type="dxa" w:w="120"/>
              <w:bottom w:type="dxa" w:w="100"/>
              <w:right w:type="dxa" w:w="120"/>
            </w:tcMar>
          </w:tcPr>
          <w:p>
            <w:pPr>
              <w:jc w:val="center"/>
            </w:pPr>
            <w:r>
              <w:rPr>
                <w:b w:val="false"/>
                <w:bCs w:val="false"/>
                <w:sz w:val="20"/>
                <w:szCs w:val="20"/>
              </w:rPr>
              <w:t xml:space="preserve">78%</w:t>
            </w:r>
          </w:p>
        </w:tc>
      </w:tr>
      <w:tr>
        <w:tc>
          <w:tcPr>
            <w:tcW w:type="dxa" w:w="4900"/>
            <w:tcMar>
              <w:top w:type="dxa" w:w="100"/>
              <w:left w:type="dxa" w:w="120"/>
              <w:bottom w:type="dxa" w:w="100"/>
              <w:right w:type="dxa" w:w="120"/>
            </w:tcMar>
          </w:tcPr>
          <w:p>
            <w:pPr>
              <w:jc w:val="left"/>
            </w:pPr>
            <w:r>
              <w:rPr>
                <w:b w:val="false"/>
                <w:bCs w:val="false"/>
                <w:sz w:val="20"/>
                <w:szCs w:val="20"/>
              </w:rPr>
              <w:t xml:space="preserve">Overselling incidents (Q2 2026, Apr–Jun)</w:t>
            </w:r>
          </w:p>
        </w:tc>
        <w:tc>
          <w:tcPr>
            <w:tcW w:type="dxa" w:w="4900"/>
            <w:tcMar>
              <w:top w:type="dxa" w:w="100"/>
              <w:left w:type="dxa" w:w="120"/>
              <w:bottom w:type="dxa" w:w="100"/>
              <w:right w:type="dxa" w:w="120"/>
            </w:tcMar>
          </w:tcPr>
          <w:p>
            <w:pPr>
              <w:jc w:val="center"/>
            </w:pPr>
            <w:r>
              <w:rPr>
                <w:b w:val="false"/>
                <w:bCs w:val="false"/>
                <w:sz w:val="20"/>
                <w:szCs w:val="20"/>
              </w:rPr>
              <w:t xml:space="preserve">4 (16/year run-rate)</w:t>
            </w:r>
          </w:p>
        </w:tc>
      </w:tr>
      <w:tr>
        <w:tc>
          <w:tcPr>
            <w:tcW w:type="dxa" w:w="4900"/>
            <w:tcMar>
              <w:top w:type="dxa" w:w="100"/>
              <w:left w:type="dxa" w:w="120"/>
              <w:bottom w:type="dxa" w:w="100"/>
              <w:right w:type="dxa" w:w="120"/>
            </w:tcMar>
          </w:tcPr>
          <w:p>
            <w:pPr>
              <w:jc w:val="left"/>
            </w:pPr>
            <w:r>
              <w:rPr>
                <w:b w:val="false"/>
                <w:bCs w:val="false"/>
                <w:sz w:val="20"/>
                <w:szCs w:val="20"/>
              </w:rPr>
              <w:t xml:space="preserve">Average lost/refunded order value per incident</w:t>
            </w:r>
          </w:p>
        </w:tc>
        <w:tc>
          <w:tcPr>
            <w:tcW w:type="dxa" w:w="4900"/>
            <w:tcMar>
              <w:top w:type="dxa" w:w="100"/>
              <w:left w:type="dxa" w:w="120"/>
              <w:bottom w:type="dxa" w:w="100"/>
              <w:right w:type="dxa" w:w="120"/>
            </w:tcMar>
          </w:tcPr>
          <w:p>
            <w:pPr>
              <w:jc w:val="center"/>
            </w:pPr>
            <w:r>
              <w:rPr>
                <w:b w:val="false"/>
                <w:bCs w:val="false"/>
                <w:sz w:val="20"/>
                <w:szCs w:val="20"/>
              </w:rPr>
              <w:t xml:space="preserve">$145</w:t>
            </w:r>
          </w:p>
        </w:tc>
      </w:tr>
      <w:tr>
        <w:tc>
          <w:tcPr>
            <w:tcW w:type="dxa" w:w="4900"/>
            <w:tcMar>
              <w:top w:type="dxa" w:w="100"/>
              <w:left w:type="dxa" w:w="120"/>
              <w:bottom w:type="dxa" w:w="100"/>
              <w:right w:type="dxa" w:w="120"/>
            </w:tcMar>
          </w:tcPr>
          <w:p>
            <w:pPr>
              <w:jc w:val="left"/>
            </w:pPr>
            <w:r>
              <w:rPr>
                <w:b w:val="false"/>
                <w:bCs w:val="false"/>
                <w:sz w:val="20"/>
                <w:szCs w:val="20"/>
              </w:rPr>
              <w:t xml:space="preserve">Manual stock-check labor (store associate time)</w:t>
            </w:r>
          </w:p>
        </w:tc>
        <w:tc>
          <w:tcPr>
            <w:tcW w:type="dxa" w:w="4900"/>
            <w:tcMar>
              <w:top w:type="dxa" w:w="100"/>
              <w:left w:type="dxa" w:w="120"/>
              <w:bottom w:type="dxa" w:w="100"/>
              <w:right w:type="dxa" w:w="120"/>
            </w:tcMar>
          </w:tcPr>
          <w:p>
            <w:pPr>
              <w:jc w:val="center"/>
            </w:pPr>
            <w:r>
              <w:rPr>
                <w:b w:val="false"/>
                <w:bCs w:val="false"/>
                <w:sz w:val="20"/>
                <w:szCs w:val="20"/>
              </w:rPr>
              <w:t xml:space="preserve">~6 hours/week</w:t>
            </w:r>
          </w:p>
        </w:tc>
      </w:tr>
      <w:tr>
        <w:tc>
          <w:tcPr>
            <w:tcW w:type="dxa" w:w="4900"/>
            <w:tcMar>
              <w:top w:type="dxa" w:w="100"/>
              <w:left w:type="dxa" w:w="120"/>
              <w:bottom w:type="dxa" w:w="100"/>
              <w:right w:type="dxa" w:w="120"/>
            </w:tcMar>
          </w:tcPr>
          <w:p>
            <w:pPr>
              <w:jc w:val="left"/>
            </w:pPr>
            <w:r>
              <w:rPr>
                <w:b w:val="false"/>
                <w:bCs w:val="false"/>
                <w:sz w:val="20"/>
                <w:szCs w:val="20"/>
              </w:rPr>
              <w:t xml:space="preserve">Fully loaded labor rate</w:t>
            </w:r>
          </w:p>
        </w:tc>
        <w:tc>
          <w:tcPr>
            <w:tcW w:type="dxa" w:w="4900"/>
            <w:tcMar>
              <w:top w:type="dxa" w:w="100"/>
              <w:left w:type="dxa" w:w="120"/>
              <w:bottom w:type="dxa" w:w="100"/>
              <w:right w:type="dxa" w:w="120"/>
            </w:tcMar>
          </w:tcPr>
          <w:p>
            <w:pPr>
              <w:jc w:val="center"/>
            </w:pPr>
            <w:r>
              <w:rPr>
                <w:b w:val="false"/>
                <w:bCs w:val="false"/>
                <w:sz w:val="20"/>
                <w:szCs w:val="20"/>
              </w:rPr>
              <w:t xml:space="preserve">$22/hour</w:t>
            </w:r>
          </w:p>
        </w:tc>
      </w:tr>
      <w:tr>
        <w:tc>
          <w:tcPr>
            <w:tcW w:type="dxa" w:w="4900"/>
            <w:tcMar>
              <w:top w:type="dxa" w:w="100"/>
              <w:left w:type="dxa" w:w="120"/>
              <w:bottom w:type="dxa" w:w="100"/>
              <w:right w:type="dxa" w:w="120"/>
            </w:tcMar>
          </w:tcPr>
          <w:p>
            <w:pPr>
              <w:jc w:val="left"/>
            </w:pPr>
            <w:r>
              <w:rPr>
                <w:b w:val="false"/>
                <w:bCs w:val="false"/>
                <w:sz w:val="20"/>
                <w:szCs w:val="20"/>
              </w:rPr>
              <w:t xml:space="preserve">SKUs with no sales in trailing 90 days (slow-moving)</w:t>
            </w:r>
          </w:p>
        </w:tc>
        <w:tc>
          <w:tcPr>
            <w:tcW w:type="dxa" w:w="4900"/>
            <w:tcMar>
              <w:top w:type="dxa" w:w="100"/>
              <w:left w:type="dxa" w:w="120"/>
              <w:bottom w:type="dxa" w:w="100"/>
              <w:right w:type="dxa" w:w="120"/>
            </w:tcMar>
          </w:tcPr>
          <w:p>
            <w:pPr>
              <w:jc w:val="center"/>
            </w:pPr>
            <w:r>
              <w:rPr>
                <w:b w:val="false"/>
                <w:bCs w:val="false"/>
                <w:sz w:val="20"/>
                <w:szCs w:val="20"/>
              </w:rPr>
              <w:t xml:space="preserve">210</w:t>
            </w:r>
          </w:p>
        </w:tc>
      </w:tr>
      <w:tr>
        <w:tc>
          <w:tcPr>
            <w:tcW w:type="dxa" w:w="4900"/>
            <w:tcMar>
              <w:top w:type="dxa" w:w="100"/>
              <w:left w:type="dxa" w:w="120"/>
              <w:bottom w:type="dxa" w:w="100"/>
              <w:right w:type="dxa" w:w="120"/>
            </w:tcMar>
          </w:tcPr>
          <w:p>
            <w:pPr>
              <w:jc w:val="left"/>
            </w:pPr>
            <w:r>
              <w:rPr>
                <w:b w:val="false"/>
                <w:bCs w:val="false"/>
                <w:sz w:val="20"/>
                <w:szCs w:val="20"/>
              </w:rPr>
              <w:t xml:space="preserve">Estimated inventory value tied up in slow-moving SKUs</w:t>
            </w:r>
          </w:p>
        </w:tc>
        <w:tc>
          <w:tcPr>
            <w:tcW w:type="dxa" w:w="4900"/>
            <w:tcMar>
              <w:top w:type="dxa" w:w="100"/>
              <w:left w:type="dxa" w:w="120"/>
              <w:bottom w:type="dxa" w:w="100"/>
              <w:right w:type="dxa" w:w="120"/>
            </w:tcMar>
          </w:tcPr>
          <w:p>
            <w:pPr>
              <w:jc w:val="center"/>
            </w:pPr>
            <w:r>
              <w:rPr>
                <w:b w:val="false"/>
                <w:bCs w:val="false"/>
                <w:sz w:val="20"/>
                <w:szCs w:val="20"/>
              </w:rPr>
              <w:t xml:space="preserve">$38,000</w:t>
            </w:r>
          </w:p>
        </w:tc>
      </w:tr>
    </w:tbl>
    <w:p>
      <w:pPr>
        <w:spacing w:after="160"/>
      </w:pPr>
    </w:p>
    <w:p>
      <w:pPr>
        <w:spacing w:after="160" w:line="276"/>
        <w:jc w:val="both"/>
      </w:pPr>
      <w:r>
        <w:t xml:space="preserve">A sample audit of 50 of the 1,240 active SKUs found that recorded inventory matched physical stock only 78% of the time, consistent with the four overselling incidents recorded in the same quarter. Separately, 210 SKUs recorded no sales in the trailing 90 days, representing an estimated $38,000 in inventory value — the basis for the profitability-reporting objective in Section 1.2.</w:t>
      </w:r>
    </w:p>
    <w:p>
      <w:pPr>
        <w:pStyle w:val="Heading2"/>
        <w:spacing w:after="140" w:before="280"/>
      </w:pPr>
      <w:r>
        <w:rPr>
          <w:b/>
          <w:bCs/>
          <w:color w:val="1F3864"/>
        </w:rPr>
        <w:t xml:space="preserve">1.2 Business Objective</w:t>
      </w:r>
    </w:p>
    <w:p>
      <w:pPr>
        <w:spacing w:after="160" w:line="276"/>
        <w:jc w:val="both"/>
      </w:pPr>
      <w:r>
        <w:t xml:space="preserve">Eliminate overselling of out-of-stock items on the online storefront by giving the business real-time visibility into inventory across both the physical store and the online channel, replacing the current manual, walk-the-shelf verification process. As a secondary, lower-priority objective, give Finance and the Owner direct, self-serve visibility into which products are actually profitable versus which are simply occupying shelf space — a question Finance is currently unable to answer on request. Section 2.2 estimates a combined annual benefit of approximately $12,400 across both objectives.</w:t>
      </w:r>
    </w:p>
    <w:p>
      <w:pPr>
        <w:pStyle w:val="Heading2"/>
        <w:spacing w:after="140" w:before="280"/>
      </w:pPr>
      <w:r>
        <w:rPr>
          <w:b/>
          <w:bCs/>
          <w:color w:val="1F3864"/>
        </w:rPr>
        <w:t xml:space="preserve">1.3 Purpose of this Business Requirement</w:t>
      </w:r>
    </w:p>
    <w:p>
      <w:r>
        <w:rPr>
          <w:b w:val="0"/>
          <w:i w:val="0"/>
          <w:sz w:val="22"/>
        </w:rPr>
        <w:t xml:space="preserve">☒ </w:t>
      </w:r>
      <w:r>
        <w:rPr>
          <w:b w:val="0"/>
          <w:i w:val="0"/>
          <w:sz w:val="20"/>
        </w:rPr>
        <w:t>Business requirements to enhance existing Services/Application/Process</w:t>
      </w:r>
    </w:p>
    <w:p>
      <w:r>
        <w:rPr>
          <w:b w:val="0"/>
          <w:i w:val="0"/>
          <w:sz w:val="22"/>
        </w:rPr>
        <w:t xml:space="preserve">☐ </w:t>
      </w:r>
      <w:r>
        <w:rPr>
          <w:b w:val="0"/>
          <w:i w:val="0"/>
          <w:sz w:val="20"/>
        </w:rPr>
        <w:t>Business requirements to terminate existing Services/Application/Process</w:t>
      </w:r>
    </w:p>
    <w:p>
      <w:r>
        <w:rPr>
          <w:b w:val="0"/>
          <w:i w:val="0"/>
          <w:sz w:val="22"/>
        </w:rPr>
        <w:t xml:space="preserve">☐ </w:t>
      </w:r>
      <w:r>
        <w:rPr>
          <w:b w:val="0"/>
          <w:i w:val="0"/>
          <w:sz w:val="20"/>
        </w:rPr>
        <w:t>Business requirements for new Services/Application/Process</w:t>
      </w:r>
    </w:p>
    <w:p>
      <w:r>
        <w:rPr>
          <w:b w:val="0"/>
          <w:i w:val="0"/>
          <w:sz w:val="22"/>
        </w:rPr>
        <w:t xml:space="preserve">☐ </w:t>
      </w:r>
      <w:r>
        <w:rPr>
          <w:b w:val="0"/>
          <w:i w:val="0"/>
          <w:sz w:val="20"/>
        </w:rPr>
        <w:t>Business requirements to replace existing Services/Application/Process</w:t>
      </w:r>
    </w:p>
    <w:p>
      <w:r>
        <w:rPr>
          <w:b w:val="0"/>
          <w:i w:val="0"/>
          <w:sz w:val="22"/>
        </w:rPr>
        <w:t xml:space="preserve">☐ </w:t>
      </w:r>
      <w:r>
        <w:rPr>
          <w:b w:val="0"/>
          <w:i w:val="0"/>
          <w:sz w:val="20"/>
        </w:rPr>
        <w:t>Others, please specify</w:t>
      </w:r>
    </w:p>
    <w:p>
      <w:r>
        <w:rPr>
          <w:b/>
          <w:i w:val="0"/>
          <w:sz w:val="20"/>
        </w:rPr>
        <w:t>Description</w:t>
      </w:r>
    </w:p>
    <w:tbl>
      <w:tblPr>
        <w:tblW w:type="auto" w:w="0"/>
        <w:tblLayout w:type="fixed"/>
        <w:tblLook w:firstColumn="1" w:firstRow="1" w:lastColumn="0" w:lastRow="0" w:noHBand="0" w:noVBand="1" w:val="04A0"/>
      </w:tblPr>
      <w:tblGrid>
        <w:gridCol w:w="9026"/>
      </w:tblGrid>
      <w:tr>
        <w:tc>
          <w:tcPr>
            <w:tcW w:type="dxa" w:w="8928"/>
            <w:tcBorders>
              <w:top w:val="single" w:sz="4" w:space="0" w:color="000000"/>
              <w:left w:val="single" w:sz="4" w:space="0" w:color="000000"/>
              <w:bottom w:val="single" w:sz="4" w:space="0" w:color="000000"/>
              <w:right w:val="single" w:sz="4" w:space="0" w:color="000000"/>
            </w:tcBorders>
          </w:tcPr>
          <w:p>
            <w:r>
              <w:rPr>
                <w:b w:val="0"/>
                <w:i w:val="0"/>
                <w:sz w:val="20"/>
              </w:rPr>
              <w:t>This BRD formally defines the business, functional, and process requirements for (1) real-time inventory synchronization and low-stock alerting, prioritized as the primary and urgent objective, and (2) product profitability reporting, scoped as a secondary, lower-priority Phase 2 objective per the Owner's own framing. It is intended to guide Store Operations, IT/Systems, and Finance in scoping and delivering both capabilities.</w:t>
            </w:r>
          </w:p>
        </w:tc>
      </w:tr>
    </w:tbl>
    <w:p>
      <w:pPr>
        <w:pStyle w:val="Heading2"/>
        <w:spacing w:after="140" w:before="280"/>
      </w:pPr>
      <w:r>
        <w:rPr>
          <w:b/>
          <w:bCs/>
          <w:color w:val="1F3864"/>
        </w:rPr>
        <w:t xml:space="preserve">1.4 Program Type</w:t>
      </w:r>
    </w:p>
    <w:tbl>
      <w:tblPr>
        <w:tblW w:type="auto" w:w="0"/>
        <w:tblLayout w:type="fixed"/>
        <w:tblLook w:firstColumn="1" w:firstRow="1" w:lastColumn="0" w:lastRow="0" w:noHBand="0" w:noVBand="1" w:val="04A0"/>
      </w:tblPr>
      <w:tblGrid>
        <w:gridCol w:w="4464"/>
        <w:gridCol w:w="4464"/>
      </w:tblGrid>
      <w:tr>
        <w:tc>
          <w:tcPr>
            <w:tcW w:type="dxa" w:w="8928"/>
            <w:gridSpan w:val="2"/>
            <w:tcBorders>
              <w:top w:val="single" w:sz="4" w:space="0" w:color="000000"/>
              <w:left w:val="single" w:sz="4" w:space="0" w:color="000000"/>
              <w:bottom w:val="single" w:sz="4" w:space="0" w:color="000000"/>
              <w:right w:val="single" w:sz="4" w:space="0" w:color="000000"/>
            </w:tcBorders>
            <w:shd w:val="clear" w:color="auto" w:fill="BDD3EE"/>
          </w:tcPr>
          <w:p>
            <w:r>
              <w:rPr>
                <w:b/>
                <w:i w:val="0"/>
                <w:sz w:val="22"/>
              </w:rPr>
              <w:t>If it's an IT-led program:</w:t>
            </w:r>
          </w:p>
        </w:tc>
      </w:tr>
      <w:tr>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Automation</w:t>
            </w:r>
          </w:p>
        </w:tc>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End of support</w:t>
            </w:r>
          </w:p>
        </w:tc>
      </w:tr>
      <w:tr>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Audit compliance</w:t>
            </w:r>
          </w:p>
        </w:tc>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Infrastructure</w:t>
            </w:r>
          </w:p>
        </w:tc>
      </w:tr>
      <w:tr>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Business engagement model</w:t>
            </w:r>
          </w:p>
        </w:tc>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License renewal</w:t>
            </w:r>
          </w:p>
        </w:tc>
      </w:tr>
      <w:tr>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Capacity expansion</w:t>
            </w:r>
          </w:p>
        </w:tc>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Integration / modernization</w:t>
            </w:r>
          </w:p>
        </w:tc>
      </w:tr>
      <w:tr>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Cloud</w:t>
            </w:r>
          </w:p>
        </w:tc>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Security compliance</w:t>
            </w:r>
          </w:p>
        </w:tc>
      </w:tr>
      <w:tr>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Digital ways of working</w:t>
            </w:r>
          </w:p>
        </w:tc>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Security enhancement</w:t>
            </w:r>
          </w:p>
        </w:tc>
      </w:tr>
      <w:tr>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End of life replacement</w:t>
            </w:r>
          </w:p>
        </w:tc>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Others, please specify:</w:t>
            </w:r>
          </w:p>
        </w:tc>
      </w:tr>
    </w:tbl>
    <w:p>
      <w:pPr>
        <w:pStyle w:val="Heading2"/>
        <w:spacing w:after="140" w:before="280"/>
      </w:pPr>
      <w:r>
        <w:rPr>
          <w:b/>
          <w:bCs/>
          <w:color w:val="1F3864"/>
        </w:rPr>
        <w:t xml:space="preserve">1.5 Business Risk</w:t>
      </w:r>
    </w:p>
    <w:p>
      <w:pPr>
        <w:spacing w:after="160" w:line="276"/>
        <w:jc w:val="both"/>
      </w:pPr>
      <w:r>
        <w:t xml:space="preserve">Risks of proceeding with this initiative:</w:t>
      </w:r>
    </w:p>
    <w:p>
      <w:pPr>
        <w:pStyle w:val="ListParagraph"/>
        <w:numPr>
          <w:ilvl w:val="0"/>
          <w:numId w:val="2"/>
        </w:numPr>
        <w:spacing w:after="100" w:line="276"/>
      </w:pPr>
      <w:r>
        <w:t xml:space="preserve">Integration risk during cutover: connecting the POS system and online storefront for real-time sync could itself introduce temporary sync errors if not thoroughly tested, risking further stock discrepancies during the transition; this is mitigated by the phased pilot described in Section 4.4.</w:t>
      </w:r>
    </w:p>
    <w:p>
      <w:pPr>
        <w:pStyle w:val="ListParagraph"/>
        <w:numPr>
          <w:ilvl w:val="0"/>
          <w:numId w:val="2"/>
        </w:numPr>
        <w:spacing w:after="100" w:line="276"/>
      </w:pPr>
      <w:r>
        <w:t xml:space="preserve">Alert fatigue: if the low-stock threshold (default 5 units, BR-04) is set too low for high-velocity SKUs, staff may receive frequent alerts and begin ignoring them, undermining the purpose of BR-04; per-SKU thresholds should be reviewed after the Phase 1a pilot.</w:t>
      </w:r>
    </w:p>
    <w:p>
      <w:pPr>
        <w:pStyle w:val="ListParagraph"/>
        <w:numPr>
          <w:ilvl w:val="0"/>
          <w:numId w:val="2"/>
        </w:numPr>
        <w:spacing w:after="100" w:line="276"/>
      </w:pPr>
      <w:r>
        <w:t xml:space="preserve">Profitability data quality risk: the profitability report (BR-06) is only as accurate as the cost-of-goods-sold (COGS) data Finance provides; incomplete or outdated COGS data could lead to a product being wrongly flagged as unprofitable, resulting in a poor discontinuation decision.</w:t>
      </w:r>
    </w:p>
    <w:p>
      <w:pPr>
        <w:spacing w:after="160" w:line="276"/>
        <w:jc w:val="both"/>
      </w:pPr>
      <w:r>
        <w:t xml:space="preserve">Risks of not proceeding:</w:t>
      </w:r>
    </w:p>
    <w:p>
      <w:pPr>
        <w:pStyle w:val="ListParagraph"/>
        <w:numPr>
          <w:ilvl w:val="0"/>
          <w:numId w:val="2"/>
        </w:numPr>
        <w:spacing w:after="100" w:line="276"/>
      </w:pPr>
      <w:r>
        <w:t xml:space="preserve">Continued overselling at the current run-rate of approximately 16 incidents per year, each risking a lost or refunded order (averaging $145) and requiring direct, personal customer-service intervention from the Owner.</w:t>
      </w:r>
    </w:p>
    <w:p>
      <w:pPr>
        <w:pStyle w:val="ListParagraph"/>
        <w:numPr>
          <w:ilvl w:val="0"/>
          <w:numId w:val="2"/>
        </w:numPr>
        <w:spacing w:after="100" w:line="276"/>
      </w:pPr>
      <w:r>
        <w:t xml:space="preserve">Continued manual labor cost of approximately $6,864 per year in staff time spent on shelf checks that could otherwise be automated.</w:t>
      </w:r>
    </w:p>
    <w:p>
      <w:pPr>
        <w:pStyle w:val="ListParagraph"/>
        <w:numPr>
          <w:ilvl w:val="0"/>
          <w:numId w:val="2"/>
        </w:numPr>
        <w:spacing w:after="100" w:line="276"/>
      </w:pPr>
      <w:r>
        <w:t xml:space="preserve">Continued inability to identify the estimated $38,000 in slow-moving inventory (Table 1.1), meaning underperforming SKUs continue to occupy shelf space and working capital indefinitely.</w:t>
      </w:r>
    </w:p>
    <w:p>
      <w:r>
        <w:br w:type="page"/>
      </w:r>
    </w:p>
    <w:p>
      <w:pPr>
        <w:pStyle w:val="Heading1"/>
        <w:spacing w:after="200" w:before="360"/>
      </w:pPr>
      <w:r>
        <w:rPr>
          <w:b/>
          <w:bCs/>
          <w:color w:val="1F3864"/>
        </w:rPr>
        <w:t xml:space="preserve">CHAPTER II</w:t>
      </w:r>
    </w:p>
    <w:p>
      <w:pPr>
        <w:pStyle w:val="Heading1"/>
        <w:spacing w:after="200" w:before="360"/>
      </w:pPr>
      <w:r>
        <w:rPr>
          <w:b/>
          <w:bCs/>
          <w:color w:val="1F3864"/>
        </w:rPr>
        <w:t xml:space="preserve">BENEFIT ANALYSIS</w:t>
      </w:r>
    </w:p>
    <w:p>
      <w:pPr>
        <w:pStyle w:val="Heading2"/>
        <w:spacing w:after="140" w:before="280"/>
      </w:pPr>
      <w:r>
        <w:rPr>
          <w:b/>
          <w:bCs/>
          <w:color w:val="1F3864"/>
        </w:rPr>
        <w:t xml:space="preserve">2.1 Summary</w:t>
      </w:r>
    </w:p>
    <w:p>
      <w:pPr>
        <w:spacing w:after="160" w:line="276"/>
        <w:jc w:val="both"/>
      </w:pPr>
      <w:r>
        <w:t xml:space="preserve">Real-time inventory synchronization and automated low-stock alerting (Phase 1) are projected to reduce manual stock-check labor from approximately 6 hours to 1 hour per week and cut overselling incidents from a run-rate of 16 per year to no more than 2 per year — together worth approximately $7,808 in annual benefit. Product profitability reporting (Phase 2, lower priority) is projected to add a further $4,560 per year by enabling action on the $38,000 in slow-moving inventory identified in Table 1.1. Combined, both phases are projected to deliver approximately $12,400 in annual benefit.</w:t>
      </w:r>
    </w:p>
    <w:p>
      <w:pPr>
        <w:pStyle w:val="Heading2"/>
        <w:spacing w:after="140" w:before="280"/>
      </w:pPr>
      <w:r>
        <w:rPr>
          <w:b/>
          <w:bCs/>
          <w:color w:val="1F3864"/>
        </w:rPr>
        <w:t xml:space="preserve">2.2 Assumption and Calculation</w:t>
      </w:r>
    </w:p>
    <w:p>
      <w:pPr>
        <w:spacing w:after="160" w:line="276"/>
        <w:jc w:val="both"/>
      </w:pPr>
      <w:r>
        <w:t xml:space="preserve">The table below shows the calculation.</w:t>
      </w:r>
    </w:p>
    <w:p>
      <w:pPr>
        <w:spacing w:after="120" w:before="120"/>
      </w:pPr>
      <w:r>
        <w:rPr>
          <w:b/>
          <w:bCs/>
          <w:i/>
          <w:iCs/>
          <w:sz w:val="20"/>
          <w:szCs w:val="20"/>
        </w:rPr>
        <w:t xml:space="preserve">Table 2.1  Benefit Calculation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900"/>
        <w:gridCol w:w="4900"/>
      </w:tblGrid>
      <w:tr>
        <w:trPr>
          <w:tblHeader/>
        </w:trPr>
        <w:tc>
          <w:tcPr>
            <w:tcW w:type="dxa" w:w="4900"/>
            <w:shd w:fill="D9E2F3" w:color="auto" w:val="clear"/>
            <w:tcMar>
              <w:top w:type="dxa" w:w="100"/>
              <w:left w:type="dxa" w:w="120"/>
              <w:bottom w:type="dxa" w:w="100"/>
              <w:right w:type="dxa" w:w="120"/>
            </w:tcMar>
          </w:tcPr>
          <w:p>
            <w:pPr>
              <w:jc w:val="left"/>
            </w:pPr>
            <w:r>
              <w:rPr>
                <w:b/>
                <w:bCs/>
                <w:sz w:val="20"/>
                <w:szCs w:val="20"/>
              </w:rPr>
              <w:t xml:space="preserve">Metric</w:t>
            </w:r>
          </w:p>
        </w:tc>
        <w:tc>
          <w:tcPr>
            <w:tcW w:type="dxa" w:w="4900"/>
            <w:shd w:fill="D9E2F3" w:color="auto" w:val="clear"/>
            <w:tcMar>
              <w:top w:type="dxa" w:w="100"/>
              <w:left w:type="dxa" w:w="120"/>
              <w:bottom w:type="dxa" w:w="100"/>
              <w:right w:type="dxa" w:w="120"/>
            </w:tcMar>
          </w:tcPr>
          <w:p>
            <w:pPr>
              <w:jc w:val="center"/>
            </w:pPr>
            <w:r>
              <w:rPr>
                <w:b/>
                <w:bCs/>
                <w:sz w:val="20"/>
                <w:szCs w:val="20"/>
              </w:rPr>
              <w:t xml:space="preserve">Value</w:t>
            </w:r>
          </w:p>
        </w:tc>
      </w:tr>
      <w:tr>
        <w:tc>
          <w:tcPr>
            <w:tcW w:type="dxa" w:w="4900"/>
            <w:tcMar>
              <w:top w:type="dxa" w:w="100"/>
              <w:left w:type="dxa" w:w="120"/>
              <w:bottom w:type="dxa" w:w="100"/>
              <w:right w:type="dxa" w:w="120"/>
            </w:tcMar>
          </w:tcPr>
          <w:p>
            <w:pPr>
              <w:jc w:val="left"/>
            </w:pPr>
            <w:r>
              <w:rPr>
                <w:b w:val="false"/>
                <w:bCs w:val="false"/>
                <w:sz w:val="20"/>
                <w:szCs w:val="20"/>
              </w:rPr>
              <w:t xml:space="preserve">Baseline manual stock-check labor</w:t>
            </w:r>
          </w:p>
        </w:tc>
        <w:tc>
          <w:tcPr>
            <w:tcW w:type="dxa" w:w="4900"/>
            <w:tcMar>
              <w:top w:type="dxa" w:w="100"/>
              <w:left w:type="dxa" w:w="120"/>
              <w:bottom w:type="dxa" w:w="100"/>
              <w:right w:type="dxa" w:w="120"/>
            </w:tcMar>
          </w:tcPr>
          <w:p>
            <w:pPr>
              <w:jc w:val="center"/>
            </w:pPr>
            <w:r>
              <w:rPr>
                <w:b w:val="false"/>
                <w:bCs w:val="false"/>
                <w:sz w:val="20"/>
                <w:szCs w:val="20"/>
              </w:rPr>
              <w:t xml:space="preserve">6 hrs/week ($6,864/year)</w:t>
            </w:r>
          </w:p>
        </w:tc>
      </w:tr>
      <w:tr>
        <w:tc>
          <w:tcPr>
            <w:tcW w:type="dxa" w:w="4900"/>
            <w:tcMar>
              <w:top w:type="dxa" w:w="100"/>
              <w:left w:type="dxa" w:w="120"/>
              <w:bottom w:type="dxa" w:w="100"/>
              <w:right w:type="dxa" w:w="120"/>
            </w:tcMar>
          </w:tcPr>
          <w:p>
            <w:pPr>
              <w:jc w:val="left"/>
            </w:pPr>
            <w:r>
              <w:rPr>
                <w:b w:val="false"/>
                <w:bCs w:val="false"/>
                <w:sz w:val="20"/>
                <w:szCs w:val="20"/>
              </w:rPr>
              <w:t xml:space="preserve">Target manual stock-check labor post-launch</w:t>
            </w:r>
          </w:p>
        </w:tc>
        <w:tc>
          <w:tcPr>
            <w:tcW w:type="dxa" w:w="4900"/>
            <w:tcMar>
              <w:top w:type="dxa" w:w="100"/>
              <w:left w:type="dxa" w:w="120"/>
              <w:bottom w:type="dxa" w:w="100"/>
              <w:right w:type="dxa" w:w="120"/>
            </w:tcMar>
          </w:tcPr>
          <w:p>
            <w:pPr>
              <w:jc w:val="center"/>
            </w:pPr>
            <w:r>
              <w:rPr>
                <w:b w:val="false"/>
                <w:bCs w:val="false"/>
                <w:sz w:val="20"/>
                <w:szCs w:val="20"/>
              </w:rPr>
              <w:t xml:space="preserve">1 hr/week ($1,144/year)</w:t>
            </w:r>
          </w:p>
        </w:tc>
      </w:tr>
      <w:tr>
        <w:tc>
          <w:tcPr>
            <w:tcW w:type="dxa" w:w="4900"/>
            <w:tcMar>
              <w:top w:type="dxa" w:w="100"/>
              <w:left w:type="dxa" w:w="120"/>
              <w:bottom w:type="dxa" w:w="100"/>
              <w:right w:type="dxa" w:w="120"/>
            </w:tcMar>
          </w:tcPr>
          <w:p>
            <w:pPr>
              <w:jc w:val="left"/>
            </w:pPr>
            <w:r>
              <w:rPr>
                <w:b w:val="false"/>
                <w:bCs w:val="false"/>
                <w:sz w:val="20"/>
                <w:szCs w:val="20"/>
              </w:rPr>
              <w:t xml:space="preserve">Annual labor savings (Phase 1)</w:t>
            </w:r>
          </w:p>
        </w:tc>
        <w:tc>
          <w:tcPr>
            <w:tcW w:type="dxa" w:w="4900"/>
            <w:tcMar>
              <w:top w:type="dxa" w:w="100"/>
              <w:left w:type="dxa" w:w="120"/>
              <w:bottom w:type="dxa" w:w="100"/>
              <w:right w:type="dxa" w:w="120"/>
            </w:tcMar>
          </w:tcPr>
          <w:p>
            <w:pPr>
              <w:jc w:val="center"/>
            </w:pPr>
            <w:r>
              <w:rPr>
                <w:b w:val="false"/>
                <w:bCs w:val="false"/>
                <w:sz w:val="20"/>
                <w:szCs w:val="20"/>
              </w:rPr>
              <w:t xml:space="preserve">$5,720</w:t>
            </w:r>
          </w:p>
        </w:tc>
      </w:tr>
      <w:tr>
        <w:tc>
          <w:tcPr>
            <w:tcW w:type="dxa" w:w="4900"/>
            <w:tcMar>
              <w:top w:type="dxa" w:w="100"/>
              <w:left w:type="dxa" w:w="120"/>
              <w:bottom w:type="dxa" w:w="100"/>
              <w:right w:type="dxa" w:w="120"/>
            </w:tcMar>
          </w:tcPr>
          <w:p>
            <w:pPr>
              <w:jc w:val="left"/>
            </w:pPr>
            <w:r>
              <w:rPr>
                <w:b w:val="false"/>
                <w:bCs w:val="false"/>
                <w:sz w:val="20"/>
                <w:szCs w:val="20"/>
              </w:rPr>
              <w:t xml:space="preserve">Baseline overselling incidents</w:t>
            </w:r>
          </w:p>
        </w:tc>
        <w:tc>
          <w:tcPr>
            <w:tcW w:type="dxa" w:w="4900"/>
            <w:tcMar>
              <w:top w:type="dxa" w:w="100"/>
              <w:left w:type="dxa" w:w="120"/>
              <w:bottom w:type="dxa" w:w="100"/>
              <w:right w:type="dxa" w:w="120"/>
            </w:tcMar>
          </w:tcPr>
          <w:p>
            <w:pPr>
              <w:jc w:val="center"/>
            </w:pPr>
            <w:r>
              <w:rPr>
                <w:b w:val="false"/>
                <w:bCs w:val="false"/>
                <w:sz w:val="20"/>
                <w:szCs w:val="20"/>
              </w:rPr>
              <w:t xml:space="preserve">16/year ($2,320/year in lost/refunded orders)</w:t>
            </w:r>
          </w:p>
        </w:tc>
      </w:tr>
      <w:tr>
        <w:tc>
          <w:tcPr>
            <w:tcW w:type="dxa" w:w="4900"/>
            <w:tcMar>
              <w:top w:type="dxa" w:w="100"/>
              <w:left w:type="dxa" w:w="120"/>
              <w:bottom w:type="dxa" w:w="100"/>
              <w:right w:type="dxa" w:w="120"/>
            </w:tcMar>
          </w:tcPr>
          <w:p>
            <w:pPr>
              <w:jc w:val="left"/>
            </w:pPr>
            <w:r>
              <w:rPr>
                <w:b w:val="false"/>
                <w:bCs w:val="false"/>
                <w:sz w:val="20"/>
                <w:szCs w:val="20"/>
              </w:rPr>
              <w:t xml:space="preserve">Target overselling incidents post-launch</w:t>
            </w:r>
          </w:p>
        </w:tc>
        <w:tc>
          <w:tcPr>
            <w:tcW w:type="dxa" w:w="4900"/>
            <w:tcMar>
              <w:top w:type="dxa" w:w="100"/>
              <w:left w:type="dxa" w:w="120"/>
              <w:bottom w:type="dxa" w:w="100"/>
              <w:right w:type="dxa" w:w="120"/>
            </w:tcMar>
          </w:tcPr>
          <w:p>
            <w:pPr>
              <w:jc w:val="center"/>
            </w:pPr>
            <w:r>
              <w:rPr>
                <w:b w:val="false"/>
                <w:bCs w:val="false"/>
                <w:sz w:val="20"/>
                <w:szCs w:val="20"/>
              </w:rPr>
              <w:t xml:space="preserve">≤2/year (≥90% reduction)</w:t>
            </w:r>
          </w:p>
        </w:tc>
      </w:tr>
      <w:tr>
        <w:tc>
          <w:tcPr>
            <w:tcW w:type="dxa" w:w="4900"/>
            <w:tcMar>
              <w:top w:type="dxa" w:w="100"/>
              <w:left w:type="dxa" w:w="120"/>
              <w:bottom w:type="dxa" w:w="100"/>
              <w:right w:type="dxa" w:w="120"/>
            </w:tcMar>
          </w:tcPr>
          <w:p>
            <w:pPr>
              <w:jc w:val="left"/>
            </w:pPr>
            <w:r>
              <w:rPr>
                <w:b w:val="false"/>
                <w:bCs w:val="false"/>
                <w:sz w:val="20"/>
                <w:szCs w:val="20"/>
              </w:rPr>
              <w:t xml:space="preserve">Annual recovered revenue from reduced overselling (Phase 1)</w:t>
            </w:r>
          </w:p>
        </w:tc>
        <w:tc>
          <w:tcPr>
            <w:tcW w:type="dxa" w:w="4900"/>
            <w:tcMar>
              <w:top w:type="dxa" w:w="100"/>
              <w:left w:type="dxa" w:w="120"/>
              <w:bottom w:type="dxa" w:w="100"/>
              <w:right w:type="dxa" w:w="120"/>
            </w:tcMar>
          </w:tcPr>
          <w:p>
            <w:pPr>
              <w:jc w:val="center"/>
            </w:pPr>
            <w:r>
              <w:rPr>
                <w:b w:val="false"/>
                <w:bCs w:val="false"/>
                <w:sz w:val="20"/>
                <w:szCs w:val="20"/>
              </w:rPr>
              <w:t xml:space="preserve">$2,088</w:t>
            </w:r>
          </w:p>
        </w:tc>
      </w:tr>
      <w:tr>
        <w:tc>
          <w:tcPr>
            <w:tcW w:type="dxa" w:w="4900"/>
            <w:tcMar>
              <w:top w:type="dxa" w:w="100"/>
              <w:left w:type="dxa" w:w="120"/>
              <w:bottom w:type="dxa" w:w="100"/>
              <w:right w:type="dxa" w:w="120"/>
            </w:tcMar>
          </w:tcPr>
          <w:p>
            <w:pPr>
              <w:jc w:val="left"/>
            </w:pPr>
            <w:r>
              <w:rPr>
                <w:b w:val="false"/>
                <w:bCs w:val="false"/>
                <w:sz w:val="20"/>
                <w:szCs w:val="20"/>
              </w:rPr>
              <w:t xml:space="preserve">Phase 1 total annual benefit</w:t>
            </w:r>
          </w:p>
        </w:tc>
        <w:tc>
          <w:tcPr>
            <w:tcW w:type="dxa" w:w="4900"/>
            <w:tcMar>
              <w:top w:type="dxa" w:w="100"/>
              <w:left w:type="dxa" w:w="120"/>
              <w:bottom w:type="dxa" w:w="100"/>
              <w:right w:type="dxa" w:w="120"/>
            </w:tcMar>
          </w:tcPr>
          <w:p>
            <w:pPr>
              <w:jc w:val="center"/>
            </w:pPr>
            <w:r>
              <w:rPr>
                <w:b w:val="false"/>
                <w:bCs w:val="false"/>
                <w:sz w:val="20"/>
                <w:szCs w:val="20"/>
              </w:rPr>
              <w:t xml:space="preserve">$7,808</w:t>
            </w:r>
          </w:p>
        </w:tc>
      </w:tr>
      <w:tr>
        <w:tc>
          <w:tcPr>
            <w:tcW w:type="dxa" w:w="4900"/>
            <w:tcMar>
              <w:top w:type="dxa" w:w="100"/>
              <w:left w:type="dxa" w:w="120"/>
              <w:bottom w:type="dxa" w:w="100"/>
              <w:right w:type="dxa" w:w="120"/>
            </w:tcMar>
          </w:tcPr>
          <w:p>
            <w:pPr>
              <w:jc w:val="left"/>
            </w:pPr>
            <w:r>
              <w:rPr>
                <w:b w:val="false"/>
                <w:bCs w:val="false"/>
                <w:sz w:val="20"/>
                <w:szCs w:val="20"/>
              </w:rPr>
              <w:t xml:space="preserve">Slow-moving inventory identified (Phase 2, Table 1.1)</w:t>
            </w:r>
          </w:p>
        </w:tc>
        <w:tc>
          <w:tcPr>
            <w:tcW w:type="dxa" w:w="4900"/>
            <w:tcMar>
              <w:top w:type="dxa" w:w="100"/>
              <w:left w:type="dxa" w:w="120"/>
              <w:bottom w:type="dxa" w:w="100"/>
              <w:right w:type="dxa" w:w="120"/>
            </w:tcMar>
          </w:tcPr>
          <w:p>
            <w:pPr>
              <w:jc w:val="center"/>
            </w:pPr>
            <w:r>
              <w:rPr>
                <w:b w:val="false"/>
                <w:bCs w:val="false"/>
                <w:sz w:val="20"/>
                <w:szCs w:val="20"/>
              </w:rPr>
              <w:t xml:space="preserve">$38,000 (210 SKUs)</w:t>
            </w:r>
          </w:p>
        </w:tc>
      </w:tr>
      <w:tr>
        <w:tc>
          <w:tcPr>
            <w:tcW w:type="dxa" w:w="4900"/>
            <w:tcMar>
              <w:top w:type="dxa" w:w="100"/>
              <w:left w:type="dxa" w:w="120"/>
              <w:bottom w:type="dxa" w:w="100"/>
              <w:right w:type="dxa" w:w="120"/>
            </w:tcMar>
          </w:tcPr>
          <w:p>
            <w:pPr>
              <w:jc w:val="left"/>
            </w:pPr>
            <w:r>
              <w:rPr>
                <w:b w:val="false"/>
                <w:bCs w:val="false"/>
                <w:sz w:val="20"/>
                <w:szCs w:val="20"/>
              </w:rPr>
              <w:t xml:space="preserve">Estimated annual holding-cost / markdown savings (Phase 2, ~12%)</w:t>
            </w:r>
          </w:p>
        </w:tc>
        <w:tc>
          <w:tcPr>
            <w:tcW w:type="dxa" w:w="4900"/>
            <w:tcMar>
              <w:top w:type="dxa" w:w="100"/>
              <w:left w:type="dxa" w:w="120"/>
              <w:bottom w:type="dxa" w:w="100"/>
              <w:right w:type="dxa" w:w="120"/>
            </w:tcMar>
          </w:tcPr>
          <w:p>
            <w:pPr>
              <w:jc w:val="center"/>
            </w:pPr>
            <w:r>
              <w:rPr>
                <w:b w:val="false"/>
                <w:bCs w:val="false"/>
                <w:sz w:val="20"/>
                <w:szCs w:val="20"/>
              </w:rPr>
              <w:t xml:space="preserve">$4,560</w:t>
            </w:r>
          </w:p>
        </w:tc>
      </w:tr>
      <w:tr>
        <w:tc>
          <w:tcPr>
            <w:tcW w:type="dxa" w:w="4900"/>
            <w:tcMar>
              <w:top w:type="dxa" w:w="100"/>
              <w:left w:type="dxa" w:w="120"/>
              <w:bottom w:type="dxa" w:w="100"/>
              <w:right w:type="dxa" w:w="120"/>
            </w:tcMar>
          </w:tcPr>
          <w:p>
            <w:pPr>
              <w:jc w:val="left"/>
            </w:pPr>
            <w:r>
              <w:rPr>
                <w:b w:val="false"/>
                <w:bCs w:val="false"/>
                <w:sz w:val="20"/>
                <w:szCs w:val="20"/>
              </w:rPr>
              <w:t xml:space="preserve">Combined total annual benefit (Phase 1 + Phase 2)</w:t>
            </w:r>
          </w:p>
        </w:tc>
        <w:tc>
          <w:tcPr>
            <w:tcW w:type="dxa" w:w="4900"/>
            <w:tcMar>
              <w:top w:type="dxa" w:w="100"/>
              <w:left w:type="dxa" w:w="120"/>
              <w:bottom w:type="dxa" w:w="100"/>
              <w:right w:type="dxa" w:w="120"/>
            </w:tcMar>
          </w:tcPr>
          <w:p>
            <w:pPr>
              <w:jc w:val="center"/>
            </w:pPr>
            <w:r>
              <w:rPr>
                <w:b w:val="false"/>
                <w:bCs w:val="false"/>
                <w:sz w:val="20"/>
                <w:szCs w:val="20"/>
              </w:rPr>
              <w:t xml:space="preserve">~$12,400</w:t>
            </w:r>
          </w:p>
        </w:tc>
      </w:tr>
    </w:tbl>
    <w:p>
      <w:pPr>
        <w:spacing w:after="160"/>
      </w:pPr>
    </w:p>
    <w:p>
      <w:pPr>
        <w:spacing w:after="160" w:line="276"/>
        <w:jc w:val="both"/>
      </w:pPr>
      <w:r>
        <w:t xml:space="preserve">Assumptions used in this calculation:</w:t>
      </w:r>
    </w:p>
    <w:p>
      <w:pPr>
        <w:pStyle w:val="ListParagraph"/>
        <w:numPr>
          <w:ilvl w:val="0"/>
          <w:numId w:val="2"/>
        </w:numPr>
        <w:spacing w:after="100" w:line="276"/>
      </w:pPr>
      <w:r>
        <w:t xml:space="preserve">Labor savings assume manual stock-check time drops from 6 to 1 hour per week once the dashboard removes the need for most manual verification, retaining 1 hour/week for periodic spot checks.</w:t>
      </w:r>
    </w:p>
    <w:p>
      <w:pPr>
        <w:pStyle w:val="ListParagraph"/>
        <w:numPr>
          <w:ilvl w:val="0"/>
          <w:numId w:val="2"/>
        </w:numPr>
        <w:spacing w:after="100" w:line="276"/>
      </w:pPr>
      <w:r>
        <w:t xml:space="preserve">The reduction to ≤2 overselling incidents per year assumes real-time sync (BR-01, BR-02) prevents the root cause identified in 1.1.1; a small residual is retained for edge cases such as damaged or returned stock not yet re-scanned.</w:t>
      </w:r>
    </w:p>
    <w:p>
      <w:pPr>
        <w:pStyle w:val="ListParagraph"/>
        <w:numPr>
          <w:ilvl w:val="0"/>
          <w:numId w:val="2"/>
        </w:numPr>
        <w:spacing w:after="100" w:line="276"/>
      </w:pPr>
      <w:r>
        <w:t xml:space="preserve">The $145 average lost/refunded order value is based on the four incidents recorded in Q2 2026 (Table 1.1).</w:t>
      </w:r>
    </w:p>
    <w:p>
      <w:pPr>
        <w:pStyle w:val="ListParagraph"/>
        <w:numPr>
          <w:ilvl w:val="0"/>
          <w:numId w:val="2"/>
        </w:numPr>
        <w:spacing w:after="100" w:line="276"/>
      </w:pPr>
      <w:r>
        <w:t xml:space="preserve">Phase 2 savings assume the slow-moving SKUs identified in Table 1.1 are discontinued or repriced following the report's launch; the $4,560 figure is an estimated 12% of the $38,000 tied-up inventory value in reduced holding cost and markdown losses.</w:t>
      </w:r>
    </w:p>
    <w:p>
      <w:pPr>
        <w:pStyle w:val="ListParagraph"/>
        <w:numPr>
          <w:ilvl w:val="0"/>
          <w:numId w:val="2"/>
        </w:numPr>
        <w:spacing w:after="100" w:line="276"/>
      </w:pPr>
      <w:r>
        <w:t xml:space="preserve">All figures assume the current SKU count (1,240) and single-store, single-storefront scope remain stable through the measurement period.</w:t>
      </w:r>
    </w:p>
    <w:p>
      <w:r>
        <w:br w:type="page"/>
      </w:r>
    </w:p>
    <w:p>
      <w:pPr>
        <w:pStyle w:val="Heading1"/>
        <w:spacing w:after="200" w:before="360"/>
      </w:pPr>
      <w:r>
        <w:rPr>
          <w:b/>
          <w:bCs/>
          <w:color w:val="1F3864"/>
        </w:rPr>
        <w:t xml:space="preserve">CHAPTER III</w:t>
      </w:r>
    </w:p>
    <w:p>
      <w:pPr>
        <w:pStyle w:val="Heading1"/>
        <w:spacing w:after="200" w:before="360"/>
      </w:pPr>
      <w:r>
        <w:rPr>
          <w:b/>
          <w:bCs/>
          <w:color w:val="1F3864"/>
        </w:rPr>
        <w:t xml:space="preserve">SERVICE DESCRIPTION</w:t>
      </w:r>
    </w:p>
    <w:p>
      <w:pPr>
        <w:pStyle w:val="Heading2"/>
        <w:spacing w:after="140" w:before="280"/>
      </w:pPr>
      <w:r>
        <w:rPr>
          <w:b/>
          <w:bCs/>
          <w:color w:val="1F3864"/>
        </w:rPr>
        <w:t xml:space="preserve">3.1 General Requirement</w:t>
      </w:r>
    </w:p>
    <w:p>
      <w:pPr>
        <w:spacing w:after="160" w:line="276"/>
        <w:jc w:val="both"/>
      </w:pPr>
      <w:r>
        <w:t xml:space="preserve">The system shall give store staff and management real-time, always-current visibility into stock levels across both the physical store and the online storefront, and shall proactively alert staff before a stockout can result in an online overselling incident.</w:t>
      </w:r>
    </w:p>
    <w:p>
      <w:pPr>
        <w:spacing w:after="120" w:before="120"/>
      </w:pPr>
      <w:r>
        <w:rPr>
          <w:b/>
          <w:bCs/>
          <w:i/>
          <w:iCs/>
          <w:sz w:val="20"/>
          <w:szCs w:val="20"/>
        </w:rPr>
        <w:t xml:space="preserve">Table 3.1  General Requirements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100"/>
        <w:gridCol w:w="7200"/>
        <w:gridCol w:w="1500"/>
      </w:tblGrid>
      <w:tr>
        <w:trPr>
          <w:tblHeader/>
        </w:trPr>
        <w:tc>
          <w:tcPr>
            <w:tcW w:type="dxa" w:w="1100"/>
            <w:shd w:fill="D9E2F3" w:color="auto" w:val="clear"/>
            <w:tcMar>
              <w:top w:type="dxa" w:w="100"/>
              <w:left w:type="dxa" w:w="120"/>
              <w:bottom w:type="dxa" w:w="100"/>
              <w:right w:type="dxa" w:w="120"/>
            </w:tcMar>
          </w:tcPr>
          <w:p>
            <w:pPr>
              <w:jc w:val="center"/>
            </w:pPr>
            <w:r>
              <w:rPr>
                <w:b/>
                <w:bCs/>
                <w:sz w:val="20"/>
                <w:szCs w:val="20"/>
              </w:rPr>
              <w:t xml:space="preserve">Req ID</w:t>
            </w:r>
          </w:p>
        </w:tc>
        <w:tc>
          <w:tcPr>
            <w:tcW w:type="dxa" w:w="7200"/>
            <w:shd w:fill="D9E2F3" w:color="auto" w:val="clear"/>
            <w:tcMar>
              <w:top w:type="dxa" w:w="100"/>
              <w:left w:type="dxa" w:w="120"/>
              <w:bottom w:type="dxa" w:w="100"/>
              <w:right w:type="dxa" w:w="120"/>
            </w:tcMar>
          </w:tcPr>
          <w:p>
            <w:pPr>
              <w:jc w:val="left"/>
            </w:pPr>
            <w:r>
              <w:rPr>
                <w:b/>
                <w:bCs/>
                <w:sz w:val="20"/>
                <w:szCs w:val="20"/>
              </w:rPr>
              <w:t xml:space="preserve">Requirement Description</w:t>
            </w:r>
          </w:p>
        </w:tc>
        <w:tc>
          <w:tcPr>
            <w:tcW w:type="dxa" w:w="1500"/>
            <w:shd w:fill="D9E2F3" w:color="auto" w:val="clear"/>
            <w:tcMar>
              <w:top w:type="dxa" w:w="100"/>
              <w:left w:type="dxa" w:w="120"/>
              <w:bottom w:type="dxa" w:w="100"/>
              <w:right w:type="dxa" w:w="120"/>
            </w:tcMar>
          </w:tcPr>
          <w:p>
            <w:pPr>
              <w:jc w:val="center"/>
            </w:pPr>
            <w:r>
              <w:rPr>
                <w:b/>
                <w:bCs/>
                <w:sz w:val="20"/>
                <w:szCs w:val="20"/>
              </w:rPr>
              <w:t xml:space="preserve">Priority</w:t>
            </w:r>
          </w:p>
        </w:tc>
      </w:tr>
      <w:tr>
        <w:tc>
          <w:tcPr>
            <w:tcW w:type="dxa" w:w="1100"/>
            <w:tcMar>
              <w:top w:type="dxa" w:w="100"/>
              <w:left w:type="dxa" w:w="120"/>
              <w:bottom w:type="dxa" w:w="100"/>
              <w:right w:type="dxa" w:w="120"/>
            </w:tcMar>
          </w:tcPr>
          <w:p>
            <w:pPr>
              <w:jc w:val="center"/>
            </w:pPr>
            <w:r>
              <w:rPr>
                <w:b/>
                <w:bCs/>
                <w:sz w:val="20"/>
                <w:szCs w:val="20"/>
              </w:rPr>
              <w:t xml:space="preserve">BR-01</w:t>
            </w:r>
          </w:p>
        </w:tc>
        <w:tc>
          <w:tcPr>
            <w:tcW w:type="dxa" w:w="7200"/>
            <w:tcMar>
              <w:top w:type="dxa" w:w="100"/>
              <w:left w:type="dxa" w:w="120"/>
              <w:bottom w:type="dxa" w:w="100"/>
              <w:right w:type="dxa" w:w="120"/>
            </w:tcMar>
          </w:tcPr>
          <w:p>
            <w:pPr>
              <w:jc w:val="left"/>
            </w:pPr>
            <w:r>
              <w:rPr>
                <w:b w:val="false"/>
                <w:bCs w:val="false"/>
                <w:sz w:val="20"/>
                <w:szCs w:val="20"/>
              </w:rPr>
              <w:t xml:space="preserve">The system shall synchronize inventory counts between the point-of-sale (POS) system and the online storefront in real time, within 60 seconds of a sale or stock adjustment in either channel.</w:t>
            </w:r>
          </w:p>
        </w:tc>
        <w:tc>
          <w:tcPr>
            <w:tcW w:type="dxa" w:w="1500"/>
            <w:tcMar>
              <w:top w:type="dxa" w:w="100"/>
              <w:left w:type="dxa" w:w="120"/>
              <w:bottom w:type="dxa" w:w="100"/>
              <w:right w:type="dxa" w:w="120"/>
            </w:tcMar>
          </w:tcPr>
          <w:p>
            <w:pPr>
              <w:jc w:val="center"/>
            </w:pPr>
            <w:r>
              <w:rPr>
                <w:b w:val="false"/>
                <w:bCs w:val="false"/>
                <w:sz w:val="20"/>
                <w:szCs w:val="20"/>
              </w:rPr>
              <w:t xml:space="preserve">Must Have</w:t>
            </w:r>
          </w:p>
        </w:tc>
      </w:tr>
      <w:tr>
        <w:tc>
          <w:tcPr>
            <w:tcW w:type="dxa" w:w="1100"/>
            <w:tcMar>
              <w:top w:type="dxa" w:w="100"/>
              <w:left w:type="dxa" w:w="120"/>
              <w:bottom w:type="dxa" w:w="100"/>
              <w:right w:type="dxa" w:w="120"/>
            </w:tcMar>
          </w:tcPr>
          <w:p>
            <w:pPr>
              <w:jc w:val="center"/>
            </w:pPr>
            <w:r>
              <w:rPr>
                <w:b/>
                <w:bCs/>
                <w:sz w:val="20"/>
                <w:szCs w:val="20"/>
              </w:rPr>
              <w:t xml:space="preserve">BR-02</w:t>
            </w:r>
          </w:p>
        </w:tc>
        <w:tc>
          <w:tcPr>
            <w:tcW w:type="dxa" w:w="7200"/>
            <w:tcMar>
              <w:top w:type="dxa" w:w="100"/>
              <w:left w:type="dxa" w:w="120"/>
              <w:bottom w:type="dxa" w:w="100"/>
              <w:right w:type="dxa" w:w="120"/>
            </w:tcMar>
          </w:tcPr>
          <w:p>
            <w:pPr>
              <w:jc w:val="left"/>
            </w:pPr>
            <w:r>
              <w:rPr>
                <w:b w:val="false"/>
                <w:bCs w:val="false"/>
                <w:sz w:val="20"/>
                <w:szCs w:val="20"/>
              </w:rPr>
              <w:t xml:space="preserve">The system shall automatically mark an item “out of stock” on the online storefront the moment in-store stock for that SKU reaches zero, preventing further online orders until restocked.</w:t>
            </w:r>
          </w:p>
        </w:tc>
        <w:tc>
          <w:tcPr>
            <w:tcW w:type="dxa" w:w="1500"/>
            <w:tcMar>
              <w:top w:type="dxa" w:w="100"/>
              <w:left w:type="dxa" w:w="120"/>
              <w:bottom w:type="dxa" w:w="100"/>
              <w:right w:type="dxa" w:w="120"/>
            </w:tcMar>
          </w:tcPr>
          <w:p>
            <w:pPr>
              <w:jc w:val="center"/>
            </w:pPr>
            <w:r>
              <w:rPr>
                <w:b w:val="false"/>
                <w:bCs w:val="false"/>
                <w:sz w:val="20"/>
                <w:szCs w:val="20"/>
              </w:rPr>
              <w:t xml:space="preserve">Must Have</w:t>
            </w:r>
          </w:p>
        </w:tc>
      </w:tr>
      <w:tr>
        <w:tc>
          <w:tcPr>
            <w:tcW w:type="dxa" w:w="1100"/>
            <w:tcMar>
              <w:top w:type="dxa" w:w="100"/>
              <w:left w:type="dxa" w:w="120"/>
              <w:bottom w:type="dxa" w:w="100"/>
              <w:right w:type="dxa" w:w="120"/>
            </w:tcMar>
          </w:tcPr>
          <w:p>
            <w:pPr>
              <w:jc w:val="center"/>
            </w:pPr>
            <w:r>
              <w:rPr>
                <w:b/>
                <w:bCs/>
                <w:sz w:val="20"/>
                <w:szCs w:val="20"/>
              </w:rPr>
              <w:t xml:space="preserve">BR-03</w:t>
            </w:r>
          </w:p>
        </w:tc>
        <w:tc>
          <w:tcPr>
            <w:tcW w:type="dxa" w:w="7200"/>
            <w:tcMar>
              <w:top w:type="dxa" w:w="100"/>
              <w:left w:type="dxa" w:w="120"/>
              <w:bottom w:type="dxa" w:w="100"/>
              <w:right w:type="dxa" w:w="120"/>
            </w:tcMar>
          </w:tcPr>
          <w:p>
            <w:pPr>
              <w:jc w:val="left"/>
            </w:pPr>
            <w:r>
              <w:rPr>
                <w:b w:val="false"/>
                <w:bCs w:val="false"/>
                <w:sz w:val="20"/>
                <w:szCs w:val="20"/>
              </w:rPr>
              <w:t xml:space="preserve">The system shall display a live, always-current stock count for all 1,240 active SKUs on a centralized dashboard accessible to store staff and management.</w:t>
            </w:r>
          </w:p>
        </w:tc>
        <w:tc>
          <w:tcPr>
            <w:tcW w:type="dxa" w:w="1500"/>
            <w:tcMar>
              <w:top w:type="dxa" w:w="100"/>
              <w:left w:type="dxa" w:w="120"/>
              <w:bottom w:type="dxa" w:w="100"/>
              <w:right w:type="dxa" w:w="120"/>
            </w:tcMar>
          </w:tcPr>
          <w:p>
            <w:pPr>
              <w:jc w:val="center"/>
            </w:pPr>
            <w:r>
              <w:rPr>
                <w:b w:val="false"/>
                <w:bCs w:val="false"/>
                <w:sz w:val="20"/>
                <w:szCs w:val="20"/>
              </w:rPr>
              <w:t xml:space="preserve">Must Have</w:t>
            </w:r>
          </w:p>
        </w:tc>
      </w:tr>
      <w:tr>
        <w:tc>
          <w:tcPr>
            <w:tcW w:type="dxa" w:w="1100"/>
            <w:tcMar>
              <w:top w:type="dxa" w:w="100"/>
              <w:left w:type="dxa" w:w="120"/>
              <w:bottom w:type="dxa" w:w="100"/>
              <w:right w:type="dxa" w:w="120"/>
            </w:tcMar>
          </w:tcPr>
          <w:p>
            <w:pPr>
              <w:jc w:val="center"/>
            </w:pPr>
            <w:r>
              <w:rPr>
                <w:b/>
                <w:bCs/>
                <w:sz w:val="20"/>
                <w:szCs w:val="20"/>
              </w:rPr>
              <w:t xml:space="preserve">BR-04</w:t>
            </w:r>
          </w:p>
        </w:tc>
        <w:tc>
          <w:tcPr>
            <w:tcW w:type="dxa" w:w="7200"/>
            <w:tcMar>
              <w:top w:type="dxa" w:w="100"/>
              <w:left w:type="dxa" w:w="120"/>
              <w:bottom w:type="dxa" w:w="100"/>
              <w:right w:type="dxa" w:w="120"/>
            </w:tcMar>
          </w:tcPr>
          <w:p>
            <w:pPr>
              <w:jc w:val="left"/>
            </w:pPr>
            <w:r>
              <w:rPr>
                <w:b w:val="false"/>
                <w:bCs w:val="false"/>
                <w:sz w:val="20"/>
                <w:szCs w:val="20"/>
              </w:rPr>
              <w:t xml:space="preserve">The system shall send an automated low-stock alert (email and SMS) to the designated Inventory Manager when a SKU's quantity falls below a configurable threshold (default: 5 units).</w:t>
            </w:r>
          </w:p>
        </w:tc>
        <w:tc>
          <w:tcPr>
            <w:tcW w:type="dxa" w:w="1500"/>
            <w:tcMar>
              <w:top w:type="dxa" w:w="100"/>
              <w:left w:type="dxa" w:w="120"/>
              <w:bottom w:type="dxa" w:w="100"/>
              <w:right w:type="dxa" w:w="120"/>
            </w:tcMar>
          </w:tcPr>
          <w:p>
            <w:pPr>
              <w:jc w:val="center"/>
            </w:pPr>
            <w:r>
              <w:rPr>
                <w:b w:val="false"/>
                <w:bCs w:val="false"/>
                <w:sz w:val="20"/>
                <w:szCs w:val="20"/>
              </w:rPr>
              <w:t xml:space="preserve">Must Have</w:t>
            </w:r>
          </w:p>
        </w:tc>
      </w:tr>
      <w:tr>
        <w:tc>
          <w:tcPr>
            <w:tcW w:type="dxa" w:w="1100"/>
            <w:tcMar>
              <w:top w:type="dxa" w:w="100"/>
              <w:left w:type="dxa" w:w="120"/>
              <w:bottom w:type="dxa" w:w="100"/>
              <w:right w:type="dxa" w:w="120"/>
            </w:tcMar>
          </w:tcPr>
          <w:p>
            <w:pPr>
              <w:jc w:val="center"/>
            </w:pPr>
            <w:r>
              <w:rPr>
                <w:b/>
                <w:bCs/>
                <w:sz w:val="20"/>
                <w:szCs w:val="20"/>
              </w:rPr>
              <w:t xml:space="preserve">BR-05</w:t>
            </w:r>
          </w:p>
        </w:tc>
        <w:tc>
          <w:tcPr>
            <w:tcW w:type="dxa" w:w="7200"/>
            <w:tcMar>
              <w:top w:type="dxa" w:w="100"/>
              <w:left w:type="dxa" w:w="120"/>
              <w:bottom w:type="dxa" w:w="100"/>
              <w:right w:type="dxa" w:w="120"/>
            </w:tcMar>
          </w:tcPr>
          <w:p>
            <w:pPr>
              <w:jc w:val="left"/>
            </w:pPr>
            <w:r>
              <w:rPr>
                <w:b w:val="false"/>
                <w:bCs w:val="false"/>
                <w:sz w:val="20"/>
                <w:szCs w:val="20"/>
              </w:rPr>
              <w:t xml:space="preserve">The system shall log every stock adjustment — sale, return, manual correction, or restock — with a timestamp and source (POS, online, or manual) to support audit and discrepancy investigation.</w:t>
            </w:r>
          </w:p>
        </w:tc>
        <w:tc>
          <w:tcPr>
            <w:tcW w:type="dxa" w:w="1500"/>
            <w:tcMar>
              <w:top w:type="dxa" w:w="100"/>
              <w:left w:type="dxa" w:w="120"/>
              <w:bottom w:type="dxa" w:w="100"/>
              <w:right w:type="dxa" w:w="120"/>
            </w:tcMar>
          </w:tcPr>
          <w:p>
            <w:pPr>
              <w:jc w:val="center"/>
            </w:pPr>
            <w:r>
              <w:rPr>
                <w:b w:val="false"/>
                <w:bCs w:val="false"/>
                <w:sz w:val="20"/>
                <w:szCs w:val="20"/>
              </w:rPr>
              <w:t xml:space="preserve">Must Have</w:t>
            </w:r>
          </w:p>
        </w:tc>
      </w:tr>
      <w:tr>
        <w:tc>
          <w:tcPr>
            <w:tcW w:type="dxa" w:w="1100"/>
            <w:tcMar>
              <w:top w:type="dxa" w:w="100"/>
              <w:left w:type="dxa" w:w="120"/>
              <w:bottom w:type="dxa" w:w="100"/>
              <w:right w:type="dxa" w:w="120"/>
            </w:tcMar>
          </w:tcPr>
          <w:p>
            <w:pPr>
              <w:jc w:val="center"/>
            </w:pPr>
            <w:r>
              <w:rPr>
                <w:b/>
                <w:bCs/>
                <w:sz w:val="20"/>
                <w:szCs w:val="20"/>
              </w:rPr>
              <w:t xml:space="preserve">BR-06</w:t>
            </w:r>
          </w:p>
        </w:tc>
        <w:tc>
          <w:tcPr>
            <w:tcW w:type="dxa" w:w="7200"/>
            <w:tcMar>
              <w:top w:type="dxa" w:w="100"/>
              <w:left w:type="dxa" w:w="120"/>
              <w:bottom w:type="dxa" w:w="100"/>
              <w:right w:type="dxa" w:w="120"/>
            </w:tcMar>
          </w:tcPr>
          <w:p>
            <w:pPr>
              <w:jc w:val="left"/>
            </w:pPr>
            <w:r>
              <w:rPr>
                <w:b w:val="false"/>
                <w:bCs w:val="false"/>
                <w:sz w:val="20"/>
                <w:szCs w:val="20"/>
              </w:rPr>
              <w:t xml:space="preserve">The system shall generate a weekly product profitability report showing revenue, cost of goods sold (COGS), gross margin, and units sold per SKU.</w:t>
            </w:r>
          </w:p>
        </w:tc>
        <w:tc>
          <w:tcPr>
            <w:tcW w:type="dxa" w:w="1500"/>
            <w:tcMar>
              <w:top w:type="dxa" w:w="100"/>
              <w:left w:type="dxa" w:w="120"/>
              <w:bottom w:type="dxa" w:w="100"/>
              <w:right w:type="dxa" w:w="120"/>
            </w:tcMar>
          </w:tcPr>
          <w:p>
            <w:pPr>
              <w:jc w:val="center"/>
            </w:pPr>
            <w:r>
              <w:rPr>
                <w:b w:val="false"/>
                <w:bCs w:val="false"/>
                <w:sz w:val="20"/>
                <w:szCs w:val="20"/>
              </w:rPr>
              <w:t xml:space="preserve">Should Have</w:t>
            </w:r>
          </w:p>
        </w:tc>
      </w:tr>
      <w:tr>
        <w:tc>
          <w:tcPr>
            <w:tcW w:type="dxa" w:w="1100"/>
            <w:tcMar>
              <w:top w:type="dxa" w:w="100"/>
              <w:left w:type="dxa" w:w="120"/>
              <w:bottom w:type="dxa" w:w="100"/>
              <w:right w:type="dxa" w:w="120"/>
            </w:tcMar>
          </w:tcPr>
          <w:p>
            <w:pPr>
              <w:jc w:val="center"/>
            </w:pPr>
            <w:r>
              <w:rPr>
                <w:b/>
                <w:bCs/>
                <w:sz w:val="20"/>
                <w:szCs w:val="20"/>
              </w:rPr>
              <w:t xml:space="preserve">BR-07</w:t>
            </w:r>
          </w:p>
        </w:tc>
        <w:tc>
          <w:tcPr>
            <w:tcW w:type="dxa" w:w="7200"/>
            <w:tcMar>
              <w:top w:type="dxa" w:w="100"/>
              <w:left w:type="dxa" w:w="120"/>
              <w:bottom w:type="dxa" w:w="100"/>
              <w:right w:type="dxa" w:w="120"/>
            </w:tcMar>
          </w:tcPr>
          <w:p>
            <w:pPr>
              <w:jc w:val="left"/>
            </w:pPr>
            <w:r>
              <w:rPr>
                <w:b w:val="false"/>
                <w:bCs w:val="false"/>
                <w:sz w:val="20"/>
                <w:szCs w:val="20"/>
              </w:rPr>
              <w:t xml:space="preserve">The system shall flag SKUs with no sales in the trailing 90 days as “slow-moving” on the profitability report.</w:t>
            </w:r>
          </w:p>
        </w:tc>
        <w:tc>
          <w:tcPr>
            <w:tcW w:type="dxa" w:w="1500"/>
            <w:tcMar>
              <w:top w:type="dxa" w:w="100"/>
              <w:left w:type="dxa" w:w="120"/>
              <w:bottom w:type="dxa" w:w="100"/>
              <w:right w:type="dxa" w:w="120"/>
            </w:tcMar>
          </w:tcPr>
          <w:p>
            <w:pPr>
              <w:jc w:val="center"/>
            </w:pPr>
            <w:r>
              <w:rPr>
                <w:b w:val="false"/>
                <w:bCs w:val="false"/>
                <w:sz w:val="20"/>
                <w:szCs w:val="20"/>
              </w:rPr>
              <w:t xml:space="preserve">Should Have</w:t>
            </w:r>
          </w:p>
        </w:tc>
      </w:tr>
    </w:tbl>
    <w:p>
      <w:pPr>
        <w:spacing w:after="200"/>
      </w:pPr>
    </w:p>
    <w:p>
      <w:pPr>
        <w:pStyle w:val="Heading2"/>
        <w:spacing w:after="140" w:before="280"/>
      </w:pPr>
      <w:r>
        <w:rPr>
          <w:b/>
          <w:bCs/>
          <w:color w:val="1F3864"/>
        </w:rPr>
        <w:t xml:space="preserve">3.2 Product / Service Specification</w:t>
      </w:r>
    </w:p>
    <w:tbl>
      <w:tblPr>
        <w:tblW w:type="auto" w:w="0"/>
        <w:tblLayout w:type="fixed"/>
        <w:tblLook w:firstColumn="1" w:firstRow="1" w:lastColumn="0" w:lastRow="0" w:noHBand="0" w:noVBand="1" w:val="04A0"/>
      </w:tblPr>
      <w:tblGrid>
        <w:gridCol w:w="2160"/>
        <w:gridCol w:w="6840"/>
      </w:tblGrid>
      <w:tr>
        <w:tc>
          <w:tcPr>
            <w:tcW w:type="dxa" w:w="2160"/>
            <w:tcBorders>
              <w:top w:val="single" w:sz="4" w:space="0" w:color="000000"/>
              <w:left w:val="single" w:sz="4" w:space="0" w:color="000000"/>
              <w:bottom w:val="single" w:sz="4" w:space="0" w:color="000000"/>
              <w:right w:val="single" w:sz="4" w:space="0" w:color="000000"/>
            </w:tcBorders>
            <w:shd w:val="clear" w:color="auto" w:fill="F2F2F2"/>
          </w:tcPr>
          <w:p>
            <w:r>
              <w:rPr>
                <w:b/>
                <w:i w:val="0"/>
                <w:sz w:val="20"/>
              </w:rPr>
              <w:t>Target Market Segmentation</w:t>
            </w:r>
          </w:p>
          <w:p>
            <w:r>
              <w:rPr>
                <w:b w:val="0"/>
                <w:i/>
                <w:sz w:val="16"/>
              </w:rPr>
              <w:t>(Market segmentation consisting of group of customer being targeted by changes in Product / Service requested in this Business Requirements)</w:t>
            </w:r>
          </w:p>
        </w:tc>
        <w:tc>
          <w:tcPr>
            <w:tcW w:type="dxa" w:w="6840"/>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HVC</w:t>
            </w:r>
          </w:p>
          <w:p>
            <w:r>
              <w:rPr>
                <w:b w:val="0"/>
                <w:i w:val="0"/>
                <w:sz w:val="22"/>
              </w:rPr>
              <w:t xml:space="preserve">☐ </w:t>
            </w:r>
            <w:r>
              <w:rPr>
                <w:b w:val="0"/>
                <w:i w:val="0"/>
                <w:sz w:val="20"/>
              </w:rPr>
              <w:t>Non HVC</w:t>
            </w:r>
          </w:p>
          <w:p>
            <w:r>
              <w:rPr>
                <w:b w:val="0"/>
                <w:i w:val="0"/>
                <w:sz w:val="22"/>
              </w:rPr>
              <w:t xml:space="preserve">☐ </w:t>
            </w:r>
            <w:r>
              <w:rPr>
                <w:b w:val="0"/>
                <w:i w:val="0"/>
                <w:sz w:val="20"/>
              </w:rPr>
              <w:t>SME</w:t>
            </w:r>
          </w:p>
          <w:p>
            <w:r>
              <w:rPr>
                <w:b w:val="0"/>
                <w:i w:val="0"/>
                <w:sz w:val="22"/>
              </w:rPr>
              <w:t xml:space="preserve">☐ </w:t>
            </w:r>
            <w:r>
              <w:rPr>
                <w:b w:val="0"/>
                <w:i w:val="0"/>
                <w:sz w:val="20"/>
              </w:rPr>
              <w:t>Corporate</w:t>
            </w:r>
          </w:p>
          <w:p>
            <w:r>
              <w:rPr>
                <w:b w:val="0"/>
                <w:i w:val="0"/>
                <w:sz w:val="22"/>
              </w:rPr>
              <w:t xml:space="preserve">☐ </w:t>
            </w:r>
            <w:r>
              <w:rPr>
                <w:b w:val="0"/>
                <w:i w:val="0"/>
                <w:sz w:val="20"/>
              </w:rPr>
              <w:t>Governance</w:t>
            </w:r>
          </w:p>
          <w:p>
            <w:r>
              <w:rPr>
                <w:b w:val="0"/>
                <w:i w:val="0"/>
                <w:sz w:val="22"/>
              </w:rPr>
              <w:t xml:space="preserve">☒ </w:t>
            </w:r>
            <w:r>
              <w:rPr>
                <w:b w:val="0"/>
                <w:i w:val="0"/>
                <w:sz w:val="20"/>
              </w:rPr>
              <w:t>Targeted segment, please specify: Not applicable — this is an internal operational tool (inventory visibility, alerting, and reporting); it has no external customer-facing market segment</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2F2F2"/>
          </w:tcPr>
          <w:p>
            <w:r>
              <w:rPr>
                <w:b/>
                <w:i w:val="0"/>
                <w:sz w:val="20"/>
              </w:rPr>
              <w:t>Subscriber Eligibility</w:t>
            </w:r>
          </w:p>
        </w:tc>
        <w:tc>
          <w:tcPr>
            <w:tcW w:type="dxa" w:w="6840"/>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Telkomsel Customer</w:t>
            </w:r>
          </w:p>
          <w:p>
            <w:r>
              <w:rPr>
                <w:b w:val="0"/>
                <w:i w:val="0"/>
                <w:sz w:val="22"/>
              </w:rPr>
              <w:t xml:space="preserve">☐ </w:t>
            </w:r>
            <w:r>
              <w:rPr>
                <w:b w:val="0"/>
                <w:i w:val="0"/>
                <w:sz w:val="20"/>
              </w:rPr>
              <w:t>Telkomsel Employee</w:t>
            </w:r>
          </w:p>
          <w:p>
            <w:r>
              <w:rPr>
                <w:b w:val="0"/>
                <w:i w:val="0"/>
                <w:sz w:val="22"/>
              </w:rPr>
              <w:t xml:space="preserve">☒ </w:t>
            </w:r>
            <w:r>
              <w:rPr>
                <w:b w:val="0"/>
                <w:i w:val="0"/>
                <w:sz w:val="20"/>
              </w:rPr>
              <w:t>Others, please specify: Not applicable — internal tool for Store Operations, the Inventory Manager, and Finance staff only; no external customer/subscriber eligibility</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2F2F2"/>
          </w:tcPr>
          <w:p>
            <w:r>
              <w:rPr>
                <w:b/>
                <w:i w:val="0"/>
                <w:sz w:val="20"/>
              </w:rPr>
              <w:t>Brand Eligibility</w:t>
            </w:r>
          </w:p>
        </w:tc>
        <w:tc>
          <w:tcPr>
            <w:tcW w:type="dxa" w:w="6840"/>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SimPATI</w:t>
            </w:r>
          </w:p>
          <w:p>
            <w:r>
              <w:rPr>
                <w:b w:val="0"/>
                <w:i w:val="0"/>
                <w:sz w:val="22"/>
              </w:rPr>
              <w:t xml:space="preserve">☐ </w:t>
            </w:r>
            <w:r>
              <w:rPr>
                <w:b w:val="0"/>
                <w:i w:val="0"/>
                <w:sz w:val="20"/>
              </w:rPr>
              <w:t>AS</w:t>
            </w:r>
          </w:p>
          <w:p>
            <w:r>
              <w:rPr>
                <w:b w:val="0"/>
                <w:i w:val="0"/>
                <w:sz w:val="22"/>
              </w:rPr>
              <w:t xml:space="preserve">☐ </w:t>
            </w:r>
            <w:r>
              <w:rPr>
                <w:b w:val="0"/>
                <w:i w:val="0"/>
                <w:sz w:val="20"/>
              </w:rPr>
              <w:t>Loop</w:t>
            </w:r>
          </w:p>
          <w:p>
            <w:r>
              <w:rPr>
                <w:b w:val="0"/>
                <w:i w:val="0"/>
                <w:sz w:val="22"/>
              </w:rPr>
              <w:t xml:space="preserve">☐ </w:t>
            </w:r>
            <w:r>
              <w:rPr>
                <w:b w:val="0"/>
                <w:i w:val="0"/>
                <w:sz w:val="20"/>
              </w:rPr>
              <w:t>HALO</w:t>
            </w:r>
          </w:p>
          <w:p>
            <w:r>
              <w:rPr>
                <w:b w:val="0"/>
                <w:i w:val="0"/>
                <w:sz w:val="22"/>
              </w:rPr>
              <w:t xml:space="preserve">☐ </w:t>
            </w:r>
            <w:r>
              <w:rPr>
                <w:b w:val="0"/>
                <w:i w:val="0"/>
                <w:sz w:val="20"/>
              </w:rPr>
              <w:t>ByU</w:t>
            </w:r>
          </w:p>
          <w:p>
            <w:r>
              <w:rPr>
                <w:b w:val="0"/>
                <w:i w:val="0"/>
                <w:sz w:val="22"/>
              </w:rPr>
              <w:t xml:space="preserve">☒ </w:t>
            </w:r>
            <w:r>
              <w:rPr>
                <w:b w:val="0"/>
                <w:i w:val="0"/>
                <w:sz w:val="20"/>
              </w:rPr>
              <w:t>Others, please specify: Not applicable — single storefront, internal tool</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2F2F2"/>
          </w:tcPr>
          <w:p>
            <w:r>
              <w:rPr>
                <w:b/>
                <w:i w:val="0"/>
                <w:sz w:val="20"/>
              </w:rPr>
              <w:t>Channel Eligibility</w:t>
            </w:r>
          </w:p>
        </w:tc>
        <w:tc>
          <w:tcPr>
            <w:tcW w:type="dxa" w:w="6840"/>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Self service channel</w:t>
            </w:r>
            <w:r>
              <w:rPr>
                <w:b w:val="0"/>
                <w:i w:val="0"/>
                <w:sz w:val="22"/>
              </w:rPr>
              <w:t xml:space="preserve">     ☐ </w:t>
            </w:r>
            <w:r>
              <w:rPr>
                <w:b w:val="0"/>
                <w:i w:val="0"/>
                <w:sz w:val="20"/>
              </w:rPr>
              <w:t>Assisted channel</w:t>
            </w:r>
          </w:p>
          <w:p/>
          <w:p>
            <w:r>
              <w:rPr>
                <w:b w:val="0"/>
                <w:i w:val="0"/>
                <w:sz w:val="22"/>
              </w:rPr>
              <w:t xml:space="preserve">☐ </w:t>
            </w:r>
            <w:r>
              <w:rPr>
                <w:b w:val="0"/>
                <w:i w:val="0"/>
                <w:sz w:val="20"/>
              </w:rPr>
              <w:t>UMB, please specify ADN</w:t>
            </w:r>
          </w:p>
          <w:p>
            <w:r>
              <w:rPr>
                <w:b w:val="0"/>
                <w:i w:val="0"/>
                <w:sz w:val="22"/>
              </w:rPr>
              <w:t xml:space="preserve">☐ </w:t>
            </w:r>
            <w:r>
              <w:rPr>
                <w:b w:val="0"/>
                <w:i w:val="0"/>
                <w:sz w:val="20"/>
              </w:rPr>
              <w:t>SMS, please specify ADN</w:t>
            </w:r>
          </w:p>
          <w:p>
            <w:r>
              <w:rPr>
                <w:b w:val="0"/>
                <w:i w:val="0"/>
                <w:sz w:val="22"/>
              </w:rPr>
              <w:t xml:space="preserve">☒ </w:t>
            </w:r>
            <w:r>
              <w:rPr>
                <w:b w:val="0"/>
                <w:i w:val="0"/>
                <w:sz w:val="20"/>
              </w:rPr>
              <w:t>Web, please specify: Internal staff-facing dashboard integrated with the POS and online storefront systems; not a customer-facing channel</w:t>
            </w:r>
          </w:p>
          <w:p>
            <w:r>
              <w:rPr>
                <w:b w:val="0"/>
                <w:i w:val="0"/>
                <w:sz w:val="22"/>
              </w:rPr>
              <w:t xml:space="preserve">☐ </w:t>
            </w:r>
            <w:r>
              <w:rPr>
                <w:b w:val="0"/>
                <w:i w:val="0"/>
                <w:sz w:val="20"/>
              </w:rPr>
              <w:t>Walk-in, please specify</w:t>
            </w:r>
          </w:p>
          <w:p>
            <w:r>
              <w:rPr>
                <w:b w:val="0"/>
                <w:i w:val="0"/>
                <w:sz w:val="22"/>
              </w:rPr>
              <w:t xml:space="preserve">☐ </w:t>
            </w:r>
            <w:r>
              <w:rPr>
                <w:b w:val="0"/>
                <w:i w:val="0"/>
                <w:sz w:val="20"/>
              </w:rPr>
              <w:t>Call-in, please specify</w:t>
            </w:r>
          </w:p>
          <w:p>
            <w:r>
              <w:rPr>
                <w:b w:val="0"/>
                <w:i w:val="0"/>
                <w:sz w:val="22"/>
              </w:rPr>
              <w:t xml:space="preserve">☐ </w:t>
            </w:r>
            <w:r>
              <w:rPr>
                <w:b w:val="0"/>
                <w:i w:val="0"/>
                <w:sz w:val="20"/>
              </w:rPr>
              <w:t>Mobile Apps, please specify</w:t>
            </w:r>
          </w:p>
          <w:p>
            <w:r>
              <w:rPr>
                <w:b w:val="0"/>
                <w:i w:val="0"/>
                <w:sz w:val="22"/>
              </w:rPr>
              <w:t xml:space="preserve">☐ </w:t>
            </w:r>
            <w:r>
              <w:rPr>
                <w:b w:val="0"/>
                <w:i w:val="0"/>
                <w:sz w:val="20"/>
              </w:rPr>
              <w:t>3rd Party Channel, please specify</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2F2F2"/>
          </w:tcPr>
          <w:p>
            <w:r>
              <w:rPr>
                <w:b/>
                <w:i w:val="0"/>
                <w:sz w:val="20"/>
              </w:rPr>
              <w:t>Partner Eligibility</w:t>
            </w:r>
          </w:p>
        </w:tc>
        <w:tc>
          <w:tcPr>
            <w:tcW w:type="dxa" w:w="6840"/>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Authorized Dealer</w:t>
            </w:r>
          </w:p>
          <w:p>
            <w:r>
              <w:rPr>
                <w:b w:val="0"/>
                <w:i w:val="0"/>
                <w:sz w:val="22"/>
              </w:rPr>
              <w:t xml:space="preserve">☐ </w:t>
            </w:r>
            <w:r>
              <w:rPr>
                <w:b w:val="0"/>
                <w:i w:val="0"/>
                <w:sz w:val="20"/>
              </w:rPr>
              <w:t>Sales Force</w:t>
            </w:r>
          </w:p>
          <w:p>
            <w:r>
              <w:rPr>
                <w:b w:val="0"/>
                <w:i w:val="0"/>
                <w:sz w:val="22"/>
              </w:rPr>
              <w:t xml:space="preserve">☐ </w:t>
            </w:r>
            <w:r>
              <w:rPr>
                <w:b w:val="0"/>
                <w:i w:val="0"/>
                <w:sz w:val="20"/>
              </w:rPr>
              <w:t>Outlet &amp; Reseller</w:t>
            </w:r>
          </w:p>
          <w:p>
            <w:r>
              <w:rPr>
                <w:b w:val="0"/>
                <w:i w:val="0"/>
                <w:sz w:val="22"/>
              </w:rPr>
              <w:t xml:space="preserve">☐ </w:t>
            </w:r>
            <w:r>
              <w:rPr>
                <w:b w:val="0"/>
                <w:i w:val="0"/>
                <w:sz w:val="20"/>
              </w:rPr>
              <w:t>Modern Channel</w:t>
            </w:r>
          </w:p>
          <w:p>
            <w:r>
              <w:rPr>
                <w:b w:val="0"/>
                <w:i w:val="0"/>
                <w:sz w:val="22"/>
              </w:rPr>
              <w:t xml:space="preserve">☒ </w:t>
            </w:r>
            <w:r>
              <w:rPr>
                <w:b w:val="0"/>
                <w:i w:val="0"/>
                <w:sz w:val="20"/>
              </w:rPr>
              <w:t>Others, please specify: Not applicable — internal tool, no external partner/dealer involvement</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2F2F2"/>
          </w:tcPr>
          <w:p>
            <w:r>
              <w:rPr>
                <w:b/>
                <w:i w:val="0"/>
                <w:sz w:val="20"/>
              </w:rPr>
              <w:t>Area Coverage</w:t>
            </w:r>
          </w:p>
        </w:tc>
        <w:tc>
          <w:tcPr>
            <w:tcW w:type="dxa" w:w="6840"/>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National-wide</w:t>
            </w:r>
          </w:p>
          <w:p>
            <w:r>
              <w:rPr>
                <w:b w:val="0"/>
                <w:i w:val="0"/>
                <w:sz w:val="22"/>
              </w:rPr>
              <w:t xml:space="preserve">☒ </w:t>
            </w:r>
            <w:r>
              <w:rPr>
                <w:b w:val="0"/>
                <w:i w:val="0"/>
                <w:sz w:val="20"/>
              </w:rPr>
              <w:t>Selected Area, please specify: Single physical retail store location (per Section 3.8 assumption); online storefront inventory synced from that same location</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2F2F2"/>
          </w:tcPr>
          <w:p>
            <w:r>
              <w:rPr>
                <w:b/>
                <w:i w:val="0"/>
                <w:sz w:val="20"/>
              </w:rPr>
              <w:t>Product / Service Terms and Conditions</w:t>
            </w:r>
          </w:p>
        </w:tc>
        <w:tc>
          <w:tcPr>
            <w:tcW w:type="dxa" w:w="6840"/>
            <w:tcBorders>
              <w:top w:val="single" w:sz="4" w:space="0" w:color="000000"/>
              <w:left w:val="single" w:sz="4" w:space="0" w:color="000000"/>
              <w:bottom w:val="single" w:sz="4" w:space="0" w:color="000000"/>
              <w:right w:val="single" w:sz="4" w:space="0" w:color="000000"/>
            </w:tcBorders>
          </w:tcPr>
          <w:p>
            <w:r>
              <w:rPr>
                <w:b/>
                <w:i w:val="0"/>
                <w:sz w:val="20"/>
              </w:rPr>
              <w:t xml:space="preserve">Customer restriction / limitation to purchase / register this product / service (if any): </w:t>
            </w:r>
            <w:r>
              <w:rPr>
                <w:b w:val="0"/>
                <w:i w:val="0"/>
                <w:sz w:val="20"/>
              </w:rPr>
              <w:t>Not applicable — internal tool; no customer purchase/registration restriction.</w:t>
            </w:r>
          </w:p>
          <w:p>
            <w:r>
              <w:rPr>
                <w:b/>
                <w:i w:val="0"/>
                <w:sz w:val="20"/>
              </w:rPr>
              <w:t xml:space="preserve">Eligible time period for customer to purchase / register this Product / Service (if any): </w:t>
            </w:r>
            <w:r>
              <w:rPr>
                <w:b w:val="0"/>
                <w:i w:val="0"/>
                <w:sz w:val="20"/>
              </w:rPr>
              <w:t>Not time-limited — operational on an ongoing basis from commercial launch (October 12, 2026) onward, with Phase 2 profitability reporting following December 7, 2026.</w:t>
            </w:r>
          </w:p>
          <w:p>
            <w:r>
              <w:rPr>
                <w:b/>
                <w:i w:val="0"/>
                <w:sz w:val="20"/>
              </w:rPr>
              <w:t xml:space="preserve">Product / Service compatibility and correlation with other Product / Service (if any): </w:t>
            </w:r>
            <w:r>
              <w:rPr>
                <w:b w:val="0"/>
                <w:i w:val="0"/>
                <w:sz w:val="20"/>
              </w:rPr>
              <w:t>Integrates directly with the existing point-of-sale and online storefront systems; does not introduce a separate customer-facing product.</w:t>
            </w:r>
          </w:p>
        </w:tc>
      </w:tr>
    </w:tbl>
    <w:p>
      <w:pPr>
        <w:pStyle w:val="Heading2"/>
        <w:spacing w:after="140" w:before="280"/>
      </w:pPr>
      <w:r>
        <w:rPr>
          <w:b/>
          <w:bCs/>
          <w:color w:val="1F3864"/>
        </w:rPr>
        <w:t xml:space="preserve">3.3 Business Process</w:t>
      </w:r>
    </w:p>
    <w:p>
      <w:pPr>
        <w:pStyle w:val="Heading3"/>
        <w:spacing w:after="120" w:before="220"/>
      </w:pPr>
      <w:r>
        <w:rPr>
          <w:b/>
          <w:bCs/>
          <w:color w:val="1F3864"/>
        </w:rPr>
        <w:t xml:space="preserve">3.3.1 Business Process Impact</w:t>
      </w:r>
    </w:p>
    <w:p>
      <w:pPr>
        <w:pStyle w:val="ListParagraph"/>
        <w:numPr>
          <w:ilvl w:val="0"/>
          <w:numId w:val="2"/>
        </w:numPr>
        <w:spacing w:after="100" w:line="276"/>
      </w:pPr>
      <w:r>
        <w:t xml:space="preserve">Existing process: a store associate physically walks to the shelf to verify stock; there is no real-time link between the POS system and the online storefront, and Finance currently cannot produce a straight answer on which products are profitable.</w:t>
      </w:r>
    </w:p>
    <w:p>
      <w:pPr>
        <w:pStyle w:val="ListParagraph"/>
        <w:numPr>
          <w:ilvl w:val="0"/>
          <w:numId w:val="2"/>
        </w:numPr>
        <w:spacing w:after="100" w:line="276"/>
      </w:pPr>
      <w:r>
        <w:t xml:space="preserve">Changed process: stock levels are visible in real time on a shared dashboard; manual shelf checks are replaced by a monthly 10% sample cycle-count audit to validate system accuracy; Finance's ad hoc profitability questions are replaced by a standing weekly report.</w:t>
      </w:r>
    </w:p>
    <w:p>
      <w:pPr>
        <w:pStyle w:val="Heading3"/>
        <w:spacing w:after="120" w:before="220"/>
      </w:pPr>
      <w:r>
        <w:rPr>
          <w:b/>
          <w:bCs/>
          <w:color w:val="1F3864"/>
        </w:rPr>
        <w:t xml:space="preserve">3.3.2 Description</w:t>
      </w:r>
    </w:p>
    <w:p>
      <w:pPr>
        <w:pStyle w:val="ListParagraph"/>
        <w:numPr>
          <w:ilvl w:val="0"/>
          <w:numId w:val="2"/>
        </w:numPr>
        <w:spacing w:after="100" w:line="276"/>
      </w:pPr>
      <w:r>
        <w:t xml:space="preserve">A sale or stock adjustment occurs at the POS or online storefront.</w:t>
      </w:r>
    </w:p>
    <w:p>
      <w:pPr>
        <w:pStyle w:val="ListParagraph"/>
        <w:numPr>
          <w:ilvl w:val="0"/>
          <w:numId w:val="2"/>
        </w:numPr>
        <w:spacing w:after="100" w:line="276"/>
      </w:pPr>
      <w:r>
        <w:t xml:space="preserve">The inventory system updates the shared stock count within 60 seconds (BR-01).</w:t>
      </w:r>
    </w:p>
    <w:p>
      <w:pPr>
        <w:pStyle w:val="ListParagraph"/>
        <w:numPr>
          <w:ilvl w:val="0"/>
          <w:numId w:val="2"/>
        </w:numPr>
        <w:spacing w:after="100" w:line="276"/>
      </w:pPr>
      <w:r>
        <w:t xml:space="preserve">The dashboard reflects the updated count; if in-store stock for a SKU reaches zero, it is automatically marked out of stock online (BR-02).</w:t>
      </w:r>
    </w:p>
    <w:p>
      <w:pPr>
        <w:pStyle w:val="ListParagraph"/>
        <w:numPr>
          <w:ilvl w:val="0"/>
          <w:numId w:val="2"/>
        </w:numPr>
        <w:spacing w:after="100" w:line="276"/>
      </w:pPr>
      <w:r>
        <w:t xml:space="preserve">If a SKU's quantity falls below its configured threshold, an automated alert is sent to the Inventory Manager (BR-04).</w:t>
      </w:r>
    </w:p>
    <w:p>
      <w:pPr>
        <w:pStyle w:val="ListParagraph"/>
        <w:numPr>
          <w:ilvl w:val="0"/>
          <w:numId w:val="2"/>
        </w:numPr>
        <w:spacing w:after="100" w:line="276"/>
      </w:pPr>
      <w:r>
        <w:t xml:space="preserve">The Inventory Manager reviews the alert and manually initiates a reorder or restock through the existing purchasing process.</w:t>
      </w:r>
    </w:p>
    <w:p>
      <w:pPr>
        <w:pStyle w:val="Heading3"/>
        <w:spacing w:after="120" w:before="220"/>
      </w:pPr>
      <w:r>
        <w:rPr>
          <w:b/>
          <w:bCs/>
          <w:color w:val="1F3864"/>
        </w:rPr>
        <w:t xml:space="preserve">3.3.3 Security</w:t>
      </w:r>
    </w:p>
    <w:p>
      <w:pPr>
        <w:pStyle w:val="ListParagraph"/>
        <w:numPr>
          <w:ilvl w:val="0"/>
          <w:numId w:val="2"/>
        </w:numPr>
        <w:spacing w:after="100" w:line="276"/>
      </w:pPr>
      <w:r>
        <w:t xml:space="preserve">Dashboard access is restricted to authorized staff through role-based login; general stock-level visibility is available to all store staff, while cost and margin data (BR-06) is restricted to Finance and the Owner roles only.</w:t>
      </w:r>
    </w:p>
    <w:p>
      <w:pPr>
        <w:pStyle w:val="ListParagraph"/>
        <w:numPr>
          <w:ilvl w:val="0"/>
          <w:numId w:val="2"/>
        </w:numPr>
        <w:spacing w:after="100" w:line="276"/>
      </w:pPr>
      <w:r>
        <w:t xml:space="preserve">The stock-adjustment audit log (BR-05) is retained for 2 years to support discrepancy investigation and loss-prevention review.</w:t>
      </w:r>
    </w:p>
    <w:p>
      <w:pPr>
        <w:pStyle w:val="Heading3"/>
        <w:spacing w:after="120" w:before="220"/>
      </w:pPr>
      <w:r>
        <w:rPr>
          <w:b/>
          <w:bCs/>
          <w:color w:val="1F3864"/>
        </w:rPr>
        <w:t xml:space="preserve">3.3.4 Organization and Policy</w:t>
      </w:r>
    </w:p>
    <w:p>
      <w:pPr>
        <w:spacing w:after="160" w:line="276"/>
        <w:jc w:val="both"/>
      </w:pPr>
      <w:r>
        <w:t xml:space="preserve">The Inventory Manager owns low-stock alert response and reorder decisions. The Store Manager owns the revised monthly 10% sample cycle-count audit that replaces full manual shelf checks. Finance owns the accuracy of the cost-of-goods-sold (COGS) feed that underpins the profitability report (BR-06) and is accountable for keeping it current.</w:t>
      </w:r>
    </w:p>
    <w:p>
      <w:pPr>
        <w:pStyle w:val="Heading3"/>
        <w:spacing w:after="120" w:before="220"/>
      </w:pPr>
      <w:r>
        <w:rPr>
          <w:b/>
          <w:bCs/>
          <w:color w:val="1F3864"/>
        </w:rPr>
        <w:t xml:space="preserve">3.3.5 Service Delivery Plan</w:t>
      </w:r>
    </w:p>
    <w:p>
      <w:pPr>
        <w:spacing w:after="160" w:line="276"/>
        <w:jc w:val="both"/>
      </w:pPr>
      <w:r>
        <w:t xml:space="preserve">Not applicable — this initiative is an enhancement to the existing point-of-sale and online storefront systems, not the delivery of a new application.</w:t>
      </w:r>
    </w:p>
    <w:p>
      <w:pPr>
        <w:pStyle w:val="Heading2"/>
        <w:spacing w:after="140" w:before="280"/>
      </w:pPr>
      <w:r>
        <w:rPr>
          <w:b/>
          <w:bCs/>
          <w:color w:val="1F3864"/>
        </w:rPr>
        <w:t xml:space="preserve">3.4 Complain Handling</w:t>
      </w:r>
    </w:p>
    <w:p>
      <w:pPr>
        <w:spacing w:after="160" w:line="276"/>
        <w:jc w:val="both"/>
      </w:pPr>
      <w:r>
        <w:t xml:space="preserve">If an overselling incident occurs despite the new safeguards, the affected customer is notified within 1 hour of the sync exception being detected (see 3.6), offered an expedited refund or a substitute product, and contacted directly by the Store Manager within 4 business hours. Each incident is logged as a “stockout event” in the same system used for BR-05 and reviewed monthly against the target set in Section 2.1.</w:t>
      </w:r>
    </w:p>
    <w:p>
      <w:pPr>
        <w:pStyle w:val="Heading2"/>
        <w:spacing w:after="140" w:before="280"/>
      </w:pPr>
      <w:r>
        <w:rPr>
          <w:b/>
          <w:bCs/>
          <w:color w:val="1F3864"/>
        </w:rPr>
        <w:t xml:space="preserve">3.5 Reporting</w:t>
      </w:r>
    </w:p>
    <w:p>
      <w:pPr>
        <w:pStyle w:val="ListParagraph"/>
        <w:numPr>
          <w:ilvl w:val="0"/>
          <w:numId w:val="2"/>
        </w:numPr>
        <w:spacing w:after="100" w:line="276"/>
      </w:pPr>
      <w:r>
        <w:t xml:space="preserve">Low-Stock &amp; Sync Exception Report: a daily automated summary emailed to the Inventory Manager and Store Manager, listing SKUs below threshold and any sync failures in the past 24 hours.</w:t>
      </w:r>
    </w:p>
    <w:p>
      <w:pPr>
        <w:pStyle w:val="ListParagraph"/>
        <w:numPr>
          <w:ilvl w:val="0"/>
          <w:numId w:val="2"/>
        </w:numPr>
        <w:spacing w:after="100" w:line="276"/>
      </w:pPr>
      <w:r>
        <w:t xml:space="preserve">Product Profitability Report: a weekly report, issued every Monday, distributed to Finance and the Owner, showing revenue, COGS, margin, and units sold per SKU, plus the slow-moving SKU flag list defined in BR-07.</w:t>
      </w:r>
    </w:p>
    <w:p>
      <w:pPr>
        <w:pStyle w:val="ListParagraph"/>
        <w:numPr>
          <w:ilvl w:val="0"/>
          <w:numId w:val="2"/>
        </w:numPr>
        <w:spacing w:after="100" w:line="276"/>
      </w:pPr>
      <w:r>
        <w:t xml:space="preserve">Stockout Incident Report: a monthly summary distributed to the Owner and Store Manager, showing the count and cost of overselling incidents in the prior month, benchmarked against the ≤2/year target defined in Section 2.1.</w:t>
      </w:r>
    </w:p>
    <w:p>
      <w:pPr>
        <w:pStyle w:val="Heading2"/>
        <w:spacing w:after="140" w:before="280"/>
      </w:pPr>
      <w:r>
        <w:rPr>
          <w:b/>
          <w:bCs/>
          <w:color w:val="1F3864"/>
        </w:rPr>
        <w:t xml:space="preserve">3.6 Monitoring</w:t>
      </w:r>
    </w:p>
    <w:p>
      <w:pPr>
        <w:spacing w:after="160" w:line="276"/>
        <w:jc w:val="both"/>
      </w:pPr>
      <w:r>
        <w:t xml:space="preserve">The sync process between the POS system and the online storefront is monitored continuously. An alert is sent to the Inventory Manager and IT/Systems support if the sync process fails or lags more than 5 minutes, so that a potential stock-discrepancy window can be caught before it results in an overselling incident.</w:t>
      </w:r>
    </w:p>
    <w:p>
      <w:pPr>
        <w:pStyle w:val="Heading2"/>
        <w:spacing w:after="140" w:before="280"/>
      </w:pPr>
      <w:r>
        <w:rPr>
          <w:b/>
          <w:bCs/>
          <w:color w:val="1F3864"/>
        </w:rPr>
        <w:t xml:space="preserve">3.7 Settlement Plan</w:t>
      </w:r>
    </w:p>
    <w:p>
      <w:pPr>
        <w:spacing w:after="160" w:line="276"/>
        <w:jc w:val="both"/>
      </w:pPr>
      <w:r>
        <w:t xml:space="preserve">Not applicable — no financial settlement between merchants or payment processors is involved in this initiative; it concerns inventory visibility and reporting, not payment processing.</w:t>
      </w:r>
    </w:p>
    <w:p>
      <w:pPr>
        <w:pStyle w:val="Heading2"/>
        <w:spacing w:after="140" w:before="280"/>
      </w:pPr>
      <w:r>
        <w:rPr>
          <w:b/>
          <w:bCs/>
          <w:color w:val="1F3864"/>
        </w:rPr>
        <w:t xml:space="preserve">3.8 Assumptions and Dependencies</w:t>
      </w:r>
    </w:p>
    <w:p>
      <w:pPr>
        <w:pStyle w:val="ListParagraph"/>
        <w:numPr>
          <w:ilvl w:val="0"/>
          <w:numId w:val="2"/>
        </w:numPr>
        <w:spacing w:after="100" w:line="276"/>
      </w:pPr>
      <w:r>
        <w:t xml:space="preserve">Assumes the current point-of-sale (POS) system supports a real-time API or webhook integration with the online storefront; to be confirmed by IT/Systems and the POS vendor during technical design.</w:t>
      </w:r>
    </w:p>
    <w:p>
      <w:pPr>
        <w:pStyle w:val="ListParagraph"/>
        <w:numPr>
          <w:ilvl w:val="0"/>
          <w:numId w:val="2"/>
        </w:numPr>
        <w:spacing w:after="100" w:line="276"/>
      </w:pPr>
      <w:r>
        <w:t xml:space="preserve">Assumes the baseline inventory accuracy rate (78%) and the 90-day slow-moving SKU threshold reflect current conditions; both should be re-validated against the full physical count planned ahead of Phase 1 go-live.</w:t>
      </w:r>
    </w:p>
    <w:p>
      <w:pPr>
        <w:pStyle w:val="ListParagraph"/>
        <w:numPr>
          <w:ilvl w:val="0"/>
          <w:numId w:val="2"/>
        </w:numPr>
        <w:spacing w:after="100" w:line="276"/>
      </w:pPr>
      <w:r>
        <w:t xml:space="preserve">Assumes Finance can provide an accurate, SKU-level cost-of-goods-sold (COGS) feed to support the profitability report (BR-06); the report's accuracy depends entirely on this feed being correct and kept current.</w:t>
      </w:r>
    </w:p>
    <w:p>
      <w:pPr>
        <w:pStyle w:val="ListParagraph"/>
        <w:numPr>
          <w:ilvl w:val="0"/>
          <w:numId w:val="2"/>
        </w:numPr>
        <w:spacing w:after="100" w:line="276"/>
      </w:pPr>
      <w:r>
        <w:t xml:space="preserve">Assumes a single physical retail store and one online storefront; if additional store locations exist, the real-time sync scope and the 1,240-SKU count would need to be revisited.</w:t>
      </w:r>
    </w:p>
    <w:p>
      <w:pPr>
        <w:pStyle w:val="ListParagraph"/>
        <w:numPr>
          <w:ilvl w:val="0"/>
          <w:numId w:val="2"/>
        </w:numPr>
        <w:spacing w:after="100" w:line="276"/>
      </w:pPr>
      <w:r>
        <w:t xml:space="preserve">Assumes the default low-stock threshold (5 units, BR-04) is appropriate across all SKUs; some product categories may need a different per-SKU minimum, to be set with the Inventory Manager during configuration.</w:t>
      </w:r>
    </w:p>
    <w:p>
      <w:pPr>
        <w:pStyle w:val="ListParagraph"/>
        <w:numPr>
          <w:ilvl w:val="0"/>
          <w:numId w:val="2"/>
        </w:numPr>
        <w:spacing w:after="100" w:line="276"/>
      </w:pPr>
      <w:r>
        <w:t xml:space="preserve">Assumes store staff availability for a one-time full physical inventory count (estimated at 3 staff-days across 1,240 SKUs) prior to go-live, to establish an accurate starting baseline.</w:t>
      </w:r>
    </w:p>
    <w:p>
      <w:pPr>
        <w:pStyle w:val="ListParagraph"/>
        <w:numPr>
          <w:ilvl w:val="0"/>
          <w:numId w:val="2"/>
        </w:numPr>
        <w:spacing w:after="100" w:line="276"/>
      </w:pPr>
      <w:r>
        <w:t xml:space="preserve">The Phase 2 profitability-reporting scope (BR-06, BR-07) is treated as lower priority per the Owner's own framing and is scheduled after Phase 1 (real-time sync and alerting) is live.</w:t>
      </w:r>
    </w:p>
    <w:p>
      <w:r>
        <w:br w:type="page"/>
      </w:r>
    </w:p>
    <w:p>
      <w:pPr>
        <w:pStyle w:val="Heading1"/>
        <w:spacing w:after="200" w:before="360"/>
      </w:pPr>
      <w:r>
        <w:rPr>
          <w:b/>
          <w:bCs/>
          <w:color w:val="1F3864"/>
        </w:rPr>
        <w:t xml:space="preserve">CHAPTER IV</w:t>
      </w:r>
    </w:p>
    <w:p>
      <w:pPr>
        <w:pStyle w:val="Heading1"/>
        <w:spacing w:after="200" w:before="360"/>
      </w:pPr>
      <w:r>
        <w:rPr>
          <w:b/>
          <w:bCs/>
          <w:color w:val="1F3864"/>
        </w:rPr>
        <w:t xml:space="preserve">RELEASE PLAN</w:t>
      </w:r>
    </w:p>
    <w:p>
      <w:pPr>
        <w:pStyle w:val="Heading2"/>
        <w:spacing w:after="140" w:before="280"/>
      </w:pPr>
      <w:r>
        <w:rPr>
          <w:b/>
          <w:bCs/>
          <w:color w:val="1F3864"/>
        </w:rPr>
        <w:t xml:space="preserve">4.1 Target Ready for Service</w:t>
      </w:r>
    </w:p>
    <w:p>
      <w:pPr>
        <w:spacing w:after="160" w:line="276"/>
        <w:jc w:val="both"/>
      </w:pPr>
      <w:r>
        <w:t xml:space="preserve">October 5, 2026 — completion of POS/online storefront integration testing and the full physical inventory baseline count, ready for the Phase 1a pilot.</w:t>
      </w:r>
    </w:p>
    <w:p>
      <w:pPr>
        <w:pStyle w:val="Heading2"/>
        <w:spacing w:after="140" w:before="280"/>
      </w:pPr>
      <w:r>
        <w:rPr>
          <w:b/>
          <w:bCs/>
          <w:color w:val="1F3864"/>
        </w:rPr>
        <w:t xml:space="preserve">4.2 Commercial Launch</w:t>
      </w:r>
    </w:p>
    <w:p>
      <w:pPr>
        <w:spacing w:after="160" w:line="276"/>
        <w:jc w:val="both"/>
      </w:pPr>
      <w:r>
        <w:t xml:space="preserve">October 12, 2026 — full store-wide launch across all 1,240 active SKUs, following successful completion of the Phase 1a pilot (October 5–11). Phase 2 (profitability reporting) is targeted for December 7, 2026.</w:t>
      </w:r>
    </w:p>
    <w:p>
      <w:pPr>
        <w:pStyle w:val="Heading2"/>
        <w:spacing w:after="140" w:before="280"/>
      </w:pPr>
      <w:r>
        <w:rPr>
          <w:b/>
          <w:bCs/>
          <w:color w:val="1F3864"/>
        </w:rPr>
        <w:t xml:space="preserve">4.3 Internal Socialization Plan</w:t>
      </w:r>
    </w:p>
    <w:p>
      <w:pPr>
        <w:spacing w:after="160" w:line="276"/>
        <w:jc w:val="both"/>
      </w:pPr>
      <w:r>
        <w:t xml:space="preserve">Store staff and the Inventory Manager will be trained during the week of September 28, 2026 on the new dashboard, the low-stock alert-response process, and the revised monthly cycle-count procedure. Finance will be briefed on the profitability report format during the week of November 23, 2026, ahead of the Phase 2 launch.</w:t>
      </w:r>
    </w:p>
    <w:p>
      <w:pPr>
        <w:pStyle w:val="Heading2"/>
        <w:spacing w:after="140" w:before="280"/>
      </w:pPr>
      <w:r>
        <w:rPr>
          <w:b/>
          <w:bCs/>
          <w:color w:val="1F3864"/>
        </w:rPr>
        <w:t xml:space="preserve">4.4 Rollout Scenario</w:t>
      </w:r>
    </w:p>
    <w:p>
      <w:pPr>
        <w:pStyle w:val="ListParagraph"/>
        <w:numPr>
          <w:ilvl w:val="0"/>
          <w:numId w:val="2"/>
        </w:numPr>
        <w:spacing w:after="100" w:line="276"/>
      </w:pPr>
      <w:r>
        <w:t xml:space="preserve">Phase 1a (Pilot): October 5–11, 2026 — real-time sync and low-stock alerting enabled for the 200 highest-velocity SKUs, which account for the majority of past overselling incidents.</w:t>
      </w:r>
    </w:p>
    <w:p>
      <w:pPr>
        <w:pStyle w:val="ListParagraph"/>
        <w:numPr>
          <w:ilvl w:val="0"/>
          <w:numId w:val="2"/>
        </w:numPr>
        <w:spacing w:after="100" w:line="276"/>
      </w:pPr>
      <w:r>
        <w:t xml:space="preserve">Phase 1b (Full Rollout): October 12, 2026 — expand to all 1,240 active SKUs store-wide.</w:t>
      </w:r>
    </w:p>
    <w:p>
      <w:pPr>
        <w:pStyle w:val="ListParagraph"/>
        <w:numPr>
          <w:ilvl w:val="0"/>
          <w:numId w:val="2"/>
        </w:numPr>
        <w:spacing w:after="100" w:line="276"/>
      </w:pPr>
      <w:r>
        <w:t xml:space="preserve">Phase 2 (Profitability Reporting): targeted for December 7, 2026 — the weekly profitability and slow-moving-stock report goes live for Finance and the Owner.</w:t>
      </w:r>
    </w:p>
    <w:p>
      <w:r>
        <w:br w:type="page"/>
      </w:r>
    </w:p>
    <w:p>
      <w:pPr>
        <w:pStyle w:val="Heading1"/>
        <w:spacing w:after="200" w:before="360"/>
      </w:pPr>
      <w:r>
        <w:rPr>
          <w:b/>
          <w:bCs/>
          <w:color w:val="1F3864"/>
        </w:rPr>
        <w:t xml:space="preserve">CHAPTER V</w:t>
      </w:r>
    </w:p>
    <w:p>
      <w:pPr>
        <w:pStyle w:val="Heading1"/>
        <w:spacing w:after="200" w:before="360"/>
      </w:pPr>
      <w:r>
        <w:rPr>
          <w:b/>
          <w:bCs/>
          <w:color w:val="1F3864"/>
        </w:rPr>
        <w:t xml:space="preserve">RETIREMENT PLAN &amp; SIGNOFF</w:t>
      </w:r>
    </w:p>
    <w:p>
      <w:pPr>
        <w:pStyle w:val="Heading2"/>
        <w:spacing w:after="140" w:before="280"/>
      </w:pPr>
      <w:r>
        <w:rPr>
          <w:b/>
          <w:bCs/>
          <w:color w:val="1F3864"/>
        </w:rPr>
        <w:t xml:space="preserve">5.1 Product / Service Retirement Plan</w:t>
      </w:r>
    </w:p>
    <w:p>
      <w:pPr>
        <w:spacing w:after="160" w:line="276"/>
        <w:jc w:val="both"/>
      </w:pPr>
      <w:r>
        <w:t xml:space="preserve">The manual, walk-the-shelf stock-check process is retired for all SKUs covered by Phase 1b, effective October 12, 2026, and replaced by the automated dashboard and the monthly 10% sample cycle-count audit described in 3.3.1 and 3.3.4. No product or customer-facing service is being retired; this is a retirement of an internal manual process.</w:t>
      </w:r>
    </w:p>
    <w:p>
      <w:pPr>
        <w:pStyle w:val="Heading2"/>
        <w:spacing w:after="140" w:before="280"/>
      </w:pPr>
      <w:r>
        <w:rPr>
          <w:b/>
          <w:bCs/>
          <w:color w:val="1F3864"/>
        </w:rPr>
        <w:t xml:space="preserve">5.2 Document Signoff</w:t>
      </w:r>
    </w:p>
    <w:p>
      <w:pPr>
        <w:spacing w:after="160" w:line="276"/>
        <w:jc w:val="both"/>
      </w:pPr>
      <w:r>
        <w:t xml:space="preserve">By signing this document, the stakeholders below confirm their agreement with the scope, business requirements, and workflow defined in this Business Requirements Document (BRD).</w:t>
      </w:r>
    </w:p>
    <w:p>
      <w:pPr>
        <w:spacing w:after="120" w:before="120"/>
      </w:pPr>
      <w:r>
        <w:rPr>
          <w:b/>
          <w:bCs/>
          <w:i/>
          <w:iCs/>
          <w:sz w:val="20"/>
          <w:szCs w:val="20"/>
        </w:rPr>
        <w:t xml:space="preserve">Table 5.1  Document Signoff Matrix</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400"/>
        <w:gridCol w:w="1600"/>
        <w:gridCol w:w="1500"/>
      </w:tblGrid>
      <w:tr>
        <w:trPr>
          <w:tblHeader/>
        </w:trPr>
        <w:tc>
          <w:tcPr>
            <w:tcW w:type="dxa" w:w="1900"/>
            <w:shd w:fill="D9E2F3" w:color="auto" w:val="clear"/>
            <w:tcMar>
              <w:top w:type="dxa" w:w="100"/>
              <w:left w:type="dxa" w:w="120"/>
              <w:bottom w:type="dxa" w:w="100"/>
              <w:right w:type="dxa" w:w="120"/>
            </w:tcMar>
          </w:tcPr>
          <w:p>
            <w:pPr>
              <w:jc w:val="center"/>
            </w:pPr>
            <w:r>
              <w:rPr>
                <w:b/>
                <w:bCs/>
                <w:sz w:val="20"/>
                <w:szCs w:val="20"/>
              </w:rPr>
              <w:t xml:space="preserve">Role</w:t>
            </w:r>
          </w:p>
        </w:tc>
        <w:tc>
          <w:tcPr>
            <w:tcW w:type="dxa" w:w="2400"/>
            <w:shd w:fill="D9E2F3" w:color="auto" w:val="clear"/>
            <w:tcMar>
              <w:top w:type="dxa" w:w="100"/>
              <w:left w:type="dxa" w:w="120"/>
              <w:bottom w:type="dxa" w:w="100"/>
              <w:right w:type="dxa" w:w="120"/>
            </w:tcMar>
          </w:tcPr>
          <w:p>
            <w:pPr>
              <w:jc w:val="center"/>
            </w:pPr>
            <w:r>
              <w:rPr>
                <w:b/>
                <w:bCs/>
                <w:sz w:val="20"/>
                <w:szCs w:val="20"/>
              </w:rPr>
              <w:t xml:space="preserve">Name</w:t>
            </w:r>
          </w:p>
        </w:tc>
        <w:tc>
          <w:tcPr>
            <w:tcW w:type="dxa" w:w="2400"/>
            <w:shd w:fill="D9E2F3" w:color="auto" w:val="clear"/>
            <w:tcMar>
              <w:top w:type="dxa" w:w="100"/>
              <w:left w:type="dxa" w:w="120"/>
              <w:bottom w:type="dxa" w:w="100"/>
              <w:right w:type="dxa" w:w="120"/>
            </w:tcMar>
          </w:tcPr>
          <w:p>
            <w:pPr>
              <w:jc w:val="center"/>
            </w:pPr>
            <w:r>
              <w:rPr>
                <w:b/>
                <w:bCs/>
                <w:sz w:val="20"/>
                <w:szCs w:val="20"/>
              </w:rPr>
              <w:t xml:space="preserve">Title</w:t>
            </w:r>
          </w:p>
        </w:tc>
        <w:tc>
          <w:tcPr>
            <w:tcW w:type="dxa" w:w="1600"/>
            <w:shd w:fill="D9E2F3" w:color="auto" w:val="clear"/>
            <w:tcMar>
              <w:top w:type="dxa" w:w="100"/>
              <w:left w:type="dxa" w:w="120"/>
              <w:bottom w:type="dxa" w:w="100"/>
              <w:right w:type="dxa" w:w="120"/>
            </w:tcMar>
          </w:tcPr>
          <w:p>
            <w:pPr>
              <w:jc w:val="center"/>
            </w:pPr>
            <w:r>
              <w:rPr>
                <w:b/>
                <w:bCs/>
                <w:sz w:val="20"/>
                <w:szCs w:val="20"/>
              </w:rPr>
              <w:t xml:space="preserve">Status</w:t>
            </w:r>
          </w:p>
        </w:tc>
        <w:tc>
          <w:tcPr>
            <w:tcW w:type="dxa" w:w="1500"/>
            <w:shd w:fill="D9E2F3" w:color="auto" w:val="clear"/>
            <w:tcMar>
              <w:top w:type="dxa" w:w="100"/>
              <w:left w:type="dxa" w:w="120"/>
              <w:bottom w:type="dxa" w:w="100"/>
              <w:right w:type="dxa" w:w="120"/>
            </w:tcMar>
          </w:tcPr>
          <w:p>
            <w:pPr>
              <w:jc w:val="center"/>
            </w:pPr>
            <w:r>
              <w:rPr>
                <w:b/>
                <w:bCs/>
                <w:sz w:val="20"/>
                <w:szCs w:val="20"/>
              </w:rPr>
              <w:t xml:space="preserve">Date</w:t>
            </w:r>
          </w:p>
        </w:tc>
      </w:tr>
      <w:tr>
        <w:tc>
          <w:tcPr>
            <w:tcW w:type="dxa" w:w="1900"/>
            <w:tcMar>
              <w:top w:type="dxa" w:w="100"/>
              <w:left w:type="dxa" w:w="120"/>
              <w:bottom w:type="dxa" w:w="100"/>
              <w:right w:type="dxa" w:w="120"/>
            </w:tcMar>
          </w:tcPr>
          <w:p>
            <w:pPr>
              <w:jc w:val="left"/>
            </w:pPr>
            <w:r>
              <w:rPr>
                <w:b w:val="false"/>
                <w:bCs w:val="false"/>
                <w:sz w:val="20"/>
                <w:szCs w:val="20"/>
              </w:rPr>
              <w:t xml:space="preserve">Business Owner</w:t>
            </w:r>
          </w:p>
        </w:tc>
        <w:tc>
          <w:tcPr>
            <w:tcW w:type="dxa" w:w="2400"/>
            <w:tcMar>
              <w:top w:type="dxa" w:w="100"/>
              <w:left w:type="dxa" w:w="120"/>
              <w:bottom w:type="dxa" w:w="100"/>
              <w:right w:type="dxa" w:w="120"/>
            </w:tcMar>
          </w:tcPr>
          <w:p>
            <w:pPr>
              <w:jc w:val="center"/>
            </w:pPr>
            <w:r>
              <w:rPr>
                <w:b w:val="false"/>
                <w:bCs w:val="false"/>
                <w:sz w:val="20"/>
                <w:szCs w:val="20"/>
              </w:rPr>
              <w:t xml:space="preserve"> </w:t>
            </w:r>
          </w:p>
        </w:tc>
        <w:tc>
          <w:tcPr>
            <w:tcW w:type="dxa" w:w="2400"/>
            <w:tcMar>
              <w:top w:type="dxa" w:w="100"/>
              <w:left w:type="dxa" w:w="120"/>
              <w:bottom w:type="dxa" w:w="100"/>
              <w:right w:type="dxa" w:w="120"/>
            </w:tcMar>
          </w:tcPr>
          <w:p>
            <w:pPr>
              <w:jc w:val="center"/>
            </w:pPr>
            <w:r>
              <w:rPr>
                <w:b w:val="false"/>
                <w:bCs w:val="false"/>
                <w:sz w:val="20"/>
                <w:szCs w:val="20"/>
              </w:rPr>
              <w:t xml:space="preserve">Owner</w:t>
            </w:r>
          </w:p>
        </w:tc>
        <w:tc>
          <w:tcPr>
            <w:tcW w:type="dxa" w:w="1600"/>
            <w:tcMar>
              <w:top w:type="dxa" w:w="100"/>
              <w:left w:type="dxa" w:w="120"/>
              <w:bottom w:type="dxa" w:w="100"/>
              <w:right w:type="dxa" w:w="120"/>
            </w:tcMar>
          </w:tcPr>
          <w:p>
            <w:pPr>
              <w:jc w:val="center"/>
            </w:pPr>
            <w:r>
              <w:rPr>
                <w:b w:val="false"/>
                <w:bCs w:val="false"/>
                <w:sz w:val="20"/>
                <w:szCs w:val="20"/>
              </w:rPr>
              <w:t xml:space="preserve">Pending Approval</w:t>
            </w:r>
          </w:p>
        </w:tc>
        <w:tc>
          <w:tcPr>
            <w:tcW w:type="dxa" w:w="1500"/>
            <w:tcMar>
              <w:top w:type="dxa" w:w="100"/>
              <w:left w:type="dxa" w:w="120"/>
              <w:bottom w:type="dxa" w:w="100"/>
              <w:right w:type="dxa" w:w="120"/>
            </w:tcMar>
          </w:tcPr>
          <w:p>
            <w:pPr>
              <w:jc w:val="center"/>
            </w:pPr>
            <w:r>
              <w:rPr>
                <w:b w:val="false"/>
                <w:bCs w:val="false"/>
                <w:sz w:val="20"/>
                <w:szCs w:val="20"/>
              </w:rPr>
              <w:t xml:space="preserve"> </w:t>
            </w:r>
          </w:p>
        </w:tc>
      </w:tr>
      <w:tr>
        <w:tc>
          <w:tcPr>
            <w:tcW w:type="dxa" w:w="1900"/>
            <w:tcMar>
              <w:top w:type="dxa" w:w="100"/>
              <w:left w:type="dxa" w:w="120"/>
              <w:bottom w:type="dxa" w:w="100"/>
              <w:right w:type="dxa" w:w="120"/>
            </w:tcMar>
          </w:tcPr>
          <w:p>
            <w:pPr>
              <w:jc w:val="left"/>
            </w:pPr>
            <w:r>
              <w:rPr>
                <w:b w:val="false"/>
                <w:bCs w:val="false"/>
                <w:sz w:val="20"/>
                <w:szCs w:val="20"/>
              </w:rPr>
              <w:t xml:space="preserve">Store Operations Lead</w:t>
            </w:r>
          </w:p>
        </w:tc>
        <w:tc>
          <w:tcPr>
            <w:tcW w:type="dxa" w:w="2400"/>
            <w:tcMar>
              <w:top w:type="dxa" w:w="100"/>
              <w:left w:type="dxa" w:w="120"/>
              <w:bottom w:type="dxa" w:w="100"/>
              <w:right w:type="dxa" w:w="120"/>
            </w:tcMar>
          </w:tcPr>
          <w:p>
            <w:pPr>
              <w:jc w:val="center"/>
            </w:pPr>
            <w:r>
              <w:rPr>
                <w:b w:val="false"/>
                <w:bCs w:val="false"/>
                <w:sz w:val="20"/>
                <w:szCs w:val="20"/>
              </w:rPr>
              <w:t xml:space="preserve"> </w:t>
            </w:r>
          </w:p>
        </w:tc>
        <w:tc>
          <w:tcPr>
            <w:tcW w:type="dxa" w:w="2400"/>
            <w:tcMar>
              <w:top w:type="dxa" w:w="100"/>
              <w:left w:type="dxa" w:w="120"/>
              <w:bottom w:type="dxa" w:w="100"/>
              <w:right w:type="dxa" w:w="120"/>
            </w:tcMar>
          </w:tcPr>
          <w:p>
            <w:pPr>
              <w:jc w:val="center"/>
            </w:pPr>
            <w:r>
              <w:rPr>
                <w:b w:val="false"/>
                <w:bCs w:val="false"/>
                <w:sz w:val="20"/>
                <w:szCs w:val="20"/>
              </w:rPr>
              <w:t xml:space="preserve">Store Manager</w:t>
            </w:r>
          </w:p>
        </w:tc>
        <w:tc>
          <w:tcPr>
            <w:tcW w:type="dxa" w:w="1600"/>
            <w:tcMar>
              <w:top w:type="dxa" w:w="100"/>
              <w:left w:type="dxa" w:w="120"/>
              <w:bottom w:type="dxa" w:w="100"/>
              <w:right w:type="dxa" w:w="120"/>
            </w:tcMar>
          </w:tcPr>
          <w:p>
            <w:pPr>
              <w:jc w:val="center"/>
            </w:pPr>
            <w:r>
              <w:rPr>
                <w:b w:val="false"/>
                <w:bCs w:val="false"/>
                <w:sz w:val="20"/>
                <w:szCs w:val="20"/>
              </w:rPr>
              <w:t xml:space="preserve">Pending Approval</w:t>
            </w:r>
          </w:p>
        </w:tc>
        <w:tc>
          <w:tcPr>
            <w:tcW w:type="dxa" w:w="1500"/>
            <w:tcMar>
              <w:top w:type="dxa" w:w="100"/>
              <w:left w:type="dxa" w:w="120"/>
              <w:bottom w:type="dxa" w:w="100"/>
              <w:right w:type="dxa" w:w="120"/>
            </w:tcMar>
          </w:tcPr>
          <w:p>
            <w:pPr>
              <w:jc w:val="center"/>
            </w:pPr>
            <w:r>
              <w:rPr>
                <w:b w:val="false"/>
                <w:bCs w:val="false"/>
                <w:sz w:val="20"/>
                <w:szCs w:val="20"/>
              </w:rPr>
              <w:t xml:space="preserve"> </w:t>
            </w:r>
          </w:p>
        </w:tc>
      </w:tr>
      <w:tr>
        <w:tc>
          <w:tcPr>
            <w:tcW w:type="dxa" w:w="1900"/>
            <w:tcMar>
              <w:top w:type="dxa" w:w="100"/>
              <w:left w:type="dxa" w:w="120"/>
              <w:bottom w:type="dxa" w:w="100"/>
              <w:right w:type="dxa" w:w="120"/>
            </w:tcMar>
          </w:tcPr>
          <w:p>
            <w:pPr>
              <w:jc w:val="left"/>
            </w:pPr>
            <w:r>
              <w:rPr>
                <w:b w:val="false"/>
                <w:bCs w:val="false"/>
                <w:sz w:val="20"/>
                <w:szCs w:val="20"/>
              </w:rPr>
              <w:t xml:space="preserve">Finance Lead</w:t>
            </w:r>
          </w:p>
        </w:tc>
        <w:tc>
          <w:tcPr>
            <w:tcW w:type="dxa" w:w="2400"/>
            <w:tcMar>
              <w:top w:type="dxa" w:w="100"/>
              <w:left w:type="dxa" w:w="120"/>
              <w:bottom w:type="dxa" w:w="100"/>
              <w:right w:type="dxa" w:w="120"/>
            </w:tcMar>
          </w:tcPr>
          <w:p>
            <w:pPr>
              <w:jc w:val="center"/>
            </w:pPr>
            <w:r>
              <w:rPr>
                <w:b w:val="false"/>
                <w:bCs w:val="false"/>
                <w:sz w:val="20"/>
                <w:szCs w:val="20"/>
              </w:rPr>
              <w:t xml:space="preserve"> </w:t>
            </w:r>
          </w:p>
        </w:tc>
        <w:tc>
          <w:tcPr>
            <w:tcW w:type="dxa" w:w="2400"/>
            <w:tcMar>
              <w:top w:type="dxa" w:w="100"/>
              <w:left w:type="dxa" w:w="120"/>
              <w:bottom w:type="dxa" w:w="100"/>
              <w:right w:type="dxa" w:w="120"/>
            </w:tcMar>
          </w:tcPr>
          <w:p>
            <w:pPr>
              <w:jc w:val="center"/>
            </w:pPr>
            <w:r>
              <w:rPr>
                <w:b w:val="false"/>
                <w:bCs w:val="false"/>
                <w:sz w:val="20"/>
                <w:szCs w:val="20"/>
              </w:rPr>
              <w:t xml:space="preserve">Finance Manager</w:t>
            </w:r>
          </w:p>
        </w:tc>
        <w:tc>
          <w:tcPr>
            <w:tcW w:type="dxa" w:w="1600"/>
            <w:tcMar>
              <w:top w:type="dxa" w:w="100"/>
              <w:left w:type="dxa" w:w="120"/>
              <w:bottom w:type="dxa" w:w="100"/>
              <w:right w:type="dxa" w:w="120"/>
            </w:tcMar>
          </w:tcPr>
          <w:p>
            <w:pPr>
              <w:jc w:val="center"/>
            </w:pPr>
            <w:r>
              <w:rPr>
                <w:b w:val="false"/>
                <w:bCs w:val="false"/>
                <w:sz w:val="20"/>
                <w:szCs w:val="20"/>
              </w:rPr>
              <w:t xml:space="preserve">Pending Approval</w:t>
            </w:r>
          </w:p>
        </w:tc>
        <w:tc>
          <w:tcPr>
            <w:tcW w:type="dxa" w:w="1500"/>
            <w:tcMar>
              <w:top w:type="dxa" w:w="100"/>
              <w:left w:type="dxa" w:w="120"/>
              <w:bottom w:type="dxa" w:w="100"/>
              <w:right w:type="dxa" w:w="120"/>
            </w:tcMar>
          </w:tcPr>
          <w:p>
            <w:pPr>
              <w:jc w:val="center"/>
            </w:pPr>
            <w:r>
              <w:rPr>
                <w:b w:val="false"/>
                <w:bCs w:val="false"/>
                <w:sz w:val="20"/>
                <w:szCs w:val="20"/>
              </w:rPr>
              <w:t xml:space="preserve"> </w:t>
            </w:r>
          </w:p>
        </w:tc>
      </w:tr>
      <w:tr>
        <w:tc>
          <w:tcPr>
            <w:tcW w:type="dxa" w:w="1900"/>
            <w:tcMar>
              <w:top w:type="dxa" w:w="100"/>
              <w:left w:type="dxa" w:w="120"/>
              <w:bottom w:type="dxa" w:w="100"/>
              <w:right w:type="dxa" w:w="120"/>
            </w:tcMar>
          </w:tcPr>
          <w:p>
            <w:pPr>
              <w:jc w:val="left"/>
            </w:pPr>
            <w:r>
              <w:rPr>
                <w:b w:val="false"/>
                <w:bCs w:val="false"/>
                <w:sz w:val="20"/>
                <w:szCs w:val="20"/>
              </w:rPr>
              <w:t xml:space="preserve">IT / Systems Lead</w:t>
            </w:r>
          </w:p>
        </w:tc>
        <w:tc>
          <w:tcPr>
            <w:tcW w:type="dxa" w:w="2400"/>
            <w:tcMar>
              <w:top w:type="dxa" w:w="100"/>
              <w:left w:type="dxa" w:w="120"/>
              <w:bottom w:type="dxa" w:w="100"/>
              <w:right w:type="dxa" w:w="120"/>
            </w:tcMar>
          </w:tcPr>
          <w:p>
            <w:pPr>
              <w:jc w:val="center"/>
            </w:pPr>
            <w:r>
              <w:rPr>
                <w:b w:val="false"/>
                <w:bCs w:val="false"/>
                <w:sz w:val="20"/>
                <w:szCs w:val="20"/>
              </w:rPr>
              <w:t xml:space="preserve"> </w:t>
            </w:r>
          </w:p>
        </w:tc>
        <w:tc>
          <w:tcPr>
            <w:tcW w:type="dxa" w:w="2400"/>
            <w:tcMar>
              <w:top w:type="dxa" w:w="100"/>
              <w:left w:type="dxa" w:w="120"/>
              <w:bottom w:type="dxa" w:w="100"/>
              <w:right w:type="dxa" w:w="120"/>
            </w:tcMar>
          </w:tcPr>
          <w:p>
            <w:pPr>
              <w:jc w:val="center"/>
            </w:pPr>
            <w:r>
              <w:rPr>
                <w:b w:val="false"/>
                <w:bCs w:val="false"/>
                <w:sz w:val="20"/>
                <w:szCs w:val="20"/>
              </w:rPr>
              <w:t xml:space="preserve">IT Manager</w:t>
            </w:r>
          </w:p>
        </w:tc>
        <w:tc>
          <w:tcPr>
            <w:tcW w:type="dxa" w:w="1600"/>
            <w:tcMar>
              <w:top w:type="dxa" w:w="100"/>
              <w:left w:type="dxa" w:w="120"/>
              <w:bottom w:type="dxa" w:w="100"/>
              <w:right w:type="dxa" w:w="120"/>
            </w:tcMar>
          </w:tcPr>
          <w:p>
            <w:pPr>
              <w:jc w:val="center"/>
            </w:pPr>
            <w:r>
              <w:rPr>
                <w:b w:val="false"/>
                <w:bCs w:val="false"/>
                <w:sz w:val="20"/>
                <w:szCs w:val="20"/>
              </w:rPr>
              <w:t xml:space="preserve">Pending Approval</w:t>
            </w:r>
          </w:p>
        </w:tc>
        <w:tc>
          <w:tcPr>
            <w:tcW w:type="dxa" w:w="1500"/>
            <w:tcMar>
              <w:top w:type="dxa" w:w="100"/>
              <w:left w:type="dxa" w:w="120"/>
              <w:bottom w:type="dxa" w:w="100"/>
              <w:right w:type="dxa" w:w="120"/>
            </w:tcMar>
          </w:tcPr>
          <w:p>
            <w:pPr>
              <w:jc w:val="center"/>
            </w:pPr>
            <w:r>
              <w:rPr>
                <w:b w:val="false"/>
                <w:bCs w:val="false"/>
                <w:sz w:val="20"/>
                <w:szCs w:val="20"/>
              </w:rPr>
              <w:t xml:space="preserve"> </w:t>
            </w:r>
          </w:p>
        </w:tc>
      </w:tr>
      <w:tr>
        <w:tc>
          <w:tcPr>
            <w:tcW w:type="dxa" w:w="1900"/>
            <w:tcMar>
              <w:top w:type="dxa" w:w="100"/>
              <w:left w:type="dxa" w:w="120"/>
              <w:bottom w:type="dxa" w:w="100"/>
              <w:right w:type="dxa" w:w="120"/>
            </w:tcMar>
          </w:tcPr>
          <w:p>
            <w:pPr>
              <w:jc w:val="left"/>
            </w:pPr>
            <w:r>
              <w:rPr>
                <w:b w:val="false"/>
                <w:bCs w:val="false"/>
                <w:sz w:val="20"/>
                <w:szCs w:val="20"/>
              </w:rPr>
              <w:t xml:space="preserve">Inventory Manager</w:t>
            </w:r>
          </w:p>
        </w:tc>
        <w:tc>
          <w:tcPr>
            <w:tcW w:type="dxa" w:w="2400"/>
            <w:tcMar>
              <w:top w:type="dxa" w:w="100"/>
              <w:left w:type="dxa" w:w="120"/>
              <w:bottom w:type="dxa" w:w="100"/>
              <w:right w:type="dxa" w:w="120"/>
            </w:tcMar>
          </w:tcPr>
          <w:p>
            <w:pPr>
              <w:jc w:val="center"/>
            </w:pPr>
            <w:r>
              <w:rPr>
                <w:b w:val="false"/>
                <w:bCs w:val="false"/>
                <w:sz w:val="20"/>
                <w:szCs w:val="20"/>
              </w:rPr>
              <w:t xml:space="preserve"> </w:t>
            </w:r>
          </w:p>
        </w:tc>
        <w:tc>
          <w:tcPr>
            <w:tcW w:type="dxa" w:w="2400"/>
            <w:tcMar>
              <w:top w:type="dxa" w:w="100"/>
              <w:left w:type="dxa" w:w="120"/>
              <w:bottom w:type="dxa" w:w="100"/>
              <w:right w:type="dxa" w:w="120"/>
            </w:tcMar>
          </w:tcPr>
          <w:p>
            <w:pPr>
              <w:jc w:val="center"/>
            </w:pPr>
            <w:r>
              <w:rPr>
                <w:b w:val="false"/>
                <w:bCs w:val="false"/>
                <w:sz w:val="20"/>
                <w:szCs w:val="20"/>
              </w:rPr>
              <w:t xml:space="preserve">Inventory Manager</w:t>
            </w:r>
          </w:p>
        </w:tc>
        <w:tc>
          <w:tcPr>
            <w:tcW w:type="dxa" w:w="1600"/>
            <w:tcMar>
              <w:top w:type="dxa" w:w="100"/>
              <w:left w:type="dxa" w:w="120"/>
              <w:bottom w:type="dxa" w:w="100"/>
              <w:right w:type="dxa" w:w="120"/>
            </w:tcMar>
          </w:tcPr>
          <w:p>
            <w:pPr>
              <w:jc w:val="center"/>
            </w:pPr>
            <w:r>
              <w:rPr>
                <w:b w:val="false"/>
                <w:bCs w:val="false"/>
                <w:sz w:val="20"/>
                <w:szCs w:val="20"/>
              </w:rPr>
              <w:t xml:space="preserve">Pending Approval</w:t>
            </w:r>
          </w:p>
        </w:tc>
        <w:tc>
          <w:tcPr>
            <w:tcW w:type="dxa" w:w="1500"/>
            <w:tcMar>
              <w:top w:type="dxa" w:w="100"/>
              <w:left w:type="dxa" w:w="120"/>
              <w:bottom w:type="dxa" w:w="100"/>
              <w:right w:type="dxa" w:w="120"/>
            </w:tcMar>
          </w:tcPr>
          <w:p>
            <w:pPr>
              <w:jc w:val="center"/>
            </w:pPr>
            <w:r>
              <w:rPr>
                <w:b w:val="false"/>
                <w:bCs w:val="false"/>
                <w:sz w:val="20"/>
                <w:szCs w:val="20"/>
              </w:rPr>
              <w:t xml:space="preserve"> </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2026-07-30T04:18:04.850Z</dcterms:created>
  <dcterms:modified xsi:type="dcterms:W3CDTF">2026-07-30T04:18:04.850Z</dcterms:modified>
</cp:coreProperties>
</file>

<file path=docProps/custom.xml><?xml version="1.0" encoding="utf-8"?>
<Properties xmlns="http://schemas.openxmlformats.org/officeDocument/2006/custom-properties" xmlns:vt="http://schemas.openxmlformats.org/officeDocument/2006/docPropsVTypes"/>
</file>