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0"/>
          <w:szCs w:val="30"/>
        </w:rPr>
        <w:t xml:space="preserve">BUSINESS REQUIREMENTS DOCUMENT (BRD)</w:t>
      </w:r>
    </w:p>
    <w:p>
      <w:pPr>
        <w:spacing w:after="120"/>
        <w:jc w:val="center"/>
      </w:pPr>
      <w:r>
        <w:rPr>
          <w:b/>
          <w:bCs/>
          <w:sz w:val="22"/>
          <w:szCs w:val="22"/>
        </w:rPr>
        <w:t xml:space="preserve">DIGITAL LOAN APPLICATION, AUTOMATED PRE-SCREENING &amp; UNIFIED APPROVAL WORKFLOW</w:t>
      </w:r>
    </w:p>
    <w:p>
      <w:r>
        <w:br w:type="page"/>
      </w:r>
    </w:p>
    <w:p>
      <w:pPr>
        <w:pStyle w:val="Heading1"/>
        <w:spacing w:after="200" w:before="360"/>
      </w:pPr>
      <w:r>
        <w:rPr>
          <w:b/>
          <w:bCs/>
          <w:color w:val="1F3864"/>
        </w:rPr>
        <w:t xml:space="preserve">APPROVAL SHEET</w:t>
      </w:r>
    </w:p>
    <w:p>
      <w:pPr>
        <w:spacing w:after="120"/>
        <w:jc w:val="center"/>
      </w:pPr>
      <w:r>
        <w:rPr>
          <w:b/>
          <w:bCs/>
        </w:rPr>
        <w:t xml:space="preserve">BUSINESS REQUIREMENTS DOCUMENT (BRD)</w:t>
      </w:r>
    </w:p>
    <w:p>
      <w:pPr>
        <w:spacing w:after="120"/>
        <w:jc w:val="center"/>
      </w:pPr>
      <w:r>
        <w:rPr>
          <w:b/>
          <w:bCs/>
        </w:rPr>
        <w:t xml:space="preserve">DIGITAL LOAN APPLICATION, AUTOMATED PRE-SCREENING &amp; UNIFIED APPROVAL WORKFLOW</w:t>
      </w:r>
    </w:p>
    <w:p>
      <w:pPr>
        <w:spacing w:after="120"/>
        <w:jc w:val="center"/>
      </w:pPr>
      <w:r>
        <w:t xml:space="preserve">[City], July 30, 2026</w:t>
      </w:r>
    </w:p>
    <w:p>
      <w:pPr>
        <w:spacing w:after="200"/>
      </w:pPr>
    </w:p>
    <w:p>
      <w:pPr>
        <w:spacing w:after="120"/>
        <w:jc w:val="center"/>
      </w:pPr>
      <w:r>
        <w:rPr>
          <w:b/>
          <w:bCs/>
        </w:rPr>
        <w:t xml:space="preserve">Prepared by,</w:t>
      </w:r>
    </w:p>
    <w:p>
      <w:pPr>
        <w:spacing w:after="120"/>
        <w:jc w:val="center"/>
      </w:pPr>
      <w:r>
        <w:t xml:space="preserve">Business Analyst</w:t>
      </w:r>
    </w:p>
    <w:p>
      <w:pPr>
        <w:spacing w:after="120"/>
        <w:jc w:val="center"/>
      </w:pPr>
      <w:r>
        <w:rPr>
          <w:u w:val="single"/>
        </w:rPr>
        <w:t xml:space="preserve">[Business Analyst Name]</w:t>
      </w:r>
    </w:p>
    <w:p>
      <w:pPr>
        <w:spacing w:after="400"/>
      </w:pPr>
    </w:p>
    <w:tbl>
      <w:tblPr>
        <w:tblW w:type="dxa" w:w="9800"/>
        <w:tblBorders>
          <w:top w:val="none"/>
          <w:left w:val="none"/>
          <w:bottom w:val="none"/>
          <w:right w:val="none"/>
          <w:insideH w:val="none"/>
          <w:insideV w:val="none"/>
        </w:tblBorders>
      </w:tblPr>
      <w:tblGrid>
        <w:gridCol w:w="4900"/>
        <w:gridCol w:w="4900"/>
      </w:tblGrid>
      <w:tr>
        <w:tc>
          <w:tcPr>
            <w:tcW w:type="dxa" w:w="4900"/>
            <w:tcBorders>
              <w:top w:val="none"/>
              <w:left w:val="none"/>
              <w:bottom w:val="none"/>
              <w:right w:val="none"/>
            </w:tcBorders>
          </w:tcPr>
          <w:p>
            <w:pPr>
              <w:spacing w:after="60"/>
              <w:jc w:val="center"/>
            </w:pPr>
            <w:r>
              <w:rPr>
                <w:b/>
                <w:bCs/>
              </w:rPr>
              <w:t xml:space="preserve">Acknowledged by,</w:t>
            </w:r>
          </w:p>
          <w:p>
            <w:pPr>
              <w:spacing w:after="600"/>
              <w:jc w:val="center"/>
            </w:pPr>
            <w:r>
              <w:rPr>
                <w:b/>
                <w:bCs/>
              </w:rPr>
              <w:t xml:space="preserve">Credit / Risk Lead</w:t>
            </w:r>
          </w:p>
          <w:p>
            <w:pPr>
              <w:spacing w:after="40"/>
              <w:jc w:val="center"/>
            </w:pPr>
            <w:r>
              <w:rPr>
                <w:u w:val="single"/>
              </w:rPr>
              <w:t xml:space="preserve">(________________________)</w:t>
            </w:r>
          </w:p>
          <w:p>
            <w:pPr>
              <w:jc w:val="center"/>
            </w:pPr>
            <w:r>
              <w:t xml:space="preserve">Date:</w:t>
            </w:r>
          </w:p>
        </w:tc>
        <w:tc>
          <w:tcPr>
            <w:tcW w:type="dxa" w:w="4900"/>
            <w:tcBorders>
              <w:top w:val="none"/>
              <w:left w:val="none"/>
              <w:bottom w:val="none"/>
              <w:right w:val="none"/>
            </w:tcBorders>
          </w:tcPr>
          <w:p>
            <w:pPr>
              <w:spacing w:after="60"/>
              <w:jc w:val="center"/>
            </w:pPr>
            <w:r>
              <w:rPr>
                <w:b/>
                <w:bCs/>
              </w:rPr>
              <w:t xml:space="preserve">Acknowledged by,</w:t>
            </w:r>
          </w:p>
          <w:p>
            <w:pPr>
              <w:spacing w:after="600"/>
              <w:jc w:val="center"/>
            </w:pPr>
            <w:r>
              <w:rPr>
                <w:b/>
                <w:bCs/>
              </w:rPr>
              <w:t xml:space="preserve">IT / Systems Lead</w:t>
            </w:r>
          </w:p>
          <w:p>
            <w:pPr>
              <w:spacing w:after="40"/>
              <w:jc w:val="center"/>
            </w:pPr>
            <w:r>
              <w:rPr>
                <w:u w:val="single"/>
              </w:rPr>
              <w:t xml:space="preserve">(________________________)</w:t>
            </w:r>
          </w:p>
          <w:p>
            <w:pPr>
              <w:jc w:val="center"/>
            </w:pPr>
            <w:r>
              <w:t xml:space="preserve">Date:</w:t>
            </w:r>
          </w:p>
        </w:tc>
      </w:tr>
    </w:tbl>
    <w:p>
      <w:pPr>
        <w:spacing w:after="300"/>
      </w:pPr>
    </w:p>
    <w:p>
      <w:pPr>
        <w:spacing w:after="120"/>
        <w:jc w:val="center"/>
      </w:pPr>
      <w:r>
        <w:rPr>
          <w:b/>
          <w:bCs/>
        </w:rPr>
        <w:t xml:space="preserve">Approved by,</w:t>
      </w:r>
    </w:p>
    <w:p>
      <w:pPr>
        <w:spacing w:after="120"/>
        <w:jc w:val="center"/>
      </w:pPr>
      <w:r>
        <w:rPr>
          <w:b/>
          <w:bCs/>
        </w:rPr>
        <w:t xml:space="preserve">Head of Retail Lending</w:t>
      </w:r>
    </w:p>
    <w:p>
      <w:pPr>
        <w:spacing w:after="500"/>
      </w:pPr>
    </w:p>
    <w:p>
      <w:pPr>
        <w:spacing w:after="120"/>
        <w:jc w:val="center"/>
      </w:pPr>
      <w:r>
        <w:rPr>
          <w:u w:val="single"/>
        </w:rPr>
        <w:t xml:space="preserve">(________________________)</w:t>
      </w:r>
    </w:p>
    <w:p>
      <w:pPr>
        <w:spacing w:after="120"/>
        <w:jc w:val="center"/>
      </w:pPr>
      <w:r>
        <w:t xml:space="preserve">Date:</w:t>
      </w:r>
    </w:p>
    <w:p>
      <w:r>
        <w:br w:type="page"/>
      </w:r>
    </w:p>
    <w:p>
      <w:pPr>
        <w:pStyle w:val="Heading1"/>
        <w:spacing w:after="200" w:before="360"/>
      </w:pPr>
      <w:r>
        <w:rPr>
          <w:b/>
          <w:bCs/>
          <w:color w:val="1F3864"/>
        </w:rPr>
        <w:t xml:space="preserve">FOREWORD</w:t>
      </w:r>
    </w:p>
    <w:p>
      <w:pPr>
        <w:spacing w:after="160" w:line="276"/>
        <w:jc w:val="both"/>
      </w:pPr>
      <w:r>
        <w:t xml:space="preserve">This Business Requirements Document (BRD) has been prepared to formally define the business, functional, and process requirements for a digital loan application channel with automated eligibility pre-screening, a consolidated approval-officer review screen, automated applicant status notifications, and repeat-applicant detection.</w:t>
      </w:r>
    </w:p>
    <w:p>
      <w:pPr>
        <w:spacing w:after="160" w:line="276"/>
        <w:jc w:val="both"/>
      </w:pPr>
      <w:r>
        <w:t xml:space="preserve">Completion of this document would not have been possible without input and collaboration from several teams. The author wishes to thank:</w:t>
      </w:r>
    </w:p>
    <w:p>
      <w:pPr>
        <w:pStyle w:val="ListParagraph"/>
        <w:numPr>
          <w:ilvl w:val="0"/>
          <w:numId w:val="2"/>
        </w:numPr>
        <w:spacing w:after="100" w:line="276"/>
      </w:pPr>
      <w:r>
        <w:t xml:space="preserve">Approval Officers and Branch Operations, for describing the current in-branch, paper-based application process and its limitations.</w:t>
      </w:r>
    </w:p>
    <w:p>
      <w:pPr>
        <w:pStyle w:val="ListParagraph"/>
        <w:numPr>
          <w:ilvl w:val="0"/>
          <w:numId w:val="2"/>
        </w:numPr>
        <w:spacing w:after="100" w:line="276"/>
      </w:pPr>
      <w:r>
        <w:t xml:space="preserve">The Credit/Risk team, for input on eligibility pre-screening criteria and credit bureau data availability.</w:t>
      </w:r>
    </w:p>
    <w:p>
      <w:pPr>
        <w:pStyle w:val="ListParagraph"/>
        <w:numPr>
          <w:ilvl w:val="0"/>
          <w:numId w:val="2"/>
        </w:numPr>
        <w:spacing w:after="100" w:line="276"/>
      </w:pPr>
      <w:r>
        <w:t xml:space="preserve">IT/Systems and Compliance, for input on the technical and regulatory feasibility of a digital application channel and automated credit bureau integration.</w:t>
      </w:r>
    </w:p>
    <w:p>
      <w:pPr>
        <w:spacing w:after="120"/>
        <w:jc w:val="center"/>
      </w:pPr>
      <w:r>
        <w:t xml:space="preserve">[City], July 30, 2026</w:t>
      </w:r>
    </w:p>
    <w:p>
      <w:pPr>
        <w:spacing w:after="120"/>
        <w:jc w:val="center"/>
      </w:pPr>
      <w:r>
        <w:rPr>
          <w:b/>
          <w:bCs/>
        </w:rPr>
        <w:t xml:space="preserve">[Business Analyst Name]</w:t>
      </w:r>
    </w:p>
    <w:p>
      <w:r>
        <w:br w:type="page"/>
      </w:r>
    </w:p>
    <w:p>
      <w:pPr>
        <w:pStyle w:val="Heading1"/>
        <w:spacing w:after="200" w:before="360"/>
      </w:pPr>
      <w:r>
        <w:rPr>
          <w:b/>
          <w:bCs/>
          <w:color w:val="1F3864"/>
        </w:rPr>
        <w:t xml:space="preserve">ABSTRACT</w:t>
      </w:r>
    </w:p>
    <w:p>
      <w:pPr>
        <w:spacing w:after="160" w:line="276"/>
        <w:jc w:val="both"/>
      </w:pPr>
      <w:r>
        <w:t xml:space="preserve">Loan applications today are submitted exclusively in-branch on paper, requiring an average visit of approximately 55 minutes; a sample of 120 walk-in customers who left without completing an application found 68% cited the time and paperwork required. Every one of the current 320 monthly applications reaches a human approval officer with no upfront eligibility check, even though 22% are ultimately found ineligible after manual review. Officers currently reference three separate systems to review a single application, averaging 42 minutes per review, and applicants have no way to check status other than calling — generating 340 status-inquiry calls per month. A sample review of 200 rejected applications also found that 14% of rejected applicants reapplied within 6 months without the reviewing officer being aware of the earlier rejection.</w:t>
      </w:r>
    </w:p>
    <w:p>
      <w:pPr>
        <w:spacing w:after="160" w:line="276"/>
        <w:jc w:val="both"/>
      </w:pPr>
      <w:r>
        <w:t xml:space="preserve">This BRD defines requirements for a digital (mobile/web) application channel, an automated eligibility pre-screen including a credit bureau check, a single consolidated review screen for approval officers, automated applicant status notifications, and identity-based repeat-applicant detection. Modeling in Section 2.2 projects approximately $77,900 in combined annual benefit: approximately $51,460 from approval-officer labor savings, approximately $3,920 from reduced call-center volume, and approximately $22,500 from avoided credit losses on previously-undetected repeat applicants, alongside a projected reduction in average time-to-decision from 6.5 to 1.5 business days.</w:t>
      </w:r>
    </w:p>
    <w:p>
      <w:pPr>
        <w:spacing w:after="160" w:line="276"/>
        <w:jc w:val="both"/>
      </w:pPr>
      <w:r>
        <w:rPr>
          <w:i/>
          <w:iCs/>
        </w:rPr>
        <w:t xml:space="preserve">Keywords: Digital Loan Application, Credit Pre-Screening, Approval Workflow, Applicant Status Notification, Repeat Applicant Detection, Business Requirements Document (BRD).</w:t>
      </w:r>
    </w:p>
    <w:p>
      <w:r>
        <w:br w:type="page"/>
      </w:r>
    </w:p>
    <w:p>
      <w:pPr>
        <w:pStyle w:val="Heading1"/>
        <w:spacing w:after="200" w:before="360"/>
      </w:pPr>
      <w:r>
        <w:rPr>
          <w:b/>
          <w:bCs/>
          <w:color w:val="1F3864"/>
        </w:rPr>
        <w:t xml:space="preserve">TABLE OF CONTENTS</w:t>
      </w:r>
    </w:p>
    <w:p>
      <w:pPr>
        <w:tabs>
          <w:tab w:val="right" w:pos="9026" w:leader="dot"/>
        </w:tabs>
        <w:spacing w:after="80"/>
        <w:ind w:left="0"/>
      </w:pPr>
      <w:r>
        <w:rPr>
          <w:b/>
          <w:bCs/>
        </w:rPr>
        <w:t xml:space="preserve">APPROVAL SHEET	2</w:t>
      </w:r>
    </w:p>
    <w:p>
      <w:pPr>
        <w:tabs>
          <w:tab w:val="right" w:pos="9026" w:leader="dot"/>
        </w:tabs>
        <w:spacing w:after="80"/>
        <w:ind w:left="0"/>
      </w:pPr>
      <w:r>
        <w:rPr>
          <w:b/>
          <w:bCs/>
        </w:rPr>
        <w:t xml:space="preserve">FOREWORD	3</w:t>
      </w:r>
    </w:p>
    <w:p>
      <w:pPr>
        <w:tabs>
          <w:tab w:val="right" w:pos="9026" w:leader="dot"/>
        </w:tabs>
        <w:spacing w:after="80"/>
        <w:ind w:left="0"/>
      </w:pPr>
      <w:r>
        <w:rPr>
          <w:b/>
          <w:bCs/>
        </w:rPr>
        <w:t xml:space="preserve">ABSTRACT	4</w:t>
      </w:r>
    </w:p>
    <w:p>
      <w:pPr>
        <w:tabs>
          <w:tab w:val="right" w:pos="9026" w:leader="dot"/>
        </w:tabs>
        <w:spacing w:after="80"/>
        <w:ind w:left="0"/>
      </w:pPr>
      <w:r>
        <w:rPr>
          <w:b/>
          <w:bCs/>
        </w:rPr>
        <w:t xml:space="preserve">TABLE OF CONTENTS	5</w:t>
      </w:r>
    </w:p>
    <w:p>
      <w:pPr>
        <w:tabs>
          <w:tab w:val="right" w:pos="9026" w:leader="dot"/>
        </w:tabs>
        <w:spacing w:after="80"/>
        <w:ind w:left="0"/>
      </w:pPr>
      <w:r>
        <w:rPr>
          <w:b/>
          <w:bCs/>
        </w:rPr>
        <w:t xml:space="preserve">LIST OF TABLES	7</w:t>
      </w:r>
    </w:p>
    <w:p>
      <w:pPr>
        <w:tabs>
          <w:tab w:val="right" w:pos="9026" w:leader="dot"/>
        </w:tabs>
        <w:spacing w:after="80"/>
        <w:ind w:left="0"/>
      </w:pPr>
      <w:r>
        <w:rPr>
          <w:b/>
          <w:bCs/>
        </w:rPr>
        <w:t xml:space="preserve">CHAPTER I	8</w:t>
      </w:r>
    </w:p>
    <w:p>
      <w:pPr>
        <w:tabs>
          <w:tab w:val="right" w:pos="9026" w:leader="dot"/>
        </w:tabs>
        <w:spacing w:after="80"/>
        <w:ind w:left="0"/>
      </w:pPr>
      <w:r>
        <w:rPr>
          <w:b/>
          <w:bCs/>
        </w:rPr>
        <w:t xml:space="preserve">INTRODUCTION	8</w:t>
      </w:r>
    </w:p>
    <w:p>
      <w:pPr>
        <w:tabs>
          <w:tab w:val="right" w:pos="9026" w:leader="dot"/>
        </w:tabs>
        <w:spacing w:after="80"/>
        <w:ind w:left="260"/>
      </w:pPr>
      <w:r>
        <w:rPr>
          <w:b w:val="false"/>
          <w:bCs w:val="false"/>
        </w:rPr>
        <w:t xml:space="preserve">1.1 Overview	8</w:t>
      </w:r>
    </w:p>
    <w:p>
      <w:pPr>
        <w:tabs>
          <w:tab w:val="right" w:pos="9026" w:leader="dot"/>
        </w:tabs>
        <w:spacing w:after="80"/>
        <w:ind w:left="520"/>
      </w:pPr>
      <w:r>
        <w:rPr>
          <w:b w:val="false"/>
          <w:bCs w:val="false"/>
        </w:rPr>
        <w:t xml:space="preserve">1.1.1 Background	8</w:t>
      </w:r>
    </w:p>
    <w:p>
      <w:pPr>
        <w:tabs>
          <w:tab w:val="right" w:pos="9026" w:leader="dot"/>
        </w:tabs>
        <w:spacing w:after="80"/>
        <w:ind w:left="520"/>
      </w:pPr>
      <w:r>
        <w:rPr>
          <w:b w:val="false"/>
          <w:bCs w:val="false"/>
        </w:rPr>
        <w:t xml:space="preserve">1.1.2 Business and Market Analysis	8</w:t>
      </w:r>
    </w:p>
    <w:p>
      <w:pPr>
        <w:tabs>
          <w:tab w:val="right" w:pos="9026" w:leader="dot"/>
        </w:tabs>
        <w:spacing w:after="80"/>
        <w:ind w:left="520"/>
      </w:pPr>
      <w:r>
        <w:rPr>
          <w:b w:val="false"/>
          <w:bCs w:val="false"/>
        </w:rPr>
        <w:t xml:space="preserve">1.1.3 Relevant Historical Data	8</w:t>
      </w:r>
    </w:p>
    <w:p>
      <w:pPr>
        <w:tabs>
          <w:tab w:val="right" w:pos="9026" w:leader="dot"/>
        </w:tabs>
        <w:spacing w:after="80"/>
        <w:ind w:left="260"/>
      </w:pPr>
      <w:r>
        <w:rPr>
          <w:b w:val="false"/>
          <w:bCs w:val="false"/>
        </w:rPr>
        <w:t xml:space="preserve">1.2 Business Objective	9</w:t>
      </w:r>
    </w:p>
    <w:p>
      <w:pPr>
        <w:tabs>
          <w:tab w:val="right" w:pos="9026" w:leader="dot"/>
        </w:tabs>
        <w:spacing w:after="80"/>
        <w:ind w:left="260"/>
      </w:pPr>
      <w:r>
        <w:rPr>
          <w:b w:val="false"/>
          <w:bCs w:val="false"/>
        </w:rPr>
        <w:t xml:space="preserve">1.3 Purpose of this Business Requirement	9</w:t>
      </w:r>
    </w:p>
    <w:p>
      <w:pPr>
        <w:tabs>
          <w:tab w:val="right" w:pos="9026" w:leader="dot"/>
        </w:tabs>
        <w:spacing w:after="80"/>
        <w:ind w:left="260"/>
      </w:pPr>
      <w:r>
        <w:rPr>
          <w:b w:val="false"/>
          <w:bCs w:val="false"/>
        </w:rPr>
        <w:t xml:space="preserve">1.4 Program Type	9</w:t>
      </w:r>
    </w:p>
    <w:p>
      <w:pPr>
        <w:tabs>
          <w:tab w:val="right" w:pos="9026" w:leader="dot"/>
        </w:tabs>
        <w:spacing w:after="80"/>
        <w:ind w:left="260"/>
      </w:pPr>
      <w:r>
        <w:rPr>
          <w:b w:val="false"/>
          <w:bCs w:val="false"/>
        </w:rPr>
        <w:t xml:space="preserve">1.5 Business Risk	9</w:t>
      </w:r>
    </w:p>
    <w:p>
      <w:pPr>
        <w:tabs>
          <w:tab w:val="right" w:pos="9026" w:leader="dot"/>
        </w:tabs>
        <w:spacing w:after="80"/>
        <w:ind w:left="0"/>
      </w:pPr>
      <w:r>
        <w:rPr>
          <w:b/>
          <w:bCs/>
        </w:rPr>
        <w:t xml:space="preserve">CHAPTER II	11</w:t>
      </w:r>
    </w:p>
    <w:p>
      <w:pPr>
        <w:tabs>
          <w:tab w:val="right" w:pos="9026" w:leader="dot"/>
        </w:tabs>
        <w:spacing w:after="80"/>
        <w:ind w:left="0"/>
      </w:pPr>
      <w:r>
        <w:rPr>
          <w:b/>
          <w:bCs/>
        </w:rPr>
        <w:t xml:space="preserve">BENEFIT ANALYSIS	11</w:t>
      </w:r>
    </w:p>
    <w:p>
      <w:pPr>
        <w:tabs>
          <w:tab w:val="right" w:pos="9026" w:leader="dot"/>
        </w:tabs>
        <w:spacing w:after="80"/>
        <w:ind w:left="260"/>
      </w:pPr>
      <w:r>
        <w:rPr>
          <w:b w:val="false"/>
          <w:bCs w:val="false"/>
        </w:rPr>
        <w:t xml:space="preserve">2.1 Summary	11</w:t>
      </w:r>
    </w:p>
    <w:p>
      <w:pPr>
        <w:tabs>
          <w:tab w:val="right" w:pos="9026" w:leader="dot"/>
        </w:tabs>
        <w:spacing w:after="80"/>
        <w:ind w:left="260"/>
      </w:pPr>
      <w:r>
        <w:rPr>
          <w:b w:val="false"/>
          <w:bCs w:val="false"/>
        </w:rPr>
        <w:t xml:space="preserve">2.2 Assumption and Calculation	11</w:t>
      </w:r>
    </w:p>
    <w:p>
      <w:pPr>
        <w:tabs>
          <w:tab w:val="right" w:pos="9026" w:leader="dot"/>
        </w:tabs>
        <w:spacing w:after="80"/>
        <w:ind w:left="0"/>
      </w:pPr>
      <w:r>
        <w:rPr>
          <w:b/>
          <w:bCs/>
        </w:rPr>
        <w:t xml:space="preserve">CHAPTER III	13</w:t>
      </w:r>
    </w:p>
    <w:p>
      <w:pPr>
        <w:tabs>
          <w:tab w:val="right" w:pos="9026" w:leader="dot"/>
        </w:tabs>
        <w:spacing w:after="80"/>
        <w:ind w:left="0"/>
      </w:pPr>
      <w:r>
        <w:rPr>
          <w:b/>
          <w:bCs/>
        </w:rPr>
        <w:t xml:space="preserve">SERVICE DESCRIPTION	13</w:t>
      </w:r>
    </w:p>
    <w:p>
      <w:pPr>
        <w:tabs>
          <w:tab w:val="right" w:pos="9026" w:leader="dot"/>
        </w:tabs>
        <w:spacing w:after="80"/>
        <w:ind w:left="260"/>
      </w:pPr>
      <w:r>
        <w:rPr>
          <w:b w:val="false"/>
          <w:bCs w:val="false"/>
        </w:rPr>
        <w:t xml:space="preserve">3.1 General Requirement	13</w:t>
      </w:r>
    </w:p>
    <w:p>
      <w:pPr>
        <w:tabs>
          <w:tab w:val="right" w:pos="9026" w:leader="dot"/>
        </w:tabs>
        <w:spacing w:after="80"/>
        <w:ind w:left="260"/>
      </w:pPr>
      <w:r>
        <w:rPr>
          <w:b w:val="false"/>
          <w:bCs w:val="false"/>
        </w:rPr>
        <w:t xml:space="preserve">3.2 Product / Service Specification	13</w:t>
      </w:r>
    </w:p>
    <w:p>
      <w:pPr>
        <w:tabs>
          <w:tab w:val="right" w:pos="9026" w:leader="dot"/>
        </w:tabs>
        <w:spacing w:after="80"/>
        <w:ind w:left="260"/>
      </w:pPr>
      <w:r>
        <w:rPr>
          <w:b w:val="false"/>
          <w:bCs w:val="false"/>
        </w:rPr>
        <w:t xml:space="preserve">3.3 Business Process	14</w:t>
      </w:r>
    </w:p>
    <w:p>
      <w:pPr>
        <w:tabs>
          <w:tab w:val="right" w:pos="9026" w:leader="dot"/>
        </w:tabs>
        <w:spacing w:after="80"/>
        <w:ind w:left="520"/>
      </w:pPr>
      <w:r>
        <w:rPr>
          <w:b w:val="false"/>
          <w:bCs w:val="false"/>
        </w:rPr>
        <w:t xml:space="preserve">3.3.1 Business Process Impact	14</w:t>
      </w:r>
    </w:p>
    <w:p>
      <w:pPr>
        <w:tabs>
          <w:tab w:val="right" w:pos="9026" w:leader="dot"/>
        </w:tabs>
        <w:spacing w:after="80"/>
        <w:ind w:left="520"/>
      </w:pPr>
      <w:r>
        <w:rPr>
          <w:b w:val="false"/>
          <w:bCs w:val="false"/>
        </w:rPr>
        <w:t xml:space="preserve">3.3.2 Description	14</w:t>
      </w:r>
    </w:p>
    <w:p>
      <w:pPr>
        <w:tabs>
          <w:tab w:val="right" w:pos="9026" w:leader="dot"/>
        </w:tabs>
        <w:spacing w:after="80"/>
        <w:ind w:left="520"/>
      </w:pPr>
      <w:r>
        <w:rPr>
          <w:b w:val="false"/>
          <w:bCs w:val="false"/>
        </w:rPr>
        <w:t xml:space="preserve">3.3.3 Security	14</w:t>
      </w:r>
    </w:p>
    <w:p>
      <w:pPr>
        <w:tabs>
          <w:tab w:val="right" w:pos="9026" w:leader="dot"/>
        </w:tabs>
        <w:spacing w:after="80"/>
        <w:ind w:left="520"/>
      </w:pPr>
      <w:r>
        <w:rPr>
          <w:b w:val="false"/>
          <w:bCs w:val="false"/>
        </w:rPr>
        <w:t xml:space="preserve">3.3.4 Organization and Policy	14</w:t>
      </w:r>
    </w:p>
    <w:p>
      <w:pPr>
        <w:tabs>
          <w:tab w:val="right" w:pos="9026" w:leader="dot"/>
        </w:tabs>
        <w:spacing w:after="80"/>
        <w:ind w:left="520"/>
      </w:pPr>
      <w:r>
        <w:rPr>
          <w:b w:val="false"/>
          <w:bCs w:val="false"/>
        </w:rPr>
        <w:t xml:space="preserve">3.3.5 Service Delivery Plan	14</w:t>
      </w:r>
    </w:p>
    <w:p>
      <w:pPr>
        <w:tabs>
          <w:tab w:val="right" w:pos="9026" w:leader="dot"/>
        </w:tabs>
        <w:spacing w:after="80"/>
        <w:ind w:left="260"/>
      </w:pPr>
      <w:r>
        <w:rPr>
          <w:b w:val="false"/>
          <w:bCs w:val="false"/>
        </w:rPr>
        <w:t xml:space="preserve">3.4 Complain Handling	14</w:t>
      </w:r>
    </w:p>
    <w:p>
      <w:pPr>
        <w:tabs>
          <w:tab w:val="right" w:pos="9026" w:leader="dot"/>
        </w:tabs>
        <w:spacing w:after="80"/>
        <w:ind w:left="260"/>
      </w:pPr>
      <w:r>
        <w:rPr>
          <w:b w:val="false"/>
          <w:bCs w:val="false"/>
        </w:rPr>
        <w:t xml:space="preserve">3.5 Reporting	15</w:t>
      </w:r>
    </w:p>
    <w:p>
      <w:pPr>
        <w:tabs>
          <w:tab w:val="right" w:pos="9026" w:leader="dot"/>
        </w:tabs>
        <w:spacing w:after="80"/>
        <w:ind w:left="260"/>
      </w:pPr>
      <w:r>
        <w:rPr>
          <w:b w:val="false"/>
          <w:bCs w:val="false"/>
        </w:rPr>
        <w:t xml:space="preserve">3.6 Monitoring	15</w:t>
      </w:r>
    </w:p>
    <w:p>
      <w:pPr>
        <w:tabs>
          <w:tab w:val="right" w:pos="9026" w:leader="dot"/>
        </w:tabs>
        <w:spacing w:after="80"/>
        <w:ind w:left="260"/>
      </w:pPr>
      <w:r>
        <w:rPr>
          <w:b w:val="false"/>
          <w:bCs w:val="false"/>
        </w:rPr>
        <w:t xml:space="preserve">3.7 Settlement Plan	15</w:t>
      </w:r>
    </w:p>
    <w:p>
      <w:pPr>
        <w:tabs>
          <w:tab w:val="right" w:pos="9026" w:leader="dot"/>
        </w:tabs>
        <w:spacing w:after="80"/>
        <w:ind w:left="260"/>
      </w:pPr>
      <w:r>
        <w:rPr>
          <w:b w:val="false"/>
          <w:bCs w:val="false"/>
        </w:rPr>
        <w:t xml:space="preserve">3.8 Assumptions and Dependencies	15</w:t>
      </w:r>
    </w:p>
    <w:p>
      <w:pPr>
        <w:tabs>
          <w:tab w:val="right" w:pos="9026" w:leader="dot"/>
        </w:tabs>
        <w:spacing w:after="80"/>
        <w:ind w:left="0"/>
      </w:pPr>
      <w:r>
        <w:rPr>
          <w:b/>
          <w:bCs/>
        </w:rPr>
        <w:t xml:space="preserve">CHAPTER IV	16</w:t>
      </w:r>
    </w:p>
    <w:p>
      <w:pPr>
        <w:tabs>
          <w:tab w:val="right" w:pos="9026" w:leader="dot"/>
        </w:tabs>
        <w:spacing w:after="80"/>
        <w:ind w:left="0"/>
      </w:pPr>
      <w:r>
        <w:rPr>
          <w:b/>
          <w:bCs/>
        </w:rPr>
        <w:t xml:space="preserve">RELEASE PLAN	16</w:t>
      </w:r>
    </w:p>
    <w:p>
      <w:pPr>
        <w:tabs>
          <w:tab w:val="right" w:pos="9026" w:leader="dot"/>
        </w:tabs>
        <w:spacing w:after="80"/>
        <w:ind w:left="260"/>
      </w:pPr>
      <w:r>
        <w:rPr>
          <w:b w:val="false"/>
          <w:bCs w:val="false"/>
        </w:rPr>
        <w:t xml:space="preserve">4.1 Target Ready for Service	16</w:t>
      </w:r>
    </w:p>
    <w:p>
      <w:pPr>
        <w:tabs>
          <w:tab w:val="right" w:pos="9026" w:leader="dot"/>
        </w:tabs>
        <w:spacing w:after="80"/>
        <w:ind w:left="260"/>
      </w:pPr>
      <w:r>
        <w:rPr>
          <w:b w:val="false"/>
          <w:bCs w:val="false"/>
        </w:rPr>
        <w:t xml:space="preserve">4.2 Commercial Launch	16</w:t>
      </w:r>
    </w:p>
    <w:p>
      <w:pPr>
        <w:tabs>
          <w:tab w:val="right" w:pos="9026" w:leader="dot"/>
        </w:tabs>
        <w:spacing w:after="80"/>
        <w:ind w:left="260"/>
      </w:pPr>
      <w:r>
        <w:rPr>
          <w:b w:val="false"/>
          <w:bCs w:val="false"/>
        </w:rPr>
        <w:t xml:space="preserve">4.3 Internal Socialization Plan	16</w:t>
      </w:r>
    </w:p>
    <w:p>
      <w:pPr>
        <w:tabs>
          <w:tab w:val="right" w:pos="9026" w:leader="dot"/>
        </w:tabs>
        <w:spacing w:after="80"/>
        <w:ind w:left="260"/>
      </w:pPr>
      <w:r>
        <w:rPr>
          <w:b w:val="false"/>
          <w:bCs w:val="false"/>
        </w:rPr>
        <w:t xml:space="preserve">4.4 Rollout Scenario	16</w:t>
      </w:r>
    </w:p>
    <w:p>
      <w:pPr>
        <w:tabs>
          <w:tab w:val="right" w:pos="9026" w:leader="dot"/>
        </w:tabs>
        <w:spacing w:after="80"/>
        <w:ind w:left="0"/>
      </w:pPr>
      <w:r>
        <w:rPr>
          <w:b/>
          <w:bCs/>
        </w:rPr>
        <w:t xml:space="preserve">CHAPTER V	17</w:t>
      </w:r>
    </w:p>
    <w:p>
      <w:pPr>
        <w:tabs>
          <w:tab w:val="right" w:pos="9026" w:leader="dot"/>
        </w:tabs>
        <w:spacing w:after="80"/>
        <w:ind w:left="0"/>
      </w:pPr>
      <w:r>
        <w:rPr>
          <w:b/>
          <w:bCs/>
        </w:rPr>
        <w:t xml:space="preserve">RETIREMENT PLAN &amp; SIGNOFF	17</w:t>
      </w:r>
    </w:p>
    <w:p>
      <w:pPr>
        <w:tabs>
          <w:tab w:val="right" w:pos="9026" w:leader="dot"/>
        </w:tabs>
        <w:spacing w:after="80"/>
        <w:ind w:left="260"/>
      </w:pPr>
      <w:r>
        <w:rPr>
          <w:b w:val="false"/>
          <w:bCs w:val="false"/>
        </w:rPr>
        <w:t xml:space="preserve">5.1 Product / Service Retirement Plan	17</w:t>
      </w:r>
    </w:p>
    <w:p>
      <w:pPr>
        <w:tabs>
          <w:tab w:val="right" w:pos="9026" w:leader="dot"/>
        </w:tabs>
        <w:spacing w:after="80"/>
        <w:ind w:left="260"/>
      </w:pPr>
      <w:r>
        <w:rPr>
          <w:b w:val="false"/>
          <w:bCs w:val="false"/>
        </w:rPr>
        <w:t xml:space="preserve">5.2 Document Signoff	17</w:t>
      </w:r>
    </w:p>
    <w:p>
      <w:r>
        <w:br w:type="page"/>
      </w:r>
    </w:p>
    <w:p>
      <w:pPr>
        <w:pStyle w:val="Heading1"/>
        <w:spacing w:after="200" w:before="360"/>
      </w:pPr>
      <w:r>
        <w:rPr>
          <w:b/>
          <w:bCs/>
          <w:color w:val="1F3864"/>
        </w:rPr>
        <w:t xml:space="preserve">LIST OF TABLES</w:t>
      </w:r>
    </w:p>
    <w:p>
      <w:pPr>
        <w:spacing w:after="160" w:line="276"/>
        <w:jc w:val="both"/>
      </w:pPr>
      <w:r>
        <w:t xml:space="preserve">Table 1.1  Current-State Baseline</w:t>
      </w:r>
    </w:p>
    <w:p>
      <w:pPr>
        <w:spacing w:after="160" w:line="276"/>
        <w:jc w:val="both"/>
      </w:pPr>
      <w:r>
        <w:t xml:space="preserve">Table 2.1  Benefit Calculation</w:t>
      </w:r>
    </w:p>
    <w:p>
      <w:pPr>
        <w:spacing w:after="160" w:line="276"/>
        <w:jc w:val="both"/>
      </w:pPr>
      <w:r>
        <w:t xml:space="preserve">Table 3.1  General Requirements</w:t>
      </w:r>
    </w:p>
    <w:p>
      <w:pPr>
        <w:spacing w:after="160" w:line="276"/>
        <w:jc w:val="both"/>
      </w:pPr>
      <w:r>
        <w:t xml:space="preserve">Table 5.1  Document Signoff Matrix</w:t>
      </w:r>
    </w:p>
    <w:p>
      <w:r>
        <w:br w:type="page"/>
      </w:r>
    </w:p>
    <w:p>
      <w:pPr>
        <w:pStyle w:val="Heading1"/>
        <w:spacing w:after="200" w:before="360"/>
      </w:pPr>
      <w:r>
        <w:rPr>
          <w:b/>
          <w:bCs/>
          <w:color w:val="1F3864"/>
        </w:rPr>
        <w:t xml:space="preserve">CHAPTER I</w:t>
      </w:r>
    </w:p>
    <w:p>
      <w:pPr>
        <w:pStyle w:val="Heading1"/>
        <w:spacing w:after="200" w:before="360"/>
      </w:pPr>
      <w:r>
        <w:rPr>
          <w:b/>
          <w:bCs/>
          <w:color w:val="1F3864"/>
        </w:rPr>
        <w:t xml:space="preserve">INTRODUCTION</w:t>
      </w:r>
    </w:p>
    <w:p>
      <w:pPr>
        <w:pStyle w:val="Heading2"/>
        <w:spacing w:after="140" w:before="280"/>
      </w:pPr>
      <w:r>
        <w:rPr>
          <w:b/>
          <w:bCs/>
          <w:color w:val="1F3864"/>
        </w:rPr>
        <w:t xml:space="preserve">1.1 Overview</w:t>
      </w:r>
    </w:p>
    <w:p>
      <w:pPr>
        <w:pStyle w:val="Heading3"/>
        <w:spacing w:after="120" w:before="220"/>
      </w:pPr>
      <w:r>
        <w:rPr>
          <w:b/>
          <w:bCs/>
          <w:color w:val="1F3864"/>
        </w:rPr>
        <w:t xml:space="preserve">1.1.1 Background</w:t>
      </w:r>
    </w:p>
    <w:p>
      <w:pPr>
        <w:spacing w:after="160" w:line="276"/>
        <w:jc w:val="both"/>
      </w:pPr>
      <w:r>
        <w:t xml:space="preserve">Loan applications today are submitted exclusively in-branch on paper, a process that requires an average visit of approximately 55 minutes. Increasingly, prospective customers — particularly younger applicants — decline to complete this process: a sample of 120 walk-in customers who left without finishing an application found that 68% cited the time and paperwork involved. Separately, approval officers currently reference three separate systems (core banking, the credit bureau portal, and document imaging) to review a single application, and every one of the current 320 monthly applications reaches a human officer with no upfront eligibility check, even though 22% are ultimately found ineligible after manual review. This combination — customer friction on one side and inefficient, unscreened officer workload on the other — is the trigger for this initiative.</w:t>
      </w:r>
    </w:p>
    <w:p>
      <w:pPr>
        <w:pStyle w:val="Heading3"/>
        <w:spacing w:after="120" w:before="220"/>
      </w:pPr>
      <w:r>
        <w:rPr>
          <w:b/>
          <w:bCs/>
          <w:color w:val="1F3864"/>
        </w:rPr>
        <w:t xml:space="preserve">1.1.2 Business and Market Analysis</w:t>
      </w:r>
    </w:p>
    <w:p>
      <w:pPr>
        <w:spacing w:after="160" w:line="276"/>
        <w:jc w:val="both"/>
      </w:pPr>
      <w:r>
        <w:t xml:space="preserve">The Owner has observed that banks in other markets already allow customers to complete a loan application entirely from a mobile device, without a branch visit. The current business has no equivalent digital channel: applications can only be submitted on paper, in person. This gap, combined with the officer-workload and customer-friction data in 1.1.3, is the concrete competitive basis for this initiative.</w:t>
      </w:r>
    </w:p>
    <w:p>
      <w:pPr>
        <w:pStyle w:val="Heading3"/>
        <w:spacing w:after="120" w:before="220"/>
      </w:pPr>
      <w:r>
        <w:rPr>
          <w:b/>
          <w:bCs/>
          <w:color w:val="1F3864"/>
        </w:rPr>
        <w:t xml:space="preserve">1.1.3 Relevant Historical Data</w:t>
      </w:r>
    </w:p>
    <w:p>
      <w:pPr>
        <w:spacing w:after="160" w:line="276"/>
        <w:jc w:val="both"/>
      </w:pPr>
      <w:r>
        <w:t xml:space="preserve">The table below summarizes the current-state baseline referenced throughout this document.</w:t>
      </w:r>
    </w:p>
    <w:p>
      <w:pPr>
        <w:spacing w:after="120" w:before="120"/>
      </w:pPr>
      <w:r>
        <w:rPr>
          <w:b/>
          <w:bCs/>
          <w:i/>
          <w:iCs/>
          <w:sz w:val="20"/>
          <w:szCs w:val="20"/>
        </w:rPr>
        <w:t xml:space="preserve">Table 1.1  Current-State Baseline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900"/>
        <w:gridCol w:w="4900"/>
      </w:tblGrid>
      <w:tr>
        <w:trPr>
          <w:tblHeader/>
        </w:trPr>
        <w:tc>
          <w:tcPr>
            <w:tcW w:type="dxa" w:w="4900"/>
            <w:shd w:fill="D9E2F3" w:color="auto" w:val="clear"/>
            <w:tcMar>
              <w:top w:type="dxa" w:w="100"/>
              <w:left w:type="dxa" w:w="120"/>
              <w:bottom w:type="dxa" w:w="100"/>
              <w:right w:type="dxa" w:w="120"/>
            </w:tcMar>
          </w:tcPr>
          <w:p>
            <w:pPr>
              <w:jc w:val="left"/>
            </w:pPr>
            <w:r>
              <w:rPr>
                <w:b/>
                <w:bCs/>
                <w:sz w:val="20"/>
                <w:szCs w:val="20"/>
              </w:rPr>
              <w:t xml:space="preserve">Metric (current-state baseline)</w:t>
            </w:r>
          </w:p>
        </w:tc>
        <w:tc>
          <w:tcPr>
            <w:tcW w:type="dxa" w:w="4900"/>
            <w:shd w:fill="D9E2F3" w:color="auto" w:val="clear"/>
            <w:tcMar>
              <w:top w:type="dxa" w:w="100"/>
              <w:left w:type="dxa" w:w="120"/>
              <w:bottom w:type="dxa" w:w="100"/>
              <w:right w:type="dxa" w:w="120"/>
            </w:tcMar>
          </w:tcPr>
          <w:p>
            <w:pPr>
              <w:jc w:val="center"/>
            </w:pPr>
            <w:r>
              <w:rPr>
                <w:b/>
                <w:bCs/>
                <w:sz w:val="20"/>
                <w:szCs w:val="20"/>
              </w:rPr>
              <w:t xml:space="preserve">Value</w:t>
            </w:r>
          </w:p>
        </w:tc>
      </w:tr>
      <w:tr>
        <w:tc>
          <w:tcPr>
            <w:tcW w:type="dxa" w:w="4900"/>
            <w:tcMar>
              <w:top w:type="dxa" w:w="100"/>
              <w:left w:type="dxa" w:w="120"/>
              <w:bottom w:type="dxa" w:w="100"/>
              <w:right w:type="dxa" w:w="120"/>
            </w:tcMar>
          </w:tcPr>
          <w:p>
            <w:pPr>
              <w:jc w:val="left"/>
            </w:pPr>
            <w:r>
              <w:rPr>
                <w:b w:val="false"/>
                <w:bCs w:val="false"/>
                <w:sz w:val="20"/>
                <w:szCs w:val="20"/>
              </w:rPr>
              <w:t xml:space="preserve">Monthly loan applications (branch-only, paper-based)</w:t>
            </w:r>
          </w:p>
        </w:tc>
        <w:tc>
          <w:tcPr>
            <w:tcW w:type="dxa" w:w="4900"/>
            <w:tcMar>
              <w:top w:type="dxa" w:w="100"/>
              <w:left w:type="dxa" w:w="120"/>
              <w:bottom w:type="dxa" w:w="100"/>
              <w:right w:type="dxa" w:w="120"/>
            </w:tcMar>
          </w:tcPr>
          <w:p>
            <w:pPr>
              <w:jc w:val="center"/>
            </w:pPr>
            <w:r>
              <w:rPr>
                <w:b w:val="false"/>
                <w:bCs w:val="false"/>
                <w:sz w:val="20"/>
                <w:szCs w:val="20"/>
              </w:rPr>
              <w:t xml:space="preserve">320</w:t>
            </w:r>
          </w:p>
        </w:tc>
      </w:tr>
      <w:tr>
        <w:tc>
          <w:tcPr>
            <w:tcW w:type="dxa" w:w="4900"/>
            <w:tcMar>
              <w:top w:type="dxa" w:w="100"/>
              <w:left w:type="dxa" w:w="120"/>
              <w:bottom w:type="dxa" w:w="100"/>
              <w:right w:type="dxa" w:w="120"/>
            </w:tcMar>
          </w:tcPr>
          <w:p>
            <w:pPr>
              <w:jc w:val="left"/>
            </w:pPr>
            <w:r>
              <w:rPr>
                <w:b w:val="false"/>
                <w:bCs w:val="false"/>
                <w:sz w:val="20"/>
                <w:szCs w:val="20"/>
              </w:rPr>
              <w:t xml:space="preserve">Applications reaching human review today (no pre-screen)</w:t>
            </w:r>
          </w:p>
        </w:tc>
        <w:tc>
          <w:tcPr>
            <w:tcW w:type="dxa" w:w="4900"/>
            <w:tcMar>
              <w:top w:type="dxa" w:w="100"/>
              <w:left w:type="dxa" w:w="120"/>
              <w:bottom w:type="dxa" w:w="100"/>
              <w:right w:type="dxa" w:w="120"/>
            </w:tcMar>
          </w:tcPr>
          <w:p>
            <w:pPr>
              <w:jc w:val="center"/>
            </w:pPr>
            <w:r>
              <w:rPr>
                <w:b w:val="false"/>
                <w:bCs w:val="false"/>
                <w:sz w:val="20"/>
                <w:szCs w:val="20"/>
              </w:rPr>
              <w:t xml:space="preserve">320 (100%)</w:t>
            </w:r>
          </w:p>
        </w:tc>
      </w:tr>
      <w:tr>
        <w:tc>
          <w:tcPr>
            <w:tcW w:type="dxa" w:w="4900"/>
            <w:tcMar>
              <w:top w:type="dxa" w:w="100"/>
              <w:left w:type="dxa" w:w="120"/>
              <w:bottom w:type="dxa" w:w="100"/>
              <w:right w:type="dxa" w:w="120"/>
            </w:tcMar>
          </w:tcPr>
          <w:p>
            <w:pPr>
              <w:jc w:val="left"/>
            </w:pPr>
            <w:r>
              <w:rPr>
                <w:b w:val="false"/>
                <w:bCs w:val="false"/>
                <w:sz w:val="20"/>
                <w:szCs w:val="20"/>
              </w:rPr>
              <w:t xml:space="preserve">Applications later found ineligible after manual review</w:t>
            </w:r>
          </w:p>
        </w:tc>
        <w:tc>
          <w:tcPr>
            <w:tcW w:type="dxa" w:w="4900"/>
            <w:tcMar>
              <w:top w:type="dxa" w:w="100"/>
              <w:left w:type="dxa" w:w="120"/>
              <w:bottom w:type="dxa" w:w="100"/>
              <w:right w:type="dxa" w:w="120"/>
            </w:tcMar>
          </w:tcPr>
          <w:p>
            <w:pPr>
              <w:jc w:val="center"/>
            </w:pPr>
            <w:r>
              <w:rPr>
                <w:b w:val="false"/>
                <w:bCs w:val="false"/>
                <w:sz w:val="20"/>
                <w:szCs w:val="20"/>
              </w:rPr>
              <w:t xml:space="preserve">70/month (22%)</w:t>
            </w:r>
          </w:p>
        </w:tc>
      </w:tr>
      <w:tr>
        <w:tc>
          <w:tcPr>
            <w:tcW w:type="dxa" w:w="4900"/>
            <w:tcMar>
              <w:top w:type="dxa" w:w="100"/>
              <w:left w:type="dxa" w:w="120"/>
              <w:bottom w:type="dxa" w:w="100"/>
              <w:right w:type="dxa" w:w="120"/>
            </w:tcMar>
          </w:tcPr>
          <w:p>
            <w:pPr>
              <w:jc w:val="left"/>
            </w:pPr>
            <w:r>
              <w:rPr>
                <w:b w:val="false"/>
                <w:bCs w:val="false"/>
                <w:sz w:val="20"/>
                <w:szCs w:val="20"/>
              </w:rPr>
              <w:t xml:space="preserve">Average officer review time per application (3 separate systems)</w:t>
            </w:r>
          </w:p>
        </w:tc>
        <w:tc>
          <w:tcPr>
            <w:tcW w:type="dxa" w:w="4900"/>
            <w:tcMar>
              <w:top w:type="dxa" w:w="100"/>
              <w:left w:type="dxa" w:w="120"/>
              <w:bottom w:type="dxa" w:w="100"/>
              <w:right w:type="dxa" w:w="120"/>
            </w:tcMar>
          </w:tcPr>
          <w:p>
            <w:pPr>
              <w:jc w:val="center"/>
            </w:pPr>
            <w:r>
              <w:rPr>
                <w:b w:val="false"/>
                <w:bCs w:val="false"/>
                <w:sz w:val="20"/>
                <w:szCs w:val="20"/>
              </w:rPr>
              <w:t xml:space="preserve">42 minutes</w:t>
            </w:r>
          </w:p>
        </w:tc>
      </w:tr>
      <w:tr>
        <w:tc>
          <w:tcPr>
            <w:tcW w:type="dxa" w:w="4900"/>
            <w:tcMar>
              <w:top w:type="dxa" w:w="100"/>
              <w:left w:type="dxa" w:w="120"/>
              <w:bottom w:type="dxa" w:w="100"/>
              <w:right w:type="dxa" w:w="120"/>
            </w:tcMar>
          </w:tcPr>
          <w:p>
            <w:pPr>
              <w:jc w:val="left"/>
            </w:pPr>
            <w:r>
              <w:rPr>
                <w:b w:val="false"/>
                <w:bCs w:val="false"/>
                <w:sz w:val="20"/>
                <w:szCs w:val="20"/>
              </w:rPr>
              <w:t xml:space="preserve">Average time-to-decision</w:t>
            </w:r>
          </w:p>
        </w:tc>
        <w:tc>
          <w:tcPr>
            <w:tcW w:type="dxa" w:w="4900"/>
            <w:tcMar>
              <w:top w:type="dxa" w:w="100"/>
              <w:left w:type="dxa" w:w="120"/>
              <w:bottom w:type="dxa" w:w="100"/>
              <w:right w:type="dxa" w:w="120"/>
            </w:tcMar>
          </w:tcPr>
          <w:p>
            <w:pPr>
              <w:jc w:val="center"/>
            </w:pPr>
            <w:r>
              <w:rPr>
                <w:b w:val="false"/>
                <w:bCs w:val="false"/>
                <w:sz w:val="20"/>
                <w:szCs w:val="20"/>
              </w:rPr>
              <w:t xml:space="preserve">6.5 business days</w:t>
            </w:r>
          </w:p>
        </w:tc>
      </w:tr>
      <w:tr>
        <w:tc>
          <w:tcPr>
            <w:tcW w:type="dxa" w:w="4900"/>
            <w:tcMar>
              <w:top w:type="dxa" w:w="100"/>
              <w:left w:type="dxa" w:w="120"/>
              <w:bottom w:type="dxa" w:w="100"/>
              <w:right w:type="dxa" w:w="120"/>
            </w:tcMar>
          </w:tcPr>
          <w:p>
            <w:pPr>
              <w:jc w:val="left"/>
            </w:pPr>
            <w:r>
              <w:rPr>
                <w:b w:val="false"/>
                <w:bCs w:val="false"/>
                <w:sz w:val="20"/>
                <w:szCs w:val="20"/>
              </w:rPr>
              <w:t xml:space="preserve">Walk-in abandonment citing time/paperwork (sample of 120 exit interviews)</w:t>
            </w:r>
          </w:p>
        </w:tc>
        <w:tc>
          <w:tcPr>
            <w:tcW w:type="dxa" w:w="4900"/>
            <w:tcMar>
              <w:top w:type="dxa" w:w="100"/>
              <w:left w:type="dxa" w:w="120"/>
              <w:bottom w:type="dxa" w:w="100"/>
              <w:right w:type="dxa" w:w="120"/>
            </w:tcMar>
          </w:tcPr>
          <w:p>
            <w:pPr>
              <w:jc w:val="center"/>
            </w:pPr>
            <w:r>
              <w:rPr>
                <w:b w:val="false"/>
                <w:bCs w:val="false"/>
                <w:sz w:val="20"/>
                <w:szCs w:val="20"/>
              </w:rPr>
              <w:t xml:space="preserve">68%</w:t>
            </w:r>
          </w:p>
        </w:tc>
      </w:tr>
      <w:tr>
        <w:tc>
          <w:tcPr>
            <w:tcW w:type="dxa" w:w="4900"/>
            <w:tcMar>
              <w:top w:type="dxa" w:w="100"/>
              <w:left w:type="dxa" w:w="120"/>
              <w:bottom w:type="dxa" w:w="100"/>
              <w:right w:type="dxa" w:w="120"/>
            </w:tcMar>
          </w:tcPr>
          <w:p>
            <w:pPr>
              <w:jc w:val="left"/>
            </w:pPr>
            <w:r>
              <w:rPr>
                <w:b w:val="false"/>
                <w:bCs w:val="false"/>
                <w:sz w:val="20"/>
                <w:szCs w:val="20"/>
              </w:rPr>
              <w:t xml:space="preserve">Monthly loan-status inquiry calls to the call center</w:t>
            </w:r>
          </w:p>
        </w:tc>
        <w:tc>
          <w:tcPr>
            <w:tcW w:type="dxa" w:w="4900"/>
            <w:tcMar>
              <w:top w:type="dxa" w:w="100"/>
              <w:left w:type="dxa" w:w="120"/>
              <w:bottom w:type="dxa" w:w="100"/>
              <w:right w:type="dxa" w:w="120"/>
            </w:tcMar>
          </w:tcPr>
          <w:p>
            <w:pPr>
              <w:jc w:val="center"/>
            </w:pPr>
            <w:r>
              <w:rPr>
                <w:b w:val="false"/>
                <w:bCs w:val="false"/>
                <w:sz w:val="20"/>
                <w:szCs w:val="20"/>
              </w:rPr>
              <w:t xml:space="preserve">340</w:t>
            </w:r>
          </w:p>
        </w:tc>
      </w:tr>
      <w:tr>
        <w:tc>
          <w:tcPr>
            <w:tcW w:type="dxa" w:w="4900"/>
            <w:tcMar>
              <w:top w:type="dxa" w:w="100"/>
              <w:left w:type="dxa" w:w="120"/>
              <w:bottom w:type="dxa" w:w="100"/>
              <w:right w:type="dxa" w:w="120"/>
            </w:tcMar>
          </w:tcPr>
          <w:p>
            <w:pPr>
              <w:jc w:val="left"/>
            </w:pPr>
            <w:r>
              <w:rPr>
                <w:b w:val="false"/>
                <w:bCs w:val="false"/>
                <w:sz w:val="20"/>
                <w:szCs w:val="20"/>
              </w:rPr>
              <w:t xml:space="preserve">Average call handle time / loaded agent cost</w:t>
            </w:r>
          </w:p>
        </w:tc>
        <w:tc>
          <w:tcPr>
            <w:tcW w:type="dxa" w:w="4900"/>
            <w:tcMar>
              <w:top w:type="dxa" w:w="100"/>
              <w:left w:type="dxa" w:w="120"/>
              <w:bottom w:type="dxa" w:w="100"/>
              <w:right w:type="dxa" w:w="120"/>
            </w:tcMar>
          </w:tcPr>
          <w:p>
            <w:pPr>
              <w:jc w:val="center"/>
            </w:pPr>
            <w:r>
              <w:rPr>
                <w:b w:val="false"/>
                <w:bCs w:val="false"/>
                <w:sz w:val="20"/>
                <w:szCs w:val="20"/>
              </w:rPr>
              <w:t xml:space="preserve">4 minutes / $18 per hour</w:t>
            </w:r>
          </w:p>
        </w:tc>
      </w:tr>
      <w:tr>
        <w:tc>
          <w:tcPr>
            <w:tcW w:type="dxa" w:w="4900"/>
            <w:tcMar>
              <w:top w:type="dxa" w:w="100"/>
              <w:left w:type="dxa" w:w="120"/>
              <w:bottom w:type="dxa" w:w="100"/>
              <w:right w:type="dxa" w:w="120"/>
            </w:tcMar>
          </w:tcPr>
          <w:p>
            <w:pPr>
              <w:jc w:val="left"/>
            </w:pPr>
            <w:r>
              <w:rPr>
                <w:b w:val="false"/>
                <w:bCs w:val="false"/>
                <w:sz w:val="20"/>
                <w:szCs w:val="20"/>
              </w:rPr>
              <w:t xml:space="preserve">Rejected applicants reapplying within 6 months, undetected (sample of 200 rejections)</w:t>
            </w:r>
          </w:p>
        </w:tc>
        <w:tc>
          <w:tcPr>
            <w:tcW w:type="dxa" w:w="4900"/>
            <w:tcMar>
              <w:top w:type="dxa" w:w="100"/>
              <w:left w:type="dxa" w:w="120"/>
              <w:bottom w:type="dxa" w:w="100"/>
              <w:right w:type="dxa" w:w="120"/>
            </w:tcMar>
          </w:tcPr>
          <w:p>
            <w:pPr>
              <w:jc w:val="center"/>
            </w:pPr>
            <w:r>
              <w:rPr>
                <w:b w:val="false"/>
                <w:bCs w:val="false"/>
                <w:sz w:val="20"/>
                <w:szCs w:val="20"/>
              </w:rPr>
              <w:t xml:space="preserve">14% (28)</w:t>
            </w:r>
          </w:p>
        </w:tc>
      </w:tr>
      <w:tr>
        <w:tc>
          <w:tcPr>
            <w:tcW w:type="dxa" w:w="4900"/>
            <w:tcMar>
              <w:top w:type="dxa" w:w="100"/>
              <w:left w:type="dxa" w:w="120"/>
              <w:bottom w:type="dxa" w:w="100"/>
              <w:right w:type="dxa" w:w="120"/>
            </w:tcMar>
          </w:tcPr>
          <w:p>
            <w:pPr>
              <w:jc w:val="left"/>
            </w:pPr>
            <w:r>
              <w:rPr>
                <w:b w:val="false"/>
                <w:bCs w:val="false"/>
                <w:sz w:val="20"/>
                <w:szCs w:val="20"/>
              </w:rPr>
              <w:t xml:space="preserve">Average loan size</w:t>
            </w:r>
          </w:p>
        </w:tc>
        <w:tc>
          <w:tcPr>
            <w:tcW w:type="dxa" w:w="4900"/>
            <w:tcMar>
              <w:top w:type="dxa" w:w="100"/>
              <w:left w:type="dxa" w:w="120"/>
              <w:bottom w:type="dxa" w:w="100"/>
              <w:right w:type="dxa" w:w="120"/>
            </w:tcMar>
          </w:tcPr>
          <w:p>
            <w:pPr>
              <w:jc w:val="center"/>
            </w:pPr>
            <w:r>
              <w:rPr>
                <w:b w:val="false"/>
                <w:bCs w:val="false"/>
                <w:sz w:val="20"/>
                <w:szCs w:val="20"/>
              </w:rPr>
              <w:t xml:space="preserve">$15,000</w:t>
            </w:r>
          </w:p>
        </w:tc>
      </w:tr>
    </w:tbl>
    <w:p>
      <w:pPr>
        <w:spacing w:after="160"/>
      </w:pPr>
    </w:p>
    <w:p>
      <w:pPr>
        <w:spacing w:after="160" w:line="276"/>
        <w:jc w:val="both"/>
      </w:pPr>
      <w:r>
        <w:t xml:space="preserve">Of particular note: a sample review of 200 rejected applications from the past year found that 28 (14%) of those applicants reapplied within 6 months, with the reviewing officer unaware of the earlier rejection in every case, since there is currently no way to cross-reference applications by applicant identity. This is the direct basis for the repeat-applicant requirements in Section 3.1 (BR-05, BR-06).</w:t>
      </w:r>
    </w:p>
    <w:p>
      <w:pPr>
        <w:pStyle w:val="Heading2"/>
        <w:spacing w:after="140" w:before="280"/>
      </w:pPr>
      <w:r>
        <w:rPr>
          <w:b/>
          <w:bCs/>
          <w:color w:val="1F3864"/>
        </w:rPr>
        <w:t xml:space="preserve">1.2 Business Objective</w:t>
      </w:r>
    </w:p>
    <w:p>
      <w:pPr>
        <w:spacing w:after="160" w:line="276"/>
        <w:jc w:val="both"/>
      </w:pPr>
      <w:r>
        <w:t xml:space="preserve">Enable customers to complete a loan application from a mobile device or web browser without a branch visit; screen out ineligible applicants automatically before they reach a human approval officer; consolidate the approval officer's review into a single screen instead of three separate systems; automatically keep applicants informed of their application status; and give approval officers visibility into an applicant's prior application history, including previous rejections, at the time of review. Section 2.2 projects this could deliver approximately $77,900 in combined annual benefit.</w:t>
      </w:r>
    </w:p>
    <w:p>
      <w:pPr>
        <w:pStyle w:val="Heading2"/>
        <w:spacing w:after="140" w:before="280"/>
      </w:pPr>
      <w:r>
        <w:rPr>
          <w:b/>
          <w:bCs/>
          <w:color w:val="1F3864"/>
        </w:rPr>
        <w:t xml:space="preserve">1.3 Purpose of this Business Requirement</w:t>
      </w:r>
    </w:p>
    <w:p>
      <w:r>
        <w:rPr>
          <w:b w:val="0"/>
          <w:i w:val="0"/>
          <w:sz w:val="22"/>
        </w:rPr>
        <w:t xml:space="preserve">☒ </w:t>
      </w:r>
      <w:r>
        <w:rPr>
          <w:b w:val="0"/>
          <w:i w:val="0"/>
          <w:sz w:val="20"/>
        </w:rPr>
        <w:t>Business requirements to enhance existing Services/Application/Process</w:t>
      </w:r>
    </w:p>
    <w:p>
      <w:r>
        <w:rPr>
          <w:b w:val="0"/>
          <w:i w:val="0"/>
          <w:sz w:val="22"/>
        </w:rPr>
        <w:t xml:space="preserve">☐ </w:t>
      </w:r>
      <w:r>
        <w:rPr>
          <w:b w:val="0"/>
          <w:i w:val="0"/>
          <w:sz w:val="20"/>
        </w:rPr>
        <w:t>Business requirements to terminate existing Services/Application/Process</w:t>
      </w:r>
    </w:p>
    <w:p>
      <w:r>
        <w:rPr>
          <w:b w:val="0"/>
          <w:i w:val="0"/>
          <w:sz w:val="22"/>
        </w:rPr>
        <w:t xml:space="preserve">☐ </w:t>
      </w:r>
      <w:r>
        <w:rPr>
          <w:b w:val="0"/>
          <w:i w:val="0"/>
          <w:sz w:val="20"/>
        </w:rPr>
        <w:t>Business requirements for new Services/Application/Process</w:t>
      </w:r>
    </w:p>
    <w:p>
      <w:r>
        <w:rPr>
          <w:b w:val="0"/>
          <w:i w:val="0"/>
          <w:sz w:val="22"/>
        </w:rPr>
        <w:t xml:space="preserve">☐ </w:t>
      </w:r>
      <w:r>
        <w:rPr>
          <w:b w:val="0"/>
          <w:i w:val="0"/>
          <w:sz w:val="20"/>
        </w:rPr>
        <w:t>Business requirements to replace existing Services/Application/Process</w:t>
      </w:r>
    </w:p>
    <w:p>
      <w:r>
        <w:rPr>
          <w:b w:val="0"/>
          <w:i w:val="0"/>
          <w:sz w:val="22"/>
        </w:rPr>
        <w:t xml:space="preserve">☐ </w:t>
      </w:r>
      <w:r>
        <w:rPr>
          <w:b w:val="0"/>
          <w:i w:val="0"/>
          <w:sz w:val="20"/>
        </w:rPr>
        <w:t>Others, please specify</w:t>
      </w:r>
    </w:p>
    <w:p>
      <w:r>
        <w:rPr>
          <w:b/>
          <w:i w:val="0"/>
          <w:sz w:val="20"/>
        </w:rPr>
        <w:t>Description</w:t>
      </w:r>
    </w:p>
    <w:tbl>
      <w:tblPr>
        <w:tblW w:type="auto" w:w="0"/>
        <w:tblLayout w:type="fixed"/>
        <w:tblLook w:firstColumn="1" w:firstRow="1" w:lastColumn="0" w:lastRow="0" w:noHBand="0" w:noVBand="1" w:val="04A0"/>
      </w:tblPr>
      <w:tblGrid>
        <w:gridCol w:w="9026"/>
      </w:tblGrid>
      <w:tr>
        <w:tc>
          <w:tcPr>
            <w:tcW w:type="dxa" w:w="8928"/>
            <w:tcBorders>
              <w:top w:val="single" w:sz="4" w:space="0" w:color="000000"/>
              <w:left w:val="single" w:sz="4" w:space="0" w:color="000000"/>
              <w:bottom w:val="single" w:sz="4" w:space="0" w:color="000000"/>
              <w:right w:val="single" w:sz="4" w:space="0" w:color="000000"/>
            </w:tcBorders>
          </w:tcPr>
          <w:p>
            <w:r>
              <w:rPr>
                <w:b w:val="0"/>
                <w:i w:val="0"/>
                <w:sz w:val="20"/>
              </w:rPr>
              <w:t>This BRD formally defines the business, functional, and process requirements for a digital loan application channel, an automated eligibility pre-screen, a consolidated approval-officer review screen, automated applicant status notifications, and repeat-applicant detection. It is intended to guide Branch Operations, Credit/Risk, IT/Systems, and Compliance in scoping, building, and launching these capabilities together.</w:t>
            </w:r>
          </w:p>
        </w:tc>
      </w:tr>
    </w:tbl>
    <w:p>
      <w:pPr>
        <w:pStyle w:val="Heading2"/>
        <w:spacing w:after="140" w:before="280"/>
      </w:pPr>
      <w:r>
        <w:rPr>
          <w:b/>
          <w:bCs/>
          <w:color w:val="1F3864"/>
        </w:rPr>
        <w:t xml:space="preserve">1.4 Program Type</w:t>
      </w:r>
    </w:p>
    <w:tbl>
      <w:tblPr>
        <w:tblW w:type="auto" w:w="0"/>
        <w:tblLayout w:type="fixed"/>
        <w:tblLook w:firstColumn="1" w:firstRow="1" w:lastColumn="0" w:lastRow="0" w:noHBand="0" w:noVBand="1" w:val="04A0"/>
      </w:tblPr>
      <w:tblGrid>
        <w:gridCol w:w="4464"/>
        <w:gridCol w:w="4464"/>
      </w:tblGrid>
      <w:tr>
        <w:tc>
          <w:tcPr>
            <w:tcW w:type="dxa" w:w="8928"/>
            <w:gridSpan w:val="2"/>
            <w:tcBorders>
              <w:top w:val="single" w:sz="4" w:space="0" w:color="000000"/>
              <w:left w:val="single" w:sz="4" w:space="0" w:color="000000"/>
              <w:bottom w:val="single" w:sz="4" w:space="0" w:color="000000"/>
              <w:right w:val="single" w:sz="4" w:space="0" w:color="000000"/>
            </w:tcBorders>
            <w:shd w:val="clear" w:color="auto" w:fill="BDD3EE"/>
          </w:tcPr>
          <w:p>
            <w:r>
              <w:rPr>
                <w:b/>
                <w:i w:val="0"/>
                <w:sz w:val="22"/>
              </w:rPr>
              <w:t>If it's an IT-led program:</w:t>
            </w:r>
          </w:p>
        </w:tc>
      </w:tr>
      <w:tr>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Automation</w:t>
            </w:r>
          </w:p>
        </w:tc>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End of support</w:t>
            </w:r>
          </w:p>
        </w:tc>
      </w:tr>
      <w:tr>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Audit compliance</w:t>
            </w:r>
          </w:p>
        </w:tc>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Infrastructure</w:t>
            </w:r>
          </w:p>
        </w:tc>
      </w:tr>
      <w:tr>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Business engagement model</w:t>
            </w:r>
          </w:p>
        </w:tc>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License renewal</w:t>
            </w:r>
          </w:p>
        </w:tc>
      </w:tr>
      <w:tr>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Capacity expansion</w:t>
            </w:r>
          </w:p>
        </w:tc>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Integration / modernization</w:t>
            </w:r>
          </w:p>
        </w:tc>
      </w:tr>
      <w:tr>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Cloud</w:t>
            </w:r>
          </w:p>
        </w:tc>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Security compliance</w:t>
            </w:r>
          </w:p>
        </w:tc>
      </w:tr>
      <w:tr>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Digital ways of working</w:t>
            </w:r>
          </w:p>
        </w:tc>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Security enhancement</w:t>
            </w:r>
          </w:p>
        </w:tc>
      </w:tr>
      <w:tr>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End of life replacement</w:t>
            </w:r>
          </w:p>
        </w:tc>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Others, please specify:</w:t>
            </w:r>
          </w:p>
        </w:tc>
      </w:tr>
    </w:tbl>
    <w:p>
      <w:pPr>
        <w:pStyle w:val="Heading2"/>
        <w:spacing w:after="140" w:before="280"/>
      </w:pPr>
      <w:r>
        <w:rPr>
          <w:b/>
          <w:bCs/>
          <w:color w:val="1F3864"/>
        </w:rPr>
        <w:t xml:space="preserve">1.5 Business Risk</w:t>
      </w:r>
    </w:p>
    <w:p>
      <w:pPr>
        <w:spacing w:after="160" w:line="276"/>
        <w:jc w:val="both"/>
      </w:pPr>
      <w:r>
        <w:t xml:space="preserve">Risks of proceeding with this initiative:</w:t>
      </w:r>
    </w:p>
    <w:p>
      <w:pPr>
        <w:pStyle w:val="ListParagraph"/>
        <w:numPr>
          <w:ilvl w:val="0"/>
          <w:numId w:val="2"/>
        </w:numPr>
        <w:spacing w:after="100" w:line="276"/>
      </w:pPr>
      <w:r>
        <w:t xml:space="preserve">Pre-screen accuracy risk: if the automated eligibility pre-screen (BR-02) is calibrated too strictly, it could auto-decline applicants who would otherwise have been approved by a human officer, causing lost business; if calibrated too loosely, ineligible applications will continue to reach officers. Thresholds should be reviewed against real outcomes after the pilot (Section 4.4).</w:t>
      </w:r>
    </w:p>
    <w:p>
      <w:pPr>
        <w:pStyle w:val="ListParagraph"/>
        <w:numPr>
          <w:ilvl w:val="0"/>
          <w:numId w:val="2"/>
        </w:numPr>
        <w:spacing w:after="100" w:line="276"/>
      </w:pPr>
      <w:r>
        <w:t xml:space="preserve">Credit bureau dependency risk: the pre-screen (BR-02) depends on a live credit bureau integration; an outage or slow response from the credit bureau would delay or block new applications from being screened, which is why continuous monitoring (Section 3.6) is required.</w:t>
      </w:r>
    </w:p>
    <w:p>
      <w:pPr>
        <w:pStyle w:val="ListParagraph"/>
        <w:numPr>
          <w:ilvl w:val="0"/>
          <w:numId w:val="2"/>
        </w:numPr>
        <w:spacing w:after="100" w:line="276"/>
      </w:pPr>
      <w:r>
        <w:t xml:space="preserve">Data-matching risk: the repeat-applicant detection in BR-05/BR-06 depends on a reliable unique applicant identifier being captured consistently; inconsistent identifier capture (e.g., typos, missing ID on older paper records) could cause a repeat applicant to go undetected, or a different applicant to be incorrectly matched.</w:t>
      </w:r>
    </w:p>
    <w:p>
      <w:pPr>
        <w:spacing w:after="160" w:line="276"/>
        <w:jc w:val="both"/>
      </w:pPr>
      <w:r>
        <w:t xml:space="preserve">Risks of not proceeding:</w:t>
      </w:r>
    </w:p>
    <w:p>
      <w:pPr>
        <w:pStyle w:val="ListParagraph"/>
        <w:numPr>
          <w:ilvl w:val="0"/>
          <w:numId w:val="2"/>
        </w:numPr>
        <w:spacing w:after="100" w:line="276"/>
      </w:pPr>
      <w:r>
        <w:t xml:space="preserve">Continued loss of prospective customers — particularly younger applicants — who decline to complete the current in-branch, paper-based process, consistent with the 68% abandonment reason found in the sample in Table 1.1.</w:t>
      </w:r>
    </w:p>
    <w:p>
      <w:pPr>
        <w:pStyle w:val="ListParagraph"/>
        <w:numPr>
          <w:ilvl w:val="0"/>
          <w:numId w:val="2"/>
        </w:numPr>
        <w:spacing w:after="100" w:line="276"/>
      </w:pPr>
      <w:r>
        <w:t xml:space="preserve">Continued approval-officer time spent reviewing applications that are ultimately found ineligible (22% of the current 320/month), and continued reliance on three separate systems per review, foregoing the approximately $51,460 in annual labor savings modeled in Section 2.2.</w:t>
      </w:r>
    </w:p>
    <w:p>
      <w:pPr>
        <w:pStyle w:val="ListParagraph"/>
        <w:numPr>
          <w:ilvl w:val="0"/>
          <w:numId w:val="2"/>
        </w:numPr>
        <w:spacing w:after="100" w:line="276"/>
      </w:pPr>
      <w:r>
        <w:t xml:space="preserve">Continued risk of approving a previously-declined applicant without the reviewing officer's knowledge, as already observed in the sample review referenced in 1.1.3, foregoing the approximately $22,500 in annual avoided credit losses modeled in Section 2.2.</w:t>
      </w:r>
    </w:p>
    <w:p>
      <w:r>
        <w:br w:type="page"/>
      </w:r>
    </w:p>
    <w:p>
      <w:pPr>
        <w:pStyle w:val="Heading1"/>
        <w:spacing w:after="200" w:before="360"/>
      </w:pPr>
      <w:r>
        <w:rPr>
          <w:b/>
          <w:bCs/>
          <w:color w:val="1F3864"/>
        </w:rPr>
        <w:t xml:space="preserve">CHAPTER II</w:t>
      </w:r>
    </w:p>
    <w:p>
      <w:pPr>
        <w:pStyle w:val="Heading1"/>
        <w:spacing w:after="200" w:before="360"/>
      </w:pPr>
      <w:r>
        <w:rPr>
          <w:b/>
          <w:bCs/>
          <w:color w:val="1F3864"/>
        </w:rPr>
        <w:t xml:space="preserve">BENEFIT ANALYSIS</w:t>
      </w:r>
    </w:p>
    <w:p>
      <w:pPr>
        <w:pStyle w:val="Heading2"/>
        <w:spacing w:after="140" w:before="280"/>
      </w:pPr>
      <w:r>
        <w:rPr>
          <w:b/>
          <w:bCs/>
          <w:color w:val="1F3864"/>
        </w:rPr>
        <w:t xml:space="preserve">2.1 Summary</w:t>
      </w:r>
    </w:p>
    <w:p>
      <w:pPr>
        <w:spacing w:after="160" w:line="276"/>
        <w:jc w:val="both"/>
      </w:pPr>
      <w:r>
        <w:t xml:space="preserve">Introducing a digital application channel is projected to increase total monthly applications from 320 to 384 (+20%), by recovering some of the customers who currently abandon the paper-based process. Of these, an automated pre-screen is projected to auto-decline 22% (84/month) before they reach a human officer, so despite the higher volume, only 300/month reach officer review — down from 320/month today. Combined with the consolidated single-screen review reducing average review time from 42 to 18 minutes, this is projected to save approximately 134 approval-officer hours per month, worth approximately $51,460 per year. Automated status notifications are projected to cut status-inquiry call volume by 80%, saving approximately $3,920 per year, and repeat-applicant detection is projected to avoid approximately $22,500 per year in credit losses from previously-undetected repeat applicants — a combined total of approximately $77,900 in annual benefit. Average time-to-decision is separately projected to fall from 6.5 to 1.5 business days.</w:t>
      </w:r>
    </w:p>
    <w:p>
      <w:pPr>
        <w:pStyle w:val="Heading2"/>
        <w:spacing w:after="140" w:before="280"/>
      </w:pPr>
      <w:r>
        <w:rPr>
          <w:b/>
          <w:bCs/>
          <w:color w:val="1F3864"/>
        </w:rPr>
        <w:t xml:space="preserve">2.2 Assumption and Calculation</w:t>
      </w:r>
    </w:p>
    <w:p>
      <w:pPr>
        <w:spacing w:after="160" w:line="276"/>
        <w:jc w:val="both"/>
      </w:pPr>
      <w:r>
        <w:t xml:space="preserve">The table below shows the calculation.</w:t>
      </w:r>
    </w:p>
    <w:p>
      <w:pPr>
        <w:spacing w:after="120" w:before="120"/>
      </w:pPr>
      <w:r>
        <w:rPr>
          <w:b/>
          <w:bCs/>
          <w:i/>
          <w:iCs/>
          <w:sz w:val="20"/>
          <w:szCs w:val="20"/>
        </w:rPr>
        <w:t xml:space="preserve">Table 2.1  Benefit Calculation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900"/>
        <w:gridCol w:w="4900"/>
      </w:tblGrid>
      <w:tr>
        <w:trPr>
          <w:tblHeader/>
        </w:trPr>
        <w:tc>
          <w:tcPr>
            <w:tcW w:type="dxa" w:w="4900"/>
            <w:shd w:fill="D9E2F3" w:color="auto" w:val="clear"/>
            <w:tcMar>
              <w:top w:type="dxa" w:w="100"/>
              <w:left w:type="dxa" w:w="120"/>
              <w:bottom w:type="dxa" w:w="100"/>
              <w:right w:type="dxa" w:w="120"/>
            </w:tcMar>
          </w:tcPr>
          <w:p>
            <w:pPr>
              <w:jc w:val="left"/>
            </w:pPr>
            <w:r>
              <w:rPr>
                <w:b/>
                <w:bCs/>
                <w:sz w:val="20"/>
                <w:szCs w:val="20"/>
              </w:rPr>
              <w:t xml:space="preserve">Metric</w:t>
            </w:r>
          </w:p>
        </w:tc>
        <w:tc>
          <w:tcPr>
            <w:tcW w:type="dxa" w:w="4900"/>
            <w:shd w:fill="D9E2F3" w:color="auto" w:val="clear"/>
            <w:tcMar>
              <w:top w:type="dxa" w:w="100"/>
              <w:left w:type="dxa" w:w="120"/>
              <w:bottom w:type="dxa" w:w="100"/>
              <w:right w:type="dxa" w:w="120"/>
            </w:tcMar>
          </w:tcPr>
          <w:p>
            <w:pPr>
              <w:jc w:val="center"/>
            </w:pPr>
            <w:r>
              <w:rPr>
                <w:b/>
                <w:bCs/>
                <w:sz w:val="20"/>
                <w:szCs w:val="20"/>
              </w:rPr>
              <w:t xml:space="preserve">Value</w:t>
            </w:r>
          </w:p>
        </w:tc>
      </w:tr>
      <w:tr>
        <w:tc>
          <w:tcPr>
            <w:tcW w:type="dxa" w:w="4900"/>
            <w:tcMar>
              <w:top w:type="dxa" w:w="100"/>
              <w:left w:type="dxa" w:w="120"/>
              <w:bottom w:type="dxa" w:w="100"/>
              <w:right w:type="dxa" w:w="120"/>
            </w:tcMar>
          </w:tcPr>
          <w:p>
            <w:pPr>
              <w:jc w:val="left"/>
            </w:pPr>
            <w:r>
              <w:rPr>
                <w:b w:val="false"/>
                <w:bCs w:val="false"/>
                <w:sz w:val="20"/>
                <w:szCs w:val="20"/>
              </w:rPr>
              <w:t xml:space="preserve">Baseline monthly applications (branch-only)</w:t>
            </w:r>
          </w:p>
        </w:tc>
        <w:tc>
          <w:tcPr>
            <w:tcW w:type="dxa" w:w="4900"/>
            <w:tcMar>
              <w:top w:type="dxa" w:w="100"/>
              <w:left w:type="dxa" w:w="120"/>
              <w:bottom w:type="dxa" w:w="100"/>
              <w:right w:type="dxa" w:w="120"/>
            </w:tcMar>
          </w:tcPr>
          <w:p>
            <w:pPr>
              <w:jc w:val="center"/>
            </w:pPr>
            <w:r>
              <w:rPr>
                <w:b w:val="false"/>
                <w:bCs w:val="false"/>
                <w:sz w:val="20"/>
                <w:szCs w:val="20"/>
              </w:rPr>
              <w:t xml:space="preserve">320</w:t>
            </w:r>
          </w:p>
        </w:tc>
      </w:tr>
      <w:tr>
        <w:tc>
          <w:tcPr>
            <w:tcW w:type="dxa" w:w="4900"/>
            <w:tcMar>
              <w:top w:type="dxa" w:w="100"/>
              <w:left w:type="dxa" w:w="120"/>
              <w:bottom w:type="dxa" w:w="100"/>
              <w:right w:type="dxa" w:w="120"/>
            </w:tcMar>
          </w:tcPr>
          <w:p>
            <w:pPr>
              <w:jc w:val="left"/>
            </w:pPr>
            <w:r>
              <w:rPr>
                <w:b w:val="false"/>
                <w:bCs w:val="false"/>
                <w:sz w:val="20"/>
                <w:szCs w:val="20"/>
              </w:rPr>
              <w:t xml:space="preserve">Target monthly applications (branch + digital combined, +20%)</w:t>
            </w:r>
          </w:p>
        </w:tc>
        <w:tc>
          <w:tcPr>
            <w:tcW w:type="dxa" w:w="4900"/>
            <w:tcMar>
              <w:top w:type="dxa" w:w="100"/>
              <w:left w:type="dxa" w:w="120"/>
              <w:bottom w:type="dxa" w:w="100"/>
              <w:right w:type="dxa" w:w="120"/>
            </w:tcMar>
          </w:tcPr>
          <w:p>
            <w:pPr>
              <w:jc w:val="center"/>
            </w:pPr>
            <w:r>
              <w:rPr>
                <w:b w:val="false"/>
                <w:bCs w:val="false"/>
                <w:sz w:val="20"/>
                <w:szCs w:val="20"/>
              </w:rPr>
              <w:t xml:space="preserve">384</w:t>
            </w:r>
          </w:p>
        </w:tc>
      </w:tr>
      <w:tr>
        <w:tc>
          <w:tcPr>
            <w:tcW w:type="dxa" w:w="4900"/>
            <w:tcMar>
              <w:top w:type="dxa" w:w="100"/>
              <w:left w:type="dxa" w:w="120"/>
              <w:bottom w:type="dxa" w:w="100"/>
              <w:right w:type="dxa" w:w="120"/>
            </w:tcMar>
          </w:tcPr>
          <w:p>
            <w:pPr>
              <w:jc w:val="left"/>
            </w:pPr>
            <w:r>
              <w:rPr>
                <w:b w:val="false"/>
                <w:bCs w:val="false"/>
                <w:sz w:val="20"/>
                <w:szCs w:val="20"/>
              </w:rPr>
              <w:t xml:space="preserve">Target pre-screen auto-decline rate (not reaching an officer)</w:t>
            </w:r>
          </w:p>
        </w:tc>
        <w:tc>
          <w:tcPr>
            <w:tcW w:type="dxa" w:w="4900"/>
            <w:tcMar>
              <w:top w:type="dxa" w:w="100"/>
              <w:left w:type="dxa" w:w="120"/>
              <w:bottom w:type="dxa" w:w="100"/>
              <w:right w:type="dxa" w:w="120"/>
            </w:tcMar>
          </w:tcPr>
          <w:p>
            <w:pPr>
              <w:jc w:val="center"/>
            </w:pPr>
            <w:r>
              <w:rPr>
                <w:b w:val="false"/>
                <w:bCs w:val="false"/>
                <w:sz w:val="20"/>
                <w:szCs w:val="20"/>
              </w:rPr>
              <w:t xml:space="preserve">22% (84/month)</w:t>
            </w:r>
          </w:p>
        </w:tc>
      </w:tr>
      <w:tr>
        <w:tc>
          <w:tcPr>
            <w:tcW w:type="dxa" w:w="4900"/>
            <w:tcMar>
              <w:top w:type="dxa" w:w="100"/>
              <w:left w:type="dxa" w:w="120"/>
              <w:bottom w:type="dxa" w:w="100"/>
              <w:right w:type="dxa" w:w="120"/>
            </w:tcMar>
          </w:tcPr>
          <w:p>
            <w:pPr>
              <w:jc w:val="left"/>
            </w:pPr>
            <w:r>
              <w:rPr>
                <w:b w:val="false"/>
                <w:bCs w:val="false"/>
                <w:sz w:val="20"/>
                <w:szCs w:val="20"/>
              </w:rPr>
              <w:t xml:space="preserve">Target applications reaching human officer review</w:t>
            </w:r>
          </w:p>
        </w:tc>
        <w:tc>
          <w:tcPr>
            <w:tcW w:type="dxa" w:w="4900"/>
            <w:tcMar>
              <w:top w:type="dxa" w:w="100"/>
              <w:left w:type="dxa" w:w="120"/>
              <w:bottom w:type="dxa" w:w="100"/>
              <w:right w:type="dxa" w:w="120"/>
            </w:tcMar>
          </w:tcPr>
          <w:p>
            <w:pPr>
              <w:jc w:val="center"/>
            </w:pPr>
            <w:r>
              <w:rPr>
                <w:b w:val="false"/>
                <w:bCs w:val="false"/>
                <w:sz w:val="20"/>
                <w:szCs w:val="20"/>
              </w:rPr>
              <w:t xml:space="preserve">300/month</w:t>
            </w:r>
          </w:p>
        </w:tc>
      </w:tr>
      <w:tr>
        <w:tc>
          <w:tcPr>
            <w:tcW w:type="dxa" w:w="4900"/>
            <w:tcMar>
              <w:top w:type="dxa" w:w="100"/>
              <w:left w:type="dxa" w:w="120"/>
              <w:bottom w:type="dxa" w:w="100"/>
              <w:right w:type="dxa" w:w="120"/>
            </w:tcMar>
          </w:tcPr>
          <w:p>
            <w:pPr>
              <w:jc w:val="left"/>
            </w:pPr>
            <w:r>
              <w:rPr>
                <w:b w:val="false"/>
                <w:bCs w:val="false"/>
                <w:sz w:val="20"/>
                <w:szCs w:val="20"/>
              </w:rPr>
              <w:t xml:space="preserve">Baseline officer review time per application</w:t>
            </w:r>
          </w:p>
        </w:tc>
        <w:tc>
          <w:tcPr>
            <w:tcW w:type="dxa" w:w="4900"/>
            <w:tcMar>
              <w:top w:type="dxa" w:w="100"/>
              <w:left w:type="dxa" w:w="120"/>
              <w:bottom w:type="dxa" w:w="100"/>
              <w:right w:type="dxa" w:w="120"/>
            </w:tcMar>
          </w:tcPr>
          <w:p>
            <w:pPr>
              <w:jc w:val="center"/>
            </w:pPr>
            <w:r>
              <w:rPr>
                <w:b w:val="false"/>
                <w:bCs w:val="false"/>
                <w:sz w:val="20"/>
                <w:szCs w:val="20"/>
              </w:rPr>
              <w:t xml:space="preserve">42 minutes (224 hrs/month total)</w:t>
            </w:r>
          </w:p>
        </w:tc>
      </w:tr>
      <w:tr>
        <w:tc>
          <w:tcPr>
            <w:tcW w:type="dxa" w:w="4900"/>
            <w:tcMar>
              <w:top w:type="dxa" w:w="100"/>
              <w:left w:type="dxa" w:w="120"/>
              <w:bottom w:type="dxa" w:w="100"/>
              <w:right w:type="dxa" w:w="120"/>
            </w:tcMar>
          </w:tcPr>
          <w:p>
            <w:pPr>
              <w:jc w:val="left"/>
            </w:pPr>
            <w:r>
              <w:rPr>
                <w:b w:val="false"/>
                <w:bCs w:val="false"/>
                <w:sz w:val="20"/>
                <w:szCs w:val="20"/>
              </w:rPr>
              <w:t xml:space="preserve">Target officer review time per application (single-screen view)</w:t>
            </w:r>
          </w:p>
        </w:tc>
        <w:tc>
          <w:tcPr>
            <w:tcW w:type="dxa" w:w="4900"/>
            <w:tcMar>
              <w:top w:type="dxa" w:w="100"/>
              <w:left w:type="dxa" w:w="120"/>
              <w:bottom w:type="dxa" w:w="100"/>
              <w:right w:type="dxa" w:w="120"/>
            </w:tcMar>
          </w:tcPr>
          <w:p>
            <w:pPr>
              <w:jc w:val="center"/>
            </w:pPr>
            <w:r>
              <w:rPr>
                <w:b w:val="false"/>
                <w:bCs w:val="false"/>
                <w:sz w:val="20"/>
                <w:szCs w:val="20"/>
              </w:rPr>
              <w:t xml:space="preserve">18 minutes (90 hrs/month total)</w:t>
            </w:r>
          </w:p>
        </w:tc>
      </w:tr>
      <w:tr>
        <w:tc>
          <w:tcPr>
            <w:tcW w:type="dxa" w:w="4900"/>
            <w:tcMar>
              <w:top w:type="dxa" w:w="100"/>
              <w:left w:type="dxa" w:w="120"/>
              <w:bottom w:type="dxa" w:w="100"/>
              <w:right w:type="dxa" w:w="120"/>
            </w:tcMar>
          </w:tcPr>
          <w:p>
            <w:pPr>
              <w:jc w:val="left"/>
            </w:pPr>
            <w:r>
              <w:rPr>
                <w:b w:val="false"/>
                <w:bCs w:val="false"/>
                <w:sz w:val="20"/>
                <w:szCs w:val="20"/>
              </w:rPr>
              <w:t xml:space="preserve">Officer hours saved per month</w:t>
            </w:r>
          </w:p>
        </w:tc>
        <w:tc>
          <w:tcPr>
            <w:tcW w:type="dxa" w:w="4900"/>
            <w:tcMar>
              <w:top w:type="dxa" w:w="100"/>
              <w:left w:type="dxa" w:w="120"/>
              <w:bottom w:type="dxa" w:w="100"/>
              <w:right w:type="dxa" w:w="120"/>
            </w:tcMar>
          </w:tcPr>
          <w:p>
            <w:pPr>
              <w:jc w:val="center"/>
            </w:pPr>
            <w:r>
              <w:rPr>
                <w:b w:val="false"/>
                <w:bCs w:val="false"/>
                <w:sz w:val="20"/>
                <w:szCs w:val="20"/>
              </w:rPr>
              <w:t xml:space="preserve">134 hours</w:t>
            </w:r>
          </w:p>
        </w:tc>
      </w:tr>
      <w:tr>
        <w:tc>
          <w:tcPr>
            <w:tcW w:type="dxa" w:w="4900"/>
            <w:tcMar>
              <w:top w:type="dxa" w:w="100"/>
              <w:left w:type="dxa" w:w="120"/>
              <w:bottom w:type="dxa" w:w="100"/>
              <w:right w:type="dxa" w:w="120"/>
            </w:tcMar>
          </w:tcPr>
          <w:p>
            <w:pPr>
              <w:jc w:val="left"/>
            </w:pPr>
            <w:r>
              <w:rPr>
                <w:b w:val="false"/>
                <w:bCs w:val="false"/>
                <w:sz w:val="20"/>
                <w:szCs w:val="20"/>
              </w:rPr>
              <w:t xml:space="preserve">Loaded approval-officer cost</w:t>
            </w:r>
          </w:p>
        </w:tc>
        <w:tc>
          <w:tcPr>
            <w:tcW w:type="dxa" w:w="4900"/>
            <w:tcMar>
              <w:top w:type="dxa" w:w="100"/>
              <w:left w:type="dxa" w:w="120"/>
              <w:bottom w:type="dxa" w:w="100"/>
              <w:right w:type="dxa" w:w="120"/>
            </w:tcMar>
          </w:tcPr>
          <w:p>
            <w:pPr>
              <w:jc w:val="center"/>
            </w:pPr>
            <w:r>
              <w:rPr>
                <w:b w:val="false"/>
                <w:bCs w:val="false"/>
                <w:sz w:val="20"/>
                <w:szCs w:val="20"/>
              </w:rPr>
              <w:t xml:space="preserve">$32/hour</w:t>
            </w:r>
          </w:p>
        </w:tc>
      </w:tr>
      <w:tr>
        <w:tc>
          <w:tcPr>
            <w:tcW w:type="dxa" w:w="4900"/>
            <w:tcMar>
              <w:top w:type="dxa" w:w="100"/>
              <w:left w:type="dxa" w:w="120"/>
              <w:bottom w:type="dxa" w:w="100"/>
              <w:right w:type="dxa" w:w="120"/>
            </w:tcMar>
          </w:tcPr>
          <w:p>
            <w:pPr>
              <w:jc w:val="left"/>
            </w:pPr>
            <w:r>
              <w:rPr>
                <w:b w:val="false"/>
                <w:bCs w:val="false"/>
                <w:sz w:val="20"/>
                <w:szCs w:val="20"/>
              </w:rPr>
              <w:t xml:space="preserve">Annual labor savings</w:t>
            </w:r>
          </w:p>
        </w:tc>
        <w:tc>
          <w:tcPr>
            <w:tcW w:type="dxa" w:w="4900"/>
            <w:tcMar>
              <w:top w:type="dxa" w:w="100"/>
              <w:left w:type="dxa" w:w="120"/>
              <w:bottom w:type="dxa" w:w="100"/>
              <w:right w:type="dxa" w:w="120"/>
            </w:tcMar>
          </w:tcPr>
          <w:p>
            <w:pPr>
              <w:jc w:val="center"/>
            </w:pPr>
            <w:r>
              <w:rPr>
                <w:b w:val="false"/>
                <w:bCs w:val="false"/>
                <w:sz w:val="20"/>
                <w:szCs w:val="20"/>
              </w:rPr>
              <w:t xml:space="preserve">~$51,460</w:t>
            </w:r>
          </w:p>
        </w:tc>
      </w:tr>
      <w:tr>
        <w:tc>
          <w:tcPr>
            <w:tcW w:type="dxa" w:w="4900"/>
            <w:tcMar>
              <w:top w:type="dxa" w:w="100"/>
              <w:left w:type="dxa" w:w="120"/>
              <w:bottom w:type="dxa" w:w="100"/>
              <w:right w:type="dxa" w:w="120"/>
            </w:tcMar>
          </w:tcPr>
          <w:p>
            <w:pPr>
              <w:jc w:val="left"/>
            </w:pPr>
            <w:r>
              <w:rPr>
                <w:b w:val="false"/>
                <w:bCs w:val="false"/>
                <w:sz w:val="20"/>
                <w:szCs w:val="20"/>
              </w:rPr>
              <w:t xml:space="preserve">Baseline call-center status-inquiry cost</w:t>
            </w:r>
          </w:p>
        </w:tc>
        <w:tc>
          <w:tcPr>
            <w:tcW w:type="dxa" w:w="4900"/>
            <w:tcMar>
              <w:top w:type="dxa" w:w="100"/>
              <w:left w:type="dxa" w:w="120"/>
              <w:bottom w:type="dxa" w:w="100"/>
              <w:right w:type="dxa" w:w="120"/>
            </w:tcMar>
          </w:tcPr>
          <w:p>
            <w:pPr>
              <w:jc w:val="center"/>
            </w:pPr>
            <w:r>
              <w:rPr>
                <w:b w:val="false"/>
                <w:bCs w:val="false"/>
                <w:sz w:val="20"/>
                <w:szCs w:val="20"/>
              </w:rPr>
              <w:t xml:space="preserve">~$4,896/year</w:t>
            </w:r>
          </w:p>
        </w:tc>
      </w:tr>
      <w:tr>
        <w:tc>
          <w:tcPr>
            <w:tcW w:type="dxa" w:w="4900"/>
            <w:tcMar>
              <w:top w:type="dxa" w:w="100"/>
              <w:left w:type="dxa" w:w="120"/>
              <w:bottom w:type="dxa" w:w="100"/>
              <w:right w:type="dxa" w:w="120"/>
            </w:tcMar>
          </w:tcPr>
          <w:p>
            <w:pPr>
              <w:jc w:val="left"/>
            </w:pPr>
            <w:r>
              <w:rPr>
                <w:b w:val="false"/>
                <w:bCs w:val="false"/>
                <w:sz w:val="20"/>
                <w:szCs w:val="20"/>
              </w:rPr>
              <w:t xml:space="preserve">Target reduction in status-inquiry calls (automated notifications, BR-04)</w:t>
            </w:r>
          </w:p>
        </w:tc>
        <w:tc>
          <w:tcPr>
            <w:tcW w:type="dxa" w:w="4900"/>
            <w:tcMar>
              <w:top w:type="dxa" w:w="100"/>
              <w:left w:type="dxa" w:w="120"/>
              <w:bottom w:type="dxa" w:w="100"/>
              <w:right w:type="dxa" w:w="120"/>
            </w:tcMar>
          </w:tcPr>
          <w:p>
            <w:pPr>
              <w:jc w:val="center"/>
            </w:pPr>
            <w:r>
              <w:rPr>
                <w:b w:val="false"/>
                <w:bCs w:val="false"/>
                <w:sz w:val="20"/>
                <w:szCs w:val="20"/>
              </w:rPr>
              <w:t xml:space="preserve">80%</w:t>
            </w:r>
          </w:p>
        </w:tc>
      </w:tr>
      <w:tr>
        <w:tc>
          <w:tcPr>
            <w:tcW w:type="dxa" w:w="4900"/>
            <w:tcMar>
              <w:top w:type="dxa" w:w="100"/>
              <w:left w:type="dxa" w:w="120"/>
              <w:bottom w:type="dxa" w:w="100"/>
              <w:right w:type="dxa" w:w="120"/>
            </w:tcMar>
          </w:tcPr>
          <w:p>
            <w:pPr>
              <w:jc w:val="left"/>
            </w:pPr>
            <w:r>
              <w:rPr>
                <w:b w:val="false"/>
                <w:bCs w:val="false"/>
                <w:sz w:val="20"/>
                <w:szCs w:val="20"/>
              </w:rPr>
              <w:t xml:space="preserve">Annual call-center savings</w:t>
            </w:r>
          </w:p>
        </w:tc>
        <w:tc>
          <w:tcPr>
            <w:tcW w:type="dxa" w:w="4900"/>
            <w:tcMar>
              <w:top w:type="dxa" w:w="100"/>
              <w:left w:type="dxa" w:w="120"/>
              <w:bottom w:type="dxa" w:w="100"/>
              <w:right w:type="dxa" w:w="120"/>
            </w:tcMar>
          </w:tcPr>
          <w:p>
            <w:pPr>
              <w:jc w:val="center"/>
            </w:pPr>
            <w:r>
              <w:rPr>
                <w:b w:val="false"/>
                <w:bCs w:val="false"/>
                <w:sz w:val="20"/>
                <w:szCs w:val="20"/>
              </w:rPr>
              <w:t xml:space="preserve">~$3,920</w:t>
            </w:r>
          </w:p>
        </w:tc>
      </w:tr>
      <w:tr>
        <w:tc>
          <w:tcPr>
            <w:tcW w:type="dxa" w:w="4900"/>
            <w:tcMar>
              <w:top w:type="dxa" w:w="100"/>
              <w:left w:type="dxa" w:w="120"/>
              <w:bottom w:type="dxa" w:w="100"/>
              <w:right w:type="dxa" w:w="120"/>
            </w:tcMar>
          </w:tcPr>
          <w:p>
            <w:pPr>
              <w:jc w:val="left"/>
            </w:pPr>
            <w:r>
              <w:rPr>
                <w:b w:val="false"/>
                <w:bCs w:val="false"/>
                <w:sz w:val="20"/>
                <w:szCs w:val="20"/>
              </w:rPr>
              <w:t xml:space="preserve">Estimated avoided credit losses (repeat-applicant flagging, BR-05/BR-06)</w:t>
            </w:r>
          </w:p>
        </w:tc>
        <w:tc>
          <w:tcPr>
            <w:tcW w:type="dxa" w:w="4900"/>
            <w:tcMar>
              <w:top w:type="dxa" w:w="100"/>
              <w:left w:type="dxa" w:w="120"/>
              <w:bottom w:type="dxa" w:w="100"/>
              <w:right w:type="dxa" w:w="120"/>
            </w:tcMar>
          </w:tcPr>
          <w:p>
            <w:pPr>
              <w:jc w:val="center"/>
            </w:pPr>
            <w:r>
              <w:rPr>
                <w:b w:val="false"/>
                <w:bCs w:val="false"/>
                <w:sz w:val="20"/>
                <w:szCs w:val="20"/>
              </w:rPr>
              <w:t xml:space="preserve">~$22,500/year (1.5 avoided bad approvals × $15,000)</w:t>
            </w:r>
          </w:p>
        </w:tc>
      </w:tr>
      <w:tr>
        <w:tc>
          <w:tcPr>
            <w:tcW w:type="dxa" w:w="4900"/>
            <w:tcMar>
              <w:top w:type="dxa" w:w="100"/>
              <w:left w:type="dxa" w:w="120"/>
              <w:bottom w:type="dxa" w:w="100"/>
              <w:right w:type="dxa" w:w="120"/>
            </w:tcMar>
          </w:tcPr>
          <w:p>
            <w:pPr>
              <w:jc w:val="left"/>
            </w:pPr>
            <w:r>
              <w:rPr>
                <w:b w:val="false"/>
                <w:bCs w:val="false"/>
                <w:sz w:val="20"/>
                <w:szCs w:val="20"/>
              </w:rPr>
              <w:t xml:space="preserve">Combined total annual benefit</w:t>
            </w:r>
          </w:p>
        </w:tc>
        <w:tc>
          <w:tcPr>
            <w:tcW w:type="dxa" w:w="4900"/>
            <w:tcMar>
              <w:top w:type="dxa" w:w="100"/>
              <w:left w:type="dxa" w:w="120"/>
              <w:bottom w:type="dxa" w:w="100"/>
              <w:right w:type="dxa" w:w="120"/>
            </w:tcMar>
          </w:tcPr>
          <w:p>
            <w:pPr>
              <w:jc w:val="center"/>
            </w:pPr>
            <w:r>
              <w:rPr>
                <w:b w:val="false"/>
                <w:bCs w:val="false"/>
                <w:sz w:val="20"/>
                <w:szCs w:val="20"/>
              </w:rPr>
              <w:t xml:space="preserve">~$77,900</w:t>
            </w:r>
          </w:p>
        </w:tc>
      </w:tr>
    </w:tbl>
    <w:p>
      <w:pPr>
        <w:spacing w:after="160"/>
      </w:pPr>
    </w:p>
    <w:p>
      <w:pPr>
        <w:spacing w:after="160" w:line="276"/>
        <w:jc w:val="both"/>
      </w:pPr>
      <w:r>
        <w:t xml:space="preserve">Assumptions used in this calculation:</w:t>
      </w:r>
    </w:p>
    <w:p>
      <w:pPr>
        <w:pStyle w:val="ListParagraph"/>
        <w:numPr>
          <w:ilvl w:val="0"/>
          <w:numId w:val="2"/>
        </w:numPr>
        <w:spacing w:after="100" w:line="276"/>
      </w:pPr>
      <w:r>
        <w:t xml:space="preserve">The +20% increase in total monthly applications assumes the digital channel recovers a portion of the customers who currently abandon the process, consistent with the 68% time/paperwork-related abandonment reason found in the Table 1.1 sample.</w:t>
      </w:r>
    </w:p>
    <w:p>
      <w:pPr>
        <w:pStyle w:val="ListParagraph"/>
        <w:numPr>
          <w:ilvl w:val="0"/>
          <w:numId w:val="2"/>
        </w:numPr>
        <w:spacing w:after="100" w:line="276"/>
      </w:pPr>
      <w:r>
        <w:t xml:space="preserve">The 22% pre-screen auto-decline rate is assumed to match the current post-hoc ineligibility rate found in manual review (Table 1.1); actual pre-screen accuracy should be validated during the pilot (Section 4.4).</w:t>
      </w:r>
    </w:p>
    <w:p>
      <w:pPr>
        <w:pStyle w:val="ListParagraph"/>
        <w:numPr>
          <w:ilvl w:val="0"/>
          <w:numId w:val="2"/>
        </w:numPr>
        <w:spacing w:after="100" w:line="276"/>
      </w:pPr>
      <w:r>
        <w:t xml:space="preserve">The reduction in officer review time (42 to 18 minutes) assumes the consolidated single-screen view (BR-03) eliminates the time currently spent switching between three separate systems.</w:t>
      </w:r>
    </w:p>
    <w:p>
      <w:pPr>
        <w:pStyle w:val="ListParagraph"/>
        <w:numPr>
          <w:ilvl w:val="0"/>
          <w:numId w:val="2"/>
        </w:numPr>
        <w:spacing w:after="100" w:line="276"/>
      </w:pPr>
      <w:r>
        <w:t xml:space="preserve">The 80% reduction in status-inquiry calls assumes most current calls are simple status checks that automated notifications (BR-04) would resolve; more complex inquiries are assumed to still require a call.</w:t>
      </w:r>
    </w:p>
    <w:p>
      <w:pPr>
        <w:pStyle w:val="ListParagraph"/>
        <w:numPr>
          <w:ilvl w:val="0"/>
          <w:numId w:val="2"/>
        </w:numPr>
        <w:spacing w:after="100" w:line="276"/>
      </w:pPr>
      <w:r>
        <w:t xml:space="preserve">The $22,500 in avoided credit losses assumes approximately 1.5 previously-undetected repeat-decline applicants per year would otherwise be approved on reapplication, at the average loan size of $15,000 shown in Table 1.1; this is extrapolated from the single such case identified in the 200-application sample review referenced in 1.1.3.</w:t>
      </w:r>
    </w:p>
    <w:p>
      <w:r>
        <w:br w:type="page"/>
      </w:r>
    </w:p>
    <w:p>
      <w:pPr>
        <w:pStyle w:val="Heading1"/>
        <w:spacing w:after="200" w:before="360"/>
      </w:pPr>
      <w:r>
        <w:rPr>
          <w:b/>
          <w:bCs/>
          <w:color w:val="1F3864"/>
        </w:rPr>
        <w:t xml:space="preserve">CHAPTER III</w:t>
      </w:r>
    </w:p>
    <w:p>
      <w:pPr>
        <w:pStyle w:val="Heading1"/>
        <w:spacing w:after="200" w:before="360"/>
      </w:pPr>
      <w:r>
        <w:rPr>
          <w:b/>
          <w:bCs/>
          <w:color w:val="1F3864"/>
        </w:rPr>
        <w:t xml:space="preserve">SERVICE DESCRIPTION</w:t>
      </w:r>
    </w:p>
    <w:p>
      <w:pPr>
        <w:pStyle w:val="Heading2"/>
        <w:spacing w:after="140" w:before="280"/>
      </w:pPr>
      <w:r>
        <w:rPr>
          <w:b/>
          <w:bCs/>
          <w:color w:val="1F3864"/>
        </w:rPr>
        <w:t xml:space="preserve">3.1 General Requirement</w:t>
      </w:r>
    </w:p>
    <w:p>
      <w:pPr>
        <w:spacing w:after="160" w:line="276"/>
        <w:jc w:val="both"/>
      </w:pPr>
      <w:r>
        <w:t xml:space="preserve">The system shall allow a customer to apply for a loan entirely from a mobile device or web browser, shall automatically screen out ineligible applicants before they reach a human officer, and shall give the approval officer a single consolidated view of every application — including the applicant's prior application history — instead of requiring separate systems.</w:t>
      </w:r>
    </w:p>
    <w:p>
      <w:pPr>
        <w:spacing w:after="120" w:before="120"/>
      </w:pPr>
      <w:r>
        <w:rPr>
          <w:b/>
          <w:bCs/>
          <w:i/>
          <w:iCs/>
          <w:sz w:val="20"/>
          <w:szCs w:val="20"/>
        </w:rPr>
        <w:t xml:space="preserve">Table 3.1  General Requirements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100"/>
        <w:gridCol w:w="7200"/>
        <w:gridCol w:w="1500"/>
      </w:tblGrid>
      <w:tr>
        <w:trPr>
          <w:tblHeader/>
        </w:trPr>
        <w:tc>
          <w:tcPr>
            <w:tcW w:type="dxa" w:w="1100"/>
            <w:shd w:fill="D9E2F3" w:color="auto" w:val="clear"/>
            <w:tcMar>
              <w:top w:type="dxa" w:w="100"/>
              <w:left w:type="dxa" w:w="120"/>
              <w:bottom w:type="dxa" w:w="100"/>
              <w:right w:type="dxa" w:w="120"/>
            </w:tcMar>
          </w:tcPr>
          <w:p>
            <w:pPr>
              <w:jc w:val="center"/>
            </w:pPr>
            <w:r>
              <w:rPr>
                <w:b/>
                <w:bCs/>
                <w:sz w:val="20"/>
                <w:szCs w:val="20"/>
              </w:rPr>
              <w:t xml:space="preserve">Req ID</w:t>
            </w:r>
          </w:p>
        </w:tc>
        <w:tc>
          <w:tcPr>
            <w:tcW w:type="dxa" w:w="7200"/>
            <w:shd w:fill="D9E2F3" w:color="auto" w:val="clear"/>
            <w:tcMar>
              <w:top w:type="dxa" w:w="100"/>
              <w:left w:type="dxa" w:w="120"/>
              <w:bottom w:type="dxa" w:w="100"/>
              <w:right w:type="dxa" w:w="120"/>
            </w:tcMar>
          </w:tcPr>
          <w:p>
            <w:pPr>
              <w:jc w:val="left"/>
            </w:pPr>
            <w:r>
              <w:rPr>
                <w:b/>
                <w:bCs/>
                <w:sz w:val="20"/>
                <w:szCs w:val="20"/>
              </w:rPr>
              <w:t xml:space="preserve">Requirement Description</w:t>
            </w:r>
          </w:p>
        </w:tc>
        <w:tc>
          <w:tcPr>
            <w:tcW w:type="dxa" w:w="1500"/>
            <w:shd w:fill="D9E2F3" w:color="auto" w:val="clear"/>
            <w:tcMar>
              <w:top w:type="dxa" w:w="100"/>
              <w:left w:type="dxa" w:w="120"/>
              <w:bottom w:type="dxa" w:w="100"/>
              <w:right w:type="dxa" w:w="120"/>
            </w:tcMar>
          </w:tcPr>
          <w:p>
            <w:pPr>
              <w:jc w:val="center"/>
            </w:pPr>
            <w:r>
              <w:rPr>
                <w:b/>
                <w:bCs/>
                <w:sz w:val="20"/>
                <w:szCs w:val="20"/>
              </w:rPr>
              <w:t xml:space="preserve">Priority</w:t>
            </w:r>
          </w:p>
        </w:tc>
      </w:tr>
      <w:tr>
        <w:tc>
          <w:tcPr>
            <w:tcW w:type="dxa" w:w="1100"/>
            <w:tcMar>
              <w:top w:type="dxa" w:w="100"/>
              <w:left w:type="dxa" w:w="120"/>
              <w:bottom w:type="dxa" w:w="100"/>
              <w:right w:type="dxa" w:w="120"/>
            </w:tcMar>
          </w:tcPr>
          <w:p>
            <w:pPr>
              <w:jc w:val="center"/>
            </w:pPr>
            <w:r>
              <w:rPr>
                <w:b/>
                <w:bCs/>
                <w:sz w:val="20"/>
                <w:szCs w:val="20"/>
              </w:rPr>
              <w:t xml:space="preserve">BR-01</w:t>
            </w:r>
          </w:p>
        </w:tc>
        <w:tc>
          <w:tcPr>
            <w:tcW w:type="dxa" w:w="7200"/>
            <w:tcMar>
              <w:top w:type="dxa" w:w="100"/>
              <w:left w:type="dxa" w:w="120"/>
              <w:bottom w:type="dxa" w:w="100"/>
              <w:right w:type="dxa" w:w="120"/>
            </w:tcMar>
          </w:tcPr>
          <w:p>
            <w:pPr>
              <w:jc w:val="left"/>
            </w:pPr>
            <w:r>
              <w:rPr>
                <w:b w:val="false"/>
                <w:bCs w:val="false"/>
                <w:sz w:val="20"/>
                <w:szCs w:val="20"/>
              </w:rPr>
              <w:t xml:space="preserve">The system shall allow a customer to submit a complete loan application from a mobile device or web browser, without requiring a branch visit, capturing the same information currently collected on the paper application.</w:t>
            </w:r>
          </w:p>
        </w:tc>
        <w:tc>
          <w:tcPr>
            <w:tcW w:type="dxa" w:w="1500"/>
            <w:tcMar>
              <w:top w:type="dxa" w:w="100"/>
              <w:left w:type="dxa" w:w="120"/>
              <w:bottom w:type="dxa" w:w="100"/>
              <w:right w:type="dxa" w:w="120"/>
            </w:tcMar>
          </w:tcPr>
          <w:p>
            <w:pPr>
              <w:jc w:val="center"/>
            </w:pPr>
            <w:r>
              <w:rPr>
                <w:b w:val="false"/>
                <w:bCs w:val="false"/>
                <w:sz w:val="20"/>
                <w:szCs w:val="20"/>
              </w:rPr>
              <w:t xml:space="preserve">Must Have</w:t>
            </w:r>
          </w:p>
        </w:tc>
      </w:tr>
      <w:tr>
        <w:tc>
          <w:tcPr>
            <w:tcW w:type="dxa" w:w="1100"/>
            <w:tcMar>
              <w:top w:type="dxa" w:w="100"/>
              <w:left w:type="dxa" w:w="120"/>
              <w:bottom w:type="dxa" w:w="100"/>
              <w:right w:type="dxa" w:w="120"/>
            </w:tcMar>
          </w:tcPr>
          <w:p>
            <w:pPr>
              <w:jc w:val="center"/>
            </w:pPr>
            <w:r>
              <w:rPr>
                <w:b/>
                <w:bCs/>
                <w:sz w:val="20"/>
                <w:szCs w:val="20"/>
              </w:rPr>
              <w:t xml:space="preserve">BR-02</w:t>
            </w:r>
          </w:p>
        </w:tc>
        <w:tc>
          <w:tcPr>
            <w:tcW w:type="dxa" w:w="7200"/>
            <w:tcMar>
              <w:top w:type="dxa" w:w="100"/>
              <w:left w:type="dxa" w:w="120"/>
              <w:bottom w:type="dxa" w:w="100"/>
              <w:right w:type="dxa" w:w="120"/>
            </w:tcMar>
          </w:tcPr>
          <w:p>
            <w:pPr>
              <w:jc w:val="left"/>
            </w:pPr>
            <w:r>
              <w:rPr>
                <w:b w:val="false"/>
                <w:bCs w:val="false"/>
                <w:sz w:val="20"/>
                <w:szCs w:val="20"/>
              </w:rPr>
              <w:t xml:space="preserve">The system shall perform an automated eligibility pre-screen — including a credit bureau score pull — immediately upon submission, and shall route applications that fail minimum eligibility criteria to an automatic decline notification without occupying an approval officer's queue.</w:t>
            </w:r>
          </w:p>
        </w:tc>
        <w:tc>
          <w:tcPr>
            <w:tcW w:type="dxa" w:w="1500"/>
            <w:tcMar>
              <w:top w:type="dxa" w:w="100"/>
              <w:left w:type="dxa" w:w="120"/>
              <w:bottom w:type="dxa" w:w="100"/>
              <w:right w:type="dxa" w:w="120"/>
            </w:tcMar>
          </w:tcPr>
          <w:p>
            <w:pPr>
              <w:jc w:val="center"/>
            </w:pPr>
            <w:r>
              <w:rPr>
                <w:b w:val="false"/>
                <w:bCs w:val="false"/>
                <w:sz w:val="20"/>
                <w:szCs w:val="20"/>
              </w:rPr>
              <w:t xml:space="preserve">Must Have</w:t>
            </w:r>
          </w:p>
        </w:tc>
      </w:tr>
      <w:tr>
        <w:tc>
          <w:tcPr>
            <w:tcW w:type="dxa" w:w="1100"/>
            <w:tcMar>
              <w:top w:type="dxa" w:w="100"/>
              <w:left w:type="dxa" w:w="120"/>
              <w:bottom w:type="dxa" w:w="100"/>
              <w:right w:type="dxa" w:w="120"/>
            </w:tcMar>
          </w:tcPr>
          <w:p>
            <w:pPr>
              <w:jc w:val="center"/>
            </w:pPr>
            <w:r>
              <w:rPr>
                <w:b/>
                <w:bCs/>
                <w:sz w:val="20"/>
                <w:szCs w:val="20"/>
              </w:rPr>
              <w:t xml:space="preserve">BR-03</w:t>
            </w:r>
          </w:p>
        </w:tc>
        <w:tc>
          <w:tcPr>
            <w:tcW w:type="dxa" w:w="7200"/>
            <w:tcMar>
              <w:top w:type="dxa" w:w="100"/>
              <w:left w:type="dxa" w:w="120"/>
              <w:bottom w:type="dxa" w:w="100"/>
              <w:right w:type="dxa" w:w="120"/>
            </w:tcMar>
          </w:tcPr>
          <w:p>
            <w:pPr>
              <w:jc w:val="left"/>
            </w:pPr>
            <w:r>
              <w:rPr>
                <w:b w:val="false"/>
                <w:bCs w:val="false"/>
                <w:sz w:val="20"/>
                <w:szCs w:val="20"/>
              </w:rPr>
              <w:t xml:space="preserve">The system shall present each application that passes pre-screening to the approval officer on a single consolidated screen, showing applicant details, credit bureau data, submitted documents, and application history together.</w:t>
            </w:r>
          </w:p>
        </w:tc>
        <w:tc>
          <w:tcPr>
            <w:tcW w:type="dxa" w:w="1500"/>
            <w:tcMar>
              <w:top w:type="dxa" w:w="100"/>
              <w:left w:type="dxa" w:w="120"/>
              <w:bottom w:type="dxa" w:w="100"/>
              <w:right w:type="dxa" w:w="120"/>
            </w:tcMar>
          </w:tcPr>
          <w:p>
            <w:pPr>
              <w:jc w:val="center"/>
            </w:pPr>
            <w:r>
              <w:rPr>
                <w:b w:val="false"/>
                <w:bCs w:val="false"/>
                <w:sz w:val="20"/>
                <w:szCs w:val="20"/>
              </w:rPr>
              <w:t xml:space="preserve">Must Have</w:t>
            </w:r>
          </w:p>
        </w:tc>
      </w:tr>
      <w:tr>
        <w:tc>
          <w:tcPr>
            <w:tcW w:type="dxa" w:w="1100"/>
            <w:tcMar>
              <w:top w:type="dxa" w:w="100"/>
              <w:left w:type="dxa" w:w="120"/>
              <w:bottom w:type="dxa" w:w="100"/>
              <w:right w:type="dxa" w:w="120"/>
            </w:tcMar>
          </w:tcPr>
          <w:p>
            <w:pPr>
              <w:jc w:val="center"/>
            </w:pPr>
            <w:r>
              <w:rPr>
                <w:b/>
                <w:bCs/>
                <w:sz w:val="20"/>
                <w:szCs w:val="20"/>
              </w:rPr>
              <w:t xml:space="preserve">BR-04</w:t>
            </w:r>
          </w:p>
        </w:tc>
        <w:tc>
          <w:tcPr>
            <w:tcW w:type="dxa" w:w="7200"/>
            <w:tcMar>
              <w:top w:type="dxa" w:w="100"/>
              <w:left w:type="dxa" w:w="120"/>
              <w:bottom w:type="dxa" w:w="100"/>
              <w:right w:type="dxa" w:w="120"/>
            </w:tcMar>
          </w:tcPr>
          <w:p>
            <w:pPr>
              <w:jc w:val="left"/>
            </w:pPr>
            <w:r>
              <w:rPr>
                <w:b w:val="false"/>
                <w:bCs w:val="false"/>
                <w:sz w:val="20"/>
                <w:szCs w:val="20"/>
              </w:rPr>
              <w:t xml:space="preserve">The system shall automatically notify the applicant of their application status (received, in review, additional documents needed, approved, or declined) via SMS and in-app/email notification at each status change, without requiring the applicant to call.</w:t>
            </w:r>
          </w:p>
        </w:tc>
        <w:tc>
          <w:tcPr>
            <w:tcW w:type="dxa" w:w="1500"/>
            <w:tcMar>
              <w:top w:type="dxa" w:w="100"/>
              <w:left w:type="dxa" w:w="120"/>
              <w:bottom w:type="dxa" w:w="100"/>
              <w:right w:type="dxa" w:w="120"/>
            </w:tcMar>
          </w:tcPr>
          <w:p>
            <w:pPr>
              <w:jc w:val="center"/>
            </w:pPr>
            <w:r>
              <w:rPr>
                <w:b w:val="false"/>
                <w:bCs w:val="false"/>
                <w:sz w:val="20"/>
                <w:szCs w:val="20"/>
              </w:rPr>
              <w:t xml:space="preserve">Must Have</w:t>
            </w:r>
          </w:p>
        </w:tc>
      </w:tr>
      <w:tr>
        <w:tc>
          <w:tcPr>
            <w:tcW w:type="dxa" w:w="1100"/>
            <w:tcMar>
              <w:top w:type="dxa" w:w="100"/>
              <w:left w:type="dxa" w:w="120"/>
              <w:bottom w:type="dxa" w:w="100"/>
              <w:right w:type="dxa" w:w="120"/>
            </w:tcMar>
          </w:tcPr>
          <w:p>
            <w:pPr>
              <w:jc w:val="center"/>
            </w:pPr>
            <w:r>
              <w:rPr>
                <w:b/>
                <w:bCs/>
                <w:sz w:val="20"/>
                <w:szCs w:val="20"/>
              </w:rPr>
              <w:t xml:space="preserve">BR-05</w:t>
            </w:r>
          </w:p>
        </w:tc>
        <w:tc>
          <w:tcPr>
            <w:tcW w:type="dxa" w:w="7200"/>
            <w:tcMar>
              <w:top w:type="dxa" w:w="100"/>
              <w:left w:type="dxa" w:w="120"/>
              <w:bottom w:type="dxa" w:w="100"/>
              <w:right w:type="dxa" w:w="120"/>
            </w:tcMar>
          </w:tcPr>
          <w:p>
            <w:pPr>
              <w:jc w:val="left"/>
            </w:pPr>
            <w:r>
              <w:rPr>
                <w:b w:val="false"/>
                <w:bCs w:val="false"/>
                <w:sz w:val="20"/>
                <w:szCs w:val="20"/>
              </w:rPr>
              <w:t xml:space="preserve">The system shall match each new application against the applicant's national ID (or equivalent unique identifier) to detect and display any prior applications from the same applicant, including the outcome and date of each, on the consolidated review screen (BR-03).</w:t>
            </w:r>
          </w:p>
        </w:tc>
        <w:tc>
          <w:tcPr>
            <w:tcW w:type="dxa" w:w="1500"/>
            <w:tcMar>
              <w:top w:type="dxa" w:w="100"/>
              <w:left w:type="dxa" w:w="120"/>
              <w:bottom w:type="dxa" w:w="100"/>
              <w:right w:type="dxa" w:w="120"/>
            </w:tcMar>
          </w:tcPr>
          <w:p>
            <w:pPr>
              <w:jc w:val="center"/>
            </w:pPr>
            <w:r>
              <w:rPr>
                <w:b w:val="false"/>
                <w:bCs w:val="false"/>
                <w:sz w:val="20"/>
                <w:szCs w:val="20"/>
              </w:rPr>
              <w:t xml:space="preserve">Must Have</w:t>
            </w:r>
          </w:p>
        </w:tc>
      </w:tr>
      <w:tr>
        <w:tc>
          <w:tcPr>
            <w:tcW w:type="dxa" w:w="1100"/>
            <w:tcMar>
              <w:top w:type="dxa" w:w="100"/>
              <w:left w:type="dxa" w:w="120"/>
              <w:bottom w:type="dxa" w:w="100"/>
              <w:right w:type="dxa" w:w="120"/>
            </w:tcMar>
          </w:tcPr>
          <w:p>
            <w:pPr>
              <w:jc w:val="center"/>
            </w:pPr>
            <w:r>
              <w:rPr>
                <w:b/>
                <w:bCs/>
                <w:sz w:val="20"/>
                <w:szCs w:val="20"/>
              </w:rPr>
              <w:t xml:space="preserve">BR-06</w:t>
            </w:r>
          </w:p>
        </w:tc>
        <w:tc>
          <w:tcPr>
            <w:tcW w:type="dxa" w:w="7200"/>
            <w:tcMar>
              <w:top w:type="dxa" w:w="100"/>
              <w:left w:type="dxa" w:w="120"/>
              <w:bottom w:type="dxa" w:w="100"/>
              <w:right w:type="dxa" w:w="120"/>
            </w:tcMar>
          </w:tcPr>
          <w:p>
            <w:pPr>
              <w:jc w:val="left"/>
            </w:pPr>
            <w:r>
              <w:rPr>
                <w:b w:val="false"/>
                <w:bCs w:val="false"/>
                <w:sz w:val="20"/>
                <w:szCs w:val="20"/>
              </w:rPr>
              <w:t xml:space="preserve">The system shall flag an application as a “repeat applicant” if the same applicant has 2 or more applications on file within the trailing 12 months, and shall display the count and most recent outcome prominently to the approval officer.</w:t>
            </w:r>
          </w:p>
        </w:tc>
        <w:tc>
          <w:tcPr>
            <w:tcW w:type="dxa" w:w="1500"/>
            <w:tcMar>
              <w:top w:type="dxa" w:w="100"/>
              <w:left w:type="dxa" w:w="120"/>
              <w:bottom w:type="dxa" w:w="100"/>
              <w:right w:type="dxa" w:w="120"/>
            </w:tcMar>
          </w:tcPr>
          <w:p>
            <w:pPr>
              <w:jc w:val="center"/>
            </w:pPr>
            <w:r>
              <w:rPr>
                <w:b w:val="false"/>
                <w:bCs w:val="false"/>
                <w:sz w:val="20"/>
                <w:szCs w:val="20"/>
              </w:rPr>
              <w:t xml:space="preserve">Must Have</w:t>
            </w:r>
          </w:p>
        </w:tc>
      </w:tr>
      <w:tr>
        <w:tc>
          <w:tcPr>
            <w:tcW w:type="dxa" w:w="1100"/>
            <w:tcMar>
              <w:top w:type="dxa" w:w="100"/>
              <w:left w:type="dxa" w:w="120"/>
              <w:bottom w:type="dxa" w:w="100"/>
              <w:right w:type="dxa" w:w="120"/>
            </w:tcMar>
          </w:tcPr>
          <w:p>
            <w:pPr>
              <w:jc w:val="center"/>
            </w:pPr>
            <w:r>
              <w:rPr>
                <w:b/>
                <w:bCs/>
                <w:sz w:val="20"/>
                <w:szCs w:val="20"/>
              </w:rPr>
              <w:t xml:space="preserve">BR-07</w:t>
            </w:r>
          </w:p>
        </w:tc>
        <w:tc>
          <w:tcPr>
            <w:tcW w:type="dxa" w:w="7200"/>
            <w:tcMar>
              <w:top w:type="dxa" w:w="100"/>
              <w:left w:type="dxa" w:w="120"/>
              <w:bottom w:type="dxa" w:w="100"/>
              <w:right w:type="dxa" w:w="120"/>
            </w:tcMar>
          </w:tcPr>
          <w:p>
            <w:pPr>
              <w:jc w:val="left"/>
            </w:pPr>
            <w:r>
              <w:rPr>
                <w:b w:val="false"/>
                <w:bCs w:val="false"/>
                <w:sz w:val="20"/>
                <w:szCs w:val="20"/>
              </w:rPr>
              <w:t xml:space="preserve">The system shall log every status change and every screening/decision outcome, with a timestamp and the responsible actor (system or officer), to support audit and dispute resolution.</w:t>
            </w:r>
          </w:p>
        </w:tc>
        <w:tc>
          <w:tcPr>
            <w:tcW w:type="dxa" w:w="1500"/>
            <w:tcMar>
              <w:top w:type="dxa" w:w="100"/>
              <w:left w:type="dxa" w:w="120"/>
              <w:bottom w:type="dxa" w:w="100"/>
              <w:right w:type="dxa" w:w="120"/>
            </w:tcMar>
          </w:tcPr>
          <w:p>
            <w:pPr>
              <w:jc w:val="center"/>
            </w:pPr>
            <w:r>
              <w:rPr>
                <w:b w:val="false"/>
                <w:bCs w:val="false"/>
                <w:sz w:val="20"/>
                <w:szCs w:val="20"/>
              </w:rPr>
              <w:t xml:space="preserve">Must Have</w:t>
            </w:r>
          </w:p>
        </w:tc>
      </w:tr>
    </w:tbl>
    <w:p>
      <w:pPr>
        <w:spacing w:after="200"/>
      </w:pPr>
    </w:p>
    <w:p>
      <w:pPr>
        <w:pStyle w:val="Heading2"/>
        <w:spacing w:after="140" w:before="280"/>
      </w:pPr>
      <w:r>
        <w:rPr>
          <w:b/>
          <w:bCs/>
          <w:color w:val="1F3864"/>
        </w:rPr>
        <w:t xml:space="preserve">3.2 Product / Service Specification</w:t>
      </w:r>
    </w:p>
    <w:tbl>
      <w:tblPr>
        <w:tblW w:type="auto" w:w="0"/>
        <w:tblLayout w:type="fixed"/>
        <w:tblLook w:firstColumn="1" w:firstRow="1" w:lastColumn="0" w:lastRow="0" w:noHBand="0" w:noVBand="1" w:val="04A0"/>
      </w:tblPr>
      <w:tblGrid>
        <w:gridCol w:w="2160"/>
        <w:gridCol w:w="6840"/>
      </w:tblGrid>
      <w:tr>
        <w:tc>
          <w:tcPr>
            <w:tcW w:type="dxa" w:w="2160"/>
            <w:tcBorders>
              <w:top w:val="single" w:sz="4" w:space="0" w:color="000000"/>
              <w:left w:val="single" w:sz="4" w:space="0" w:color="000000"/>
              <w:bottom w:val="single" w:sz="4" w:space="0" w:color="000000"/>
              <w:right w:val="single" w:sz="4" w:space="0" w:color="000000"/>
            </w:tcBorders>
            <w:shd w:val="clear" w:color="auto" w:fill="F2F2F2"/>
          </w:tcPr>
          <w:p>
            <w:r>
              <w:rPr>
                <w:b/>
                <w:i w:val="0"/>
                <w:sz w:val="20"/>
              </w:rPr>
              <w:t>Target Market Segmentation</w:t>
            </w:r>
          </w:p>
          <w:p>
            <w:r>
              <w:rPr>
                <w:b w:val="0"/>
                <w:i/>
                <w:sz w:val="16"/>
              </w:rPr>
              <w:t>(Market segmentation consisting of group of customer being targeted by changes in Product / Service requested in this Business Requirements)</w:t>
            </w:r>
          </w:p>
        </w:tc>
        <w:tc>
          <w:tcPr>
            <w:tcW w:type="dxa" w:w="6840"/>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HVC</w:t>
            </w:r>
          </w:p>
          <w:p>
            <w:r>
              <w:rPr>
                <w:b w:val="0"/>
                <w:i w:val="0"/>
                <w:sz w:val="22"/>
              </w:rPr>
              <w:t xml:space="preserve">☐ </w:t>
            </w:r>
            <w:r>
              <w:rPr>
                <w:b w:val="0"/>
                <w:i w:val="0"/>
                <w:sz w:val="20"/>
              </w:rPr>
              <w:t>Non HVC</w:t>
            </w:r>
          </w:p>
          <w:p>
            <w:r>
              <w:rPr>
                <w:b w:val="0"/>
                <w:i w:val="0"/>
                <w:sz w:val="22"/>
              </w:rPr>
              <w:t xml:space="preserve">☐ </w:t>
            </w:r>
            <w:r>
              <w:rPr>
                <w:b w:val="0"/>
                <w:i w:val="0"/>
                <w:sz w:val="20"/>
              </w:rPr>
              <w:t>SME</w:t>
            </w:r>
          </w:p>
          <w:p>
            <w:r>
              <w:rPr>
                <w:b w:val="0"/>
                <w:i w:val="0"/>
                <w:sz w:val="22"/>
              </w:rPr>
              <w:t xml:space="preserve">☐ </w:t>
            </w:r>
            <w:r>
              <w:rPr>
                <w:b w:val="0"/>
                <w:i w:val="0"/>
                <w:sz w:val="20"/>
              </w:rPr>
              <w:t>Corporate</w:t>
            </w:r>
          </w:p>
          <w:p>
            <w:r>
              <w:rPr>
                <w:b w:val="0"/>
                <w:i w:val="0"/>
                <w:sz w:val="22"/>
              </w:rPr>
              <w:t xml:space="preserve">☐ </w:t>
            </w:r>
            <w:r>
              <w:rPr>
                <w:b w:val="0"/>
                <w:i w:val="0"/>
                <w:sz w:val="20"/>
              </w:rPr>
              <w:t>Governance</w:t>
            </w:r>
          </w:p>
          <w:p>
            <w:r>
              <w:rPr>
                <w:b w:val="0"/>
                <w:i w:val="0"/>
                <w:sz w:val="22"/>
              </w:rPr>
              <w:t xml:space="preserve">☒ </w:t>
            </w:r>
            <w:r>
              <w:rPr>
                <w:b w:val="0"/>
                <w:i w:val="0"/>
                <w:sz w:val="20"/>
              </w:rPr>
              <w:t>Targeted segment, please specify: Retail/individual loan applicants (personal lending); not restricted by HVC/SME/Corporate tiering</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2F2F2"/>
          </w:tcPr>
          <w:p>
            <w:r>
              <w:rPr>
                <w:b/>
                <w:i w:val="0"/>
                <w:sz w:val="20"/>
              </w:rPr>
              <w:t>Subscriber Eligibility</w:t>
            </w:r>
          </w:p>
        </w:tc>
        <w:tc>
          <w:tcPr>
            <w:tcW w:type="dxa" w:w="6840"/>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Telkomsel Customer</w:t>
            </w:r>
          </w:p>
          <w:p>
            <w:r>
              <w:rPr>
                <w:b w:val="0"/>
                <w:i w:val="0"/>
                <w:sz w:val="22"/>
              </w:rPr>
              <w:t xml:space="preserve">☐ </w:t>
            </w:r>
            <w:r>
              <w:rPr>
                <w:b w:val="0"/>
                <w:i w:val="0"/>
                <w:sz w:val="20"/>
              </w:rPr>
              <w:t>Telkomsel Employee</w:t>
            </w:r>
          </w:p>
          <w:p>
            <w:r>
              <w:rPr>
                <w:b w:val="0"/>
                <w:i w:val="0"/>
                <w:sz w:val="22"/>
              </w:rPr>
              <w:t xml:space="preserve">☒ </w:t>
            </w:r>
            <w:r>
              <w:rPr>
                <w:b w:val="0"/>
                <w:i w:val="0"/>
                <w:sz w:val="20"/>
              </w:rPr>
              <w:t>Others, please specify: All prospective and existing loan applicants of the lender</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2F2F2"/>
          </w:tcPr>
          <w:p>
            <w:r>
              <w:rPr>
                <w:b/>
                <w:i w:val="0"/>
                <w:sz w:val="20"/>
              </w:rPr>
              <w:t>Brand Eligibility</w:t>
            </w:r>
          </w:p>
        </w:tc>
        <w:tc>
          <w:tcPr>
            <w:tcW w:type="dxa" w:w="6840"/>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SimPATI</w:t>
            </w:r>
          </w:p>
          <w:p>
            <w:r>
              <w:rPr>
                <w:b w:val="0"/>
                <w:i w:val="0"/>
                <w:sz w:val="22"/>
              </w:rPr>
              <w:t xml:space="preserve">☐ </w:t>
            </w:r>
            <w:r>
              <w:rPr>
                <w:b w:val="0"/>
                <w:i w:val="0"/>
                <w:sz w:val="20"/>
              </w:rPr>
              <w:t>AS</w:t>
            </w:r>
          </w:p>
          <w:p>
            <w:r>
              <w:rPr>
                <w:b w:val="0"/>
                <w:i w:val="0"/>
                <w:sz w:val="22"/>
              </w:rPr>
              <w:t xml:space="preserve">☐ </w:t>
            </w:r>
            <w:r>
              <w:rPr>
                <w:b w:val="0"/>
                <w:i w:val="0"/>
                <w:sz w:val="20"/>
              </w:rPr>
              <w:t>Loop</w:t>
            </w:r>
          </w:p>
          <w:p>
            <w:r>
              <w:rPr>
                <w:b w:val="0"/>
                <w:i w:val="0"/>
                <w:sz w:val="22"/>
              </w:rPr>
              <w:t xml:space="preserve">☐ </w:t>
            </w:r>
            <w:r>
              <w:rPr>
                <w:b w:val="0"/>
                <w:i w:val="0"/>
                <w:sz w:val="20"/>
              </w:rPr>
              <w:t>HALO</w:t>
            </w:r>
          </w:p>
          <w:p>
            <w:r>
              <w:rPr>
                <w:b w:val="0"/>
                <w:i w:val="0"/>
                <w:sz w:val="22"/>
              </w:rPr>
              <w:t xml:space="preserve">☐ </w:t>
            </w:r>
            <w:r>
              <w:rPr>
                <w:b w:val="0"/>
                <w:i w:val="0"/>
                <w:sz w:val="20"/>
              </w:rPr>
              <w:t>ByU</w:t>
            </w:r>
          </w:p>
          <w:p>
            <w:r>
              <w:rPr>
                <w:b w:val="0"/>
                <w:i w:val="0"/>
                <w:sz w:val="22"/>
              </w:rPr>
              <w:t xml:space="preserve">☒ </w:t>
            </w:r>
            <w:r>
              <w:rPr>
                <w:b w:val="0"/>
                <w:i w:val="0"/>
                <w:sz w:val="20"/>
              </w:rPr>
              <w:t>Others, please specify: Not applicable — single loan product line, not a multi-brand product</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2F2F2"/>
          </w:tcPr>
          <w:p>
            <w:r>
              <w:rPr>
                <w:b/>
                <w:i w:val="0"/>
                <w:sz w:val="20"/>
              </w:rPr>
              <w:t>Channel Eligibility</w:t>
            </w:r>
          </w:p>
        </w:tc>
        <w:tc>
          <w:tcPr>
            <w:tcW w:type="dxa" w:w="6840"/>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Self service channel</w:t>
            </w:r>
            <w:r>
              <w:rPr>
                <w:b w:val="0"/>
                <w:i w:val="0"/>
                <w:sz w:val="22"/>
              </w:rPr>
              <w:t xml:space="preserve">     ☐ </w:t>
            </w:r>
            <w:r>
              <w:rPr>
                <w:b w:val="0"/>
                <w:i w:val="0"/>
                <w:sz w:val="20"/>
              </w:rPr>
              <w:t>Assisted channel</w:t>
            </w:r>
          </w:p>
          <w:p/>
          <w:p>
            <w:r>
              <w:rPr>
                <w:b w:val="0"/>
                <w:i w:val="0"/>
                <w:sz w:val="22"/>
              </w:rPr>
              <w:t xml:space="preserve">☐ </w:t>
            </w:r>
            <w:r>
              <w:rPr>
                <w:b w:val="0"/>
                <w:i w:val="0"/>
                <w:sz w:val="20"/>
              </w:rPr>
              <w:t>UMB, please specify ADN</w:t>
            </w:r>
          </w:p>
          <w:p>
            <w:r>
              <w:rPr>
                <w:b w:val="0"/>
                <w:i w:val="0"/>
                <w:sz w:val="22"/>
              </w:rPr>
              <w:t xml:space="preserve">☐ </w:t>
            </w:r>
            <w:r>
              <w:rPr>
                <w:b w:val="0"/>
                <w:i w:val="0"/>
                <w:sz w:val="20"/>
              </w:rPr>
              <w:t>SMS, please specify ADN</w:t>
            </w:r>
          </w:p>
          <w:p>
            <w:r>
              <w:rPr>
                <w:b w:val="0"/>
                <w:i w:val="0"/>
                <w:sz w:val="22"/>
              </w:rPr>
              <w:t xml:space="preserve">☒ </w:t>
            </w:r>
            <w:r>
              <w:rPr>
                <w:b w:val="0"/>
                <w:i w:val="0"/>
                <w:sz w:val="20"/>
              </w:rPr>
              <w:t>Web, please specify: Mobile/web loan application channel</w:t>
            </w:r>
          </w:p>
          <w:p>
            <w:r>
              <w:rPr>
                <w:b w:val="0"/>
                <w:i w:val="0"/>
                <w:sz w:val="22"/>
              </w:rPr>
              <w:t xml:space="preserve">☒ </w:t>
            </w:r>
            <w:r>
              <w:rPr>
                <w:b w:val="0"/>
                <w:i w:val="0"/>
                <w:sz w:val="20"/>
              </w:rPr>
              <w:t>Walk-in, please specify: Existing branch/paper application channel (remains available in parallel)</w:t>
            </w:r>
          </w:p>
          <w:p>
            <w:r>
              <w:rPr>
                <w:b w:val="0"/>
                <w:i w:val="0"/>
                <w:sz w:val="22"/>
              </w:rPr>
              <w:t xml:space="preserve">☐ </w:t>
            </w:r>
            <w:r>
              <w:rPr>
                <w:b w:val="0"/>
                <w:i w:val="0"/>
                <w:sz w:val="20"/>
              </w:rPr>
              <w:t>Call-in, please specify</w:t>
            </w:r>
          </w:p>
          <w:p>
            <w:r>
              <w:rPr>
                <w:b w:val="0"/>
                <w:i w:val="0"/>
                <w:sz w:val="22"/>
              </w:rPr>
              <w:t xml:space="preserve">☐ </w:t>
            </w:r>
            <w:r>
              <w:rPr>
                <w:b w:val="0"/>
                <w:i w:val="0"/>
                <w:sz w:val="20"/>
              </w:rPr>
              <w:t>Mobile Apps, please specify</w:t>
            </w:r>
          </w:p>
          <w:p>
            <w:r>
              <w:rPr>
                <w:b w:val="0"/>
                <w:i w:val="0"/>
                <w:sz w:val="22"/>
              </w:rPr>
              <w:t xml:space="preserve">☐ </w:t>
            </w:r>
            <w:r>
              <w:rPr>
                <w:b w:val="0"/>
                <w:i w:val="0"/>
                <w:sz w:val="20"/>
              </w:rPr>
              <w:t>3rd Party Channel, please specify</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2F2F2"/>
          </w:tcPr>
          <w:p>
            <w:r>
              <w:rPr>
                <w:b/>
                <w:i w:val="0"/>
                <w:sz w:val="20"/>
              </w:rPr>
              <w:t>Partner Eligibility</w:t>
            </w:r>
          </w:p>
        </w:tc>
        <w:tc>
          <w:tcPr>
            <w:tcW w:type="dxa" w:w="6840"/>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Authorized Dealer</w:t>
            </w:r>
          </w:p>
          <w:p>
            <w:r>
              <w:rPr>
                <w:b w:val="0"/>
                <w:i w:val="0"/>
                <w:sz w:val="22"/>
              </w:rPr>
              <w:t xml:space="preserve">☐ </w:t>
            </w:r>
            <w:r>
              <w:rPr>
                <w:b w:val="0"/>
                <w:i w:val="0"/>
                <w:sz w:val="20"/>
              </w:rPr>
              <w:t>Sales Force</w:t>
            </w:r>
          </w:p>
          <w:p>
            <w:r>
              <w:rPr>
                <w:b w:val="0"/>
                <w:i w:val="0"/>
                <w:sz w:val="22"/>
              </w:rPr>
              <w:t xml:space="preserve">☐ </w:t>
            </w:r>
            <w:r>
              <w:rPr>
                <w:b w:val="0"/>
                <w:i w:val="0"/>
                <w:sz w:val="20"/>
              </w:rPr>
              <w:t>Outlet &amp; Reseller</w:t>
            </w:r>
          </w:p>
          <w:p>
            <w:r>
              <w:rPr>
                <w:b w:val="0"/>
                <w:i w:val="0"/>
                <w:sz w:val="22"/>
              </w:rPr>
              <w:t xml:space="preserve">☐ </w:t>
            </w:r>
            <w:r>
              <w:rPr>
                <w:b w:val="0"/>
                <w:i w:val="0"/>
                <w:sz w:val="20"/>
              </w:rPr>
              <w:t>Modern Channel</w:t>
            </w:r>
          </w:p>
          <w:p>
            <w:r>
              <w:rPr>
                <w:b w:val="0"/>
                <w:i w:val="0"/>
                <w:sz w:val="22"/>
              </w:rPr>
              <w:t xml:space="preserve">☒ </w:t>
            </w:r>
            <w:r>
              <w:rPr>
                <w:b w:val="0"/>
                <w:i w:val="0"/>
                <w:sz w:val="20"/>
              </w:rPr>
              <w:t>Others, please specify: Not applicable — direct-to-consumer channel, no dealer/partner network involved</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2F2F2"/>
          </w:tcPr>
          <w:p>
            <w:r>
              <w:rPr>
                <w:b/>
                <w:i w:val="0"/>
                <w:sz w:val="20"/>
              </w:rPr>
              <w:t>Area Coverage</w:t>
            </w:r>
          </w:p>
        </w:tc>
        <w:tc>
          <w:tcPr>
            <w:tcW w:type="dxa" w:w="6840"/>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National-wide</w:t>
            </w:r>
          </w:p>
          <w:p>
            <w:r>
              <w:rPr>
                <w:b w:val="0"/>
                <w:i w:val="0"/>
                <w:sz w:val="22"/>
              </w:rPr>
              <w:t xml:space="preserve">☐ </w:t>
            </w:r>
            <w:r>
              <w:rPr>
                <w:b w:val="0"/>
                <w:i w:val="0"/>
                <w:sz w:val="20"/>
              </w:rPr>
              <w:t>Selected Area, please specify:</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2F2F2"/>
          </w:tcPr>
          <w:p>
            <w:r>
              <w:rPr>
                <w:b/>
                <w:i w:val="0"/>
                <w:sz w:val="20"/>
              </w:rPr>
              <w:t>Product / Service Terms and Conditions</w:t>
            </w:r>
          </w:p>
        </w:tc>
        <w:tc>
          <w:tcPr>
            <w:tcW w:type="dxa" w:w="6840"/>
            <w:tcBorders>
              <w:top w:val="single" w:sz="4" w:space="0" w:color="000000"/>
              <w:left w:val="single" w:sz="4" w:space="0" w:color="000000"/>
              <w:bottom w:val="single" w:sz="4" w:space="0" w:color="000000"/>
              <w:right w:val="single" w:sz="4" w:space="0" w:color="000000"/>
            </w:tcBorders>
          </w:tcPr>
          <w:p>
            <w:r>
              <w:rPr>
                <w:b/>
                <w:i w:val="0"/>
                <w:sz w:val="20"/>
              </w:rPr>
              <w:t xml:space="preserve">Customer restriction / limitation to purchase / register this product / service (if any): </w:t>
            </w:r>
            <w:r>
              <w:rPr>
                <w:b w:val="0"/>
                <w:i w:val="0"/>
                <w:sz w:val="20"/>
              </w:rPr>
              <w:t>Applicants must pass the automated eligibility pre-screen (credit score and income criteria, Section 3.1 BR-02) before reaching a human officer.</w:t>
            </w:r>
          </w:p>
          <w:p>
            <w:r>
              <w:rPr>
                <w:b/>
                <w:i w:val="0"/>
                <w:sz w:val="20"/>
              </w:rPr>
              <w:t xml:space="preserve">Eligible time period for customer to purchase / register this Product / Service (if any): </w:t>
            </w:r>
            <w:r>
              <w:rPr>
                <w:b w:val="0"/>
                <w:i w:val="0"/>
                <w:sz w:val="20"/>
              </w:rPr>
              <w:t>Not time-limited — available on an ongoing basis from commercial launch (January 25, 2027) onward.</w:t>
            </w:r>
          </w:p>
          <w:p>
            <w:r>
              <w:rPr>
                <w:b/>
                <w:i w:val="0"/>
                <w:sz w:val="20"/>
              </w:rPr>
              <w:t xml:space="preserve">Product / Service compatibility and correlation with other Product / Service (if any): </w:t>
            </w:r>
            <w:r>
              <w:rPr>
                <w:b w:val="0"/>
                <w:i w:val="0"/>
                <w:sz w:val="20"/>
              </w:rPr>
              <w:t>Operates alongside the existing branch/paper application channel, which remains available in parallel; no change to loan disbursement or settlement processes.</w:t>
            </w:r>
          </w:p>
        </w:tc>
      </w:tr>
    </w:tbl>
    <w:p>
      <w:pPr>
        <w:pStyle w:val="Heading2"/>
        <w:spacing w:after="140" w:before="280"/>
      </w:pPr>
      <w:r>
        <w:rPr>
          <w:b/>
          <w:bCs/>
          <w:color w:val="1F3864"/>
        </w:rPr>
        <w:t xml:space="preserve">3.3 Business Process</w:t>
      </w:r>
    </w:p>
    <w:p>
      <w:pPr>
        <w:pStyle w:val="Heading3"/>
        <w:spacing w:after="120" w:before="220"/>
      </w:pPr>
      <w:r>
        <w:rPr>
          <w:b/>
          <w:bCs/>
          <w:color w:val="1F3864"/>
        </w:rPr>
        <w:t xml:space="preserve">3.3.1 Business Process Impact</w:t>
      </w:r>
    </w:p>
    <w:p>
      <w:pPr>
        <w:pStyle w:val="ListParagraph"/>
        <w:numPr>
          <w:ilvl w:val="0"/>
          <w:numId w:val="2"/>
        </w:numPr>
        <w:spacing w:after="100" w:line="276"/>
      </w:pPr>
      <w:r>
        <w:t xml:space="preserve">Existing process: applications are submitted on paper in-branch only; every application reaches a human officer with no upfront screening; officers reference three separate systems per review; applicants must call to check status; there is no cross-referencing of repeat applicants.</w:t>
      </w:r>
    </w:p>
    <w:p>
      <w:pPr>
        <w:pStyle w:val="ListParagraph"/>
        <w:numPr>
          <w:ilvl w:val="0"/>
          <w:numId w:val="2"/>
        </w:numPr>
        <w:spacing w:after="100" w:line="276"/>
      </w:pPr>
      <w:r>
        <w:t xml:space="preserve">Changed process: customers may apply digitally without a branch visit; ineligible applications are auto-declined before reaching an officer; officers review remaining applications on one consolidated screen that includes prior-application history; applicants receive automatic status updates; the call center's role shifts from routine status checks to more complex inquiries only.</w:t>
      </w:r>
    </w:p>
    <w:p>
      <w:pPr>
        <w:pStyle w:val="Heading3"/>
        <w:spacing w:after="120" w:before="220"/>
      </w:pPr>
      <w:r>
        <w:rPr>
          <w:b/>
          <w:bCs/>
          <w:color w:val="1F3864"/>
        </w:rPr>
        <w:t xml:space="preserve">3.3.2 Description</w:t>
      </w:r>
    </w:p>
    <w:p>
      <w:pPr>
        <w:pStyle w:val="ListParagraph"/>
        <w:numPr>
          <w:ilvl w:val="0"/>
          <w:numId w:val="2"/>
        </w:numPr>
        <w:spacing w:after="100" w:line="276"/>
      </w:pPr>
      <w:r>
        <w:t xml:space="preserve">A customer submits an application via the mobile/web channel (BR-01) or, as before, on paper in-branch.</w:t>
      </w:r>
    </w:p>
    <w:p>
      <w:pPr>
        <w:pStyle w:val="ListParagraph"/>
        <w:numPr>
          <w:ilvl w:val="0"/>
          <w:numId w:val="2"/>
        </w:numPr>
        <w:spacing w:after="100" w:line="276"/>
      </w:pPr>
      <w:r>
        <w:t xml:space="preserve">The system performs an automated eligibility pre-screen, including a credit bureau score pull (BR-02).</w:t>
      </w:r>
    </w:p>
    <w:p>
      <w:pPr>
        <w:pStyle w:val="ListParagraph"/>
        <w:numPr>
          <w:ilvl w:val="0"/>
          <w:numId w:val="2"/>
        </w:numPr>
        <w:spacing w:after="100" w:line="276"/>
      </w:pPr>
      <w:r>
        <w:t xml:space="preserve">Applications that fail pre-screen are automatically declined and the applicant is notified (BR-04); no officer time is consumed.</w:t>
      </w:r>
    </w:p>
    <w:p>
      <w:pPr>
        <w:pStyle w:val="ListParagraph"/>
        <w:numPr>
          <w:ilvl w:val="0"/>
          <w:numId w:val="2"/>
        </w:numPr>
        <w:spacing w:after="100" w:line="276"/>
      </w:pPr>
      <w:r>
        <w:t xml:space="preserve">Applications that pass are routed to the approval officer's consolidated review screen (BR-03), which displays any prior applications from the same applicant (BR-05, BR-06).</w:t>
      </w:r>
    </w:p>
    <w:p>
      <w:pPr>
        <w:pStyle w:val="ListParagraph"/>
        <w:numPr>
          <w:ilvl w:val="0"/>
          <w:numId w:val="2"/>
        </w:numPr>
        <w:spacing w:after="100" w:line="276"/>
      </w:pPr>
      <w:r>
        <w:t xml:space="preserve">The officer makes a decision; the applicant is automatically notified of the outcome (BR-04); every step is logged (BR-07).</w:t>
      </w:r>
    </w:p>
    <w:p>
      <w:pPr>
        <w:pStyle w:val="Heading3"/>
        <w:spacing w:after="120" w:before="220"/>
      </w:pPr>
      <w:r>
        <w:rPr>
          <w:b/>
          <w:bCs/>
          <w:color w:val="1F3864"/>
        </w:rPr>
        <w:t xml:space="preserve">3.3.3 Security</w:t>
      </w:r>
    </w:p>
    <w:p>
      <w:pPr>
        <w:pStyle w:val="ListParagraph"/>
        <w:numPr>
          <w:ilvl w:val="0"/>
          <w:numId w:val="2"/>
        </w:numPr>
        <w:spacing w:after="100" w:line="276"/>
      </w:pPr>
      <w:r>
        <w:t xml:space="preserve">The system shall obtain explicit applicant consent before performing the credit bureau pull required by BR-02, in compliance with applicable credit-reporting regulations.</w:t>
      </w:r>
    </w:p>
    <w:p>
      <w:pPr>
        <w:pStyle w:val="ListParagraph"/>
        <w:numPr>
          <w:ilvl w:val="0"/>
          <w:numId w:val="2"/>
        </w:numPr>
        <w:spacing w:after="100" w:line="276"/>
      </w:pPr>
      <w:r>
        <w:t xml:space="preserve">Credit bureau data, national ID, and income information are encrypted in transit and at rest, with access restricted to authorized approval officers and Credit/Risk staff via role-based login.</w:t>
      </w:r>
    </w:p>
    <w:p>
      <w:pPr>
        <w:pStyle w:val="ListParagraph"/>
        <w:numPr>
          <w:ilvl w:val="0"/>
          <w:numId w:val="2"/>
        </w:numPr>
        <w:spacing w:after="100" w:line="276"/>
      </w:pPr>
      <w:r>
        <w:t xml:space="preserve">The audit log required by BR-07 is retained for a minimum of 5 years to support regulatory and dispute-resolution requirements.</w:t>
      </w:r>
    </w:p>
    <w:p>
      <w:pPr>
        <w:pStyle w:val="Heading3"/>
        <w:spacing w:after="120" w:before="220"/>
      </w:pPr>
      <w:r>
        <w:rPr>
          <w:b/>
          <w:bCs/>
          <w:color w:val="1F3864"/>
        </w:rPr>
        <w:t xml:space="preserve">3.3.4 Organization and Policy</w:t>
      </w:r>
    </w:p>
    <w:p>
      <w:pPr>
        <w:spacing w:after="160" w:line="276"/>
        <w:jc w:val="both"/>
      </w:pPr>
      <w:r>
        <w:t xml:space="preserve">The Credit/Risk team owns the eligibility pre-screen thresholds (BR-02) and the credit bureau vendor relationship. Approval Officers own final decisioning on applications that pass pre-screen. IT/Systems owns the mobile/web application platform and the credit bureau integration. Compliance owns the applicant consent language for the credit bureau pull and ongoing regulatory adherence.</w:t>
      </w:r>
    </w:p>
    <w:p>
      <w:pPr>
        <w:pStyle w:val="Heading3"/>
        <w:spacing w:after="120" w:before="220"/>
      </w:pPr>
      <w:r>
        <w:rPr>
          <w:b/>
          <w:bCs/>
          <w:color w:val="1F3864"/>
        </w:rPr>
        <w:t xml:space="preserve">3.3.5 Service Delivery Plan</w:t>
      </w:r>
    </w:p>
    <w:p>
      <w:pPr>
        <w:spacing w:after="160" w:line="276"/>
        <w:jc w:val="both"/>
      </w:pPr>
      <w:r>
        <w:t xml:space="preserve">Not applicable — this initiative is an enhancement to the existing loan application and approval process, not the delivery of a new application.</w:t>
      </w:r>
    </w:p>
    <w:p>
      <w:pPr>
        <w:pStyle w:val="Heading2"/>
        <w:spacing w:after="140" w:before="280"/>
      </w:pPr>
      <w:r>
        <w:rPr>
          <w:b/>
          <w:bCs/>
          <w:color w:val="1F3864"/>
        </w:rPr>
        <w:t xml:space="preserve">3.4 Complain Handling</w:t>
      </w:r>
    </w:p>
    <w:p>
      <w:pPr>
        <w:spacing w:after="160" w:line="276"/>
        <w:jc w:val="both"/>
      </w:pPr>
      <w:r>
        <w:t xml:space="preserve">Applicants disputing a decline decision or a data-matching error (e.g., being incorrectly flagged as a repeat applicant) can contact Customer Service. Tickets are tagged “Loan Application Issue” and escalated to a Credit/Risk officer for review, acknowledged within 1 business day, and resolved within 5 business days given the need to potentially re-review credit bureau data.</w:t>
      </w:r>
    </w:p>
    <w:p>
      <w:pPr>
        <w:pStyle w:val="Heading2"/>
        <w:spacing w:after="140" w:before="280"/>
      </w:pPr>
      <w:r>
        <w:rPr>
          <w:b/>
          <w:bCs/>
          <w:color w:val="1F3864"/>
        </w:rPr>
        <w:t xml:space="preserve">3.5 Reporting</w:t>
      </w:r>
    </w:p>
    <w:p>
      <w:pPr>
        <w:pStyle w:val="ListParagraph"/>
        <w:numPr>
          <w:ilvl w:val="0"/>
          <w:numId w:val="2"/>
        </w:numPr>
        <w:spacing w:after="100" w:line="276"/>
      </w:pPr>
      <w:r>
        <w:t xml:space="preserve">Application Funnel &amp; Pre-Screen Report: a weekly report distributed to Credit/Risk and Branch Operations leadership, showing applications submitted by channel (branch vs. digital), pre-screen pass/fail rate, and average time-to-decision against the 1.5-business-day target in Section 2.1.</w:t>
      </w:r>
    </w:p>
    <w:p>
      <w:pPr>
        <w:pStyle w:val="ListParagraph"/>
        <w:numPr>
          <w:ilvl w:val="0"/>
          <w:numId w:val="2"/>
        </w:numPr>
        <w:spacing w:after="100" w:line="276"/>
      </w:pPr>
      <w:r>
        <w:t xml:space="preserve">Officer Productivity Report: a monthly report distributed to Branch Operations leadership, showing average review time per application and applications reviewed per officer, benchmarked against the 18-minute target in Section 2.1.</w:t>
      </w:r>
    </w:p>
    <w:p>
      <w:pPr>
        <w:pStyle w:val="ListParagraph"/>
        <w:numPr>
          <w:ilvl w:val="0"/>
          <w:numId w:val="2"/>
        </w:numPr>
        <w:spacing w:after="100" w:line="276"/>
      </w:pPr>
      <w:r>
        <w:t xml:space="preserve">Repeat-Applicant Report: a monthly report distributed to Credit/Risk, showing the count of repeat applicants flagged, their prior outcomes, and the resulting decisions, to monitor the effectiveness of BR-05/BR-06.</w:t>
      </w:r>
    </w:p>
    <w:p>
      <w:pPr>
        <w:pStyle w:val="Heading2"/>
        <w:spacing w:after="140" w:before="280"/>
      </w:pPr>
      <w:r>
        <w:rPr>
          <w:b/>
          <w:bCs/>
          <w:color w:val="1F3864"/>
        </w:rPr>
        <w:t xml:space="preserve">3.6 Monitoring</w:t>
      </w:r>
    </w:p>
    <w:p>
      <w:pPr>
        <w:spacing w:after="160" w:line="276"/>
        <w:jc w:val="both"/>
      </w:pPr>
      <w:r>
        <w:t xml:space="preserve">The credit bureau integration and pre-screening engine are monitored continuously. An alert is sent to IT/Systems if the credit bureau API fails or its response time exceeds 10 seconds, since a failed pre-screen would otherwise block new applications from being screened at all.</w:t>
      </w:r>
    </w:p>
    <w:p>
      <w:pPr>
        <w:pStyle w:val="Heading2"/>
        <w:spacing w:after="140" w:before="280"/>
      </w:pPr>
      <w:r>
        <w:rPr>
          <w:b/>
          <w:bCs/>
          <w:color w:val="1F3864"/>
        </w:rPr>
        <w:t xml:space="preserve">3.7 Settlement Plan</w:t>
      </w:r>
    </w:p>
    <w:p>
      <w:pPr>
        <w:spacing w:after="160" w:line="276"/>
        <w:jc w:val="both"/>
      </w:pPr>
      <w:r>
        <w:t xml:space="preserve">Not applicable — this initiative concerns loan application intake, screening, and approval workflow, not the disbursement or financial settlement of approved loans, which continues unchanged through the existing core banking disbursement process.</w:t>
      </w:r>
    </w:p>
    <w:p>
      <w:pPr>
        <w:pStyle w:val="Heading2"/>
        <w:spacing w:after="140" w:before="280"/>
      </w:pPr>
      <w:r>
        <w:rPr>
          <w:b/>
          <w:bCs/>
          <w:color w:val="1F3864"/>
        </w:rPr>
        <w:t xml:space="preserve">3.8 Assumptions and Dependencies</w:t>
      </w:r>
    </w:p>
    <w:p>
      <w:pPr>
        <w:pStyle w:val="ListParagraph"/>
        <w:numPr>
          <w:ilvl w:val="0"/>
          <w:numId w:val="2"/>
        </w:numPr>
        <w:spacing w:after="100" w:line="276"/>
      </w:pPr>
      <w:r>
        <w:t xml:space="preserve">Assumes a credit bureau data-sharing agreement or API access is available, or can be established, to support the automated pre-screen (BR-02); to be confirmed by IT/Systems and Compliance.</w:t>
      </w:r>
    </w:p>
    <w:p>
      <w:pPr>
        <w:pStyle w:val="ListParagraph"/>
        <w:numPr>
          <w:ilvl w:val="0"/>
          <w:numId w:val="2"/>
        </w:numPr>
        <w:spacing w:after="100" w:line="276"/>
      </w:pPr>
      <w:r>
        <w:t xml:space="preserve">Assumes applicant consent language for the credit bureau pull can be finalized with Compliance/Legal before launch.</w:t>
      </w:r>
    </w:p>
    <w:p>
      <w:pPr>
        <w:pStyle w:val="ListParagraph"/>
        <w:numPr>
          <w:ilvl w:val="0"/>
          <w:numId w:val="2"/>
        </w:numPr>
        <w:spacing w:after="100" w:line="276"/>
      </w:pPr>
      <w:r>
        <w:t xml:space="preserve">Assumes a reliable unique applicant identifier (national ID or equivalent) is captured consistently across both branch and digital channels to support the repeat-applicant matching in BR-05/BR-06; historical paper applications not captured with this identifier may not be matchable retroactively.</w:t>
      </w:r>
    </w:p>
    <w:p>
      <w:pPr>
        <w:pStyle w:val="ListParagraph"/>
        <w:numPr>
          <w:ilvl w:val="0"/>
          <w:numId w:val="2"/>
        </w:numPr>
        <w:spacing w:after="100" w:line="276"/>
      </w:pPr>
      <w:r>
        <w:t xml:space="preserve">Assumes the baseline figures in Table 1.1 (320 applications/month, 42-minute review time, 340 status calls/month, etc.) remain representative through the measurement period.</w:t>
      </w:r>
    </w:p>
    <w:p>
      <w:pPr>
        <w:pStyle w:val="ListParagraph"/>
        <w:numPr>
          <w:ilvl w:val="0"/>
          <w:numId w:val="2"/>
        </w:numPr>
        <w:spacing w:after="100" w:line="276"/>
      </w:pPr>
      <w:r>
        <w:t xml:space="preserve">Assumes the eligibility thresholds used in the pre-screen (BR-02) will be defined by the Credit/Risk team and may be adjusted after the pilot based on observed pass/fail accuracy.</w:t>
      </w:r>
    </w:p>
    <w:p>
      <w:pPr>
        <w:pStyle w:val="ListParagraph"/>
        <w:numPr>
          <w:ilvl w:val="0"/>
          <w:numId w:val="2"/>
        </w:numPr>
        <w:spacing w:after="100" w:line="276"/>
      </w:pPr>
      <w:r>
        <w:t xml:space="preserve">Assumes customers have sufficient smartphone or internet access to use the digital channel (BR-01); the branch/paper channel remains available for customers who cannot or prefer not to use it.</w:t>
      </w:r>
    </w:p>
    <w:p>
      <w:pPr>
        <w:pStyle w:val="ListParagraph"/>
        <w:numPr>
          <w:ilvl w:val="0"/>
          <w:numId w:val="2"/>
        </w:numPr>
        <w:spacing w:after="100" w:line="276"/>
      </w:pPr>
      <w:r>
        <w:t xml:space="preserve">The rollout dates and volume targets in Section 4 are planning assumptions pending final confirmation from Branch Operations and Credit/Risk leadership.</w:t>
      </w:r>
    </w:p>
    <w:p>
      <w:r>
        <w:br w:type="page"/>
      </w:r>
    </w:p>
    <w:p>
      <w:pPr>
        <w:pStyle w:val="Heading1"/>
        <w:spacing w:after="200" w:before="360"/>
      </w:pPr>
      <w:r>
        <w:rPr>
          <w:b/>
          <w:bCs/>
          <w:color w:val="1F3864"/>
        </w:rPr>
        <w:t xml:space="preserve">CHAPTER IV</w:t>
      </w:r>
    </w:p>
    <w:p>
      <w:pPr>
        <w:pStyle w:val="Heading1"/>
        <w:spacing w:after="200" w:before="360"/>
      </w:pPr>
      <w:r>
        <w:rPr>
          <w:b/>
          <w:bCs/>
          <w:color w:val="1F3864"/>
        </w:rPr>
        <w:t xml:space="preserve">RELEASE PLAN</w:t>
      </w:r>
    </w:p>
    <w:p>
      <w:pPr>
        <w:pStyle w:val="Heading2"/>
        <w:spacing w:after="140" w:before="280"/>
      </w:pPr>
      <w:r>
        <w:rPr>
          <w:b/>
          <w:bCs/>
          <w:color w:val="1F3864"/>
        </w:rPr>
        <w:t xml:space="preserve">4.1 Target Ready for Service</w:t>
      </w:r>
    </w:p>
    <w:p>
      <w:pPr>
        <w:spacing w:after="160" w:line="276"/>
        <w:jc w:val="both"/>
      </w:pPr>
      <w:r>
        <w:t xml:space="preserve">January 18, 2027 — completion of credit bureau integration testing, pre-screening rule configuration, and the officer consolidated-review screen build.</w:t>
      </w:r>
    </w:p>
    <w:p>
      <w:pPr>
        <w:pStyle w:val="Heading2"/>
        <w:spacing w:after="140" w:before="280"/>
      </w:pPr>
      <w:r>
        <w:rPr>
          <w:b/>
          <w:bCs/>
          <w:color w:val="1F3864"/>
        </w:rPr>
        <w:t xml:space="preserve">4.2 Commercial Launch</w:t>
      </w:r>
    </w:p>
    <w:p>
      <w:pPr>
        <w:spacing w:after="160" w:line="276"/>
        <w:jc w:val="both"/>
      </w:pPr>
      <w:r>
        <w:t xml:space="preserve">January 25, 2027 — public launch of the mobile/web application channel, alongside continued availability of the existing branch/paper channel.</w:t>
      </w:r>
    </w:p>
    <w:p>
      <w:pPr>
        <w:pStyle w:val="Heading2"/>
        <w:spacing w:after="140" w:before="280"/>
      </w:pPr>
      <w:r>
        <w:rPr>
          <w:b/>
          <w:bCs/>
          <w:color w:val="1F3864"/>
        </w:rPr>
        <w:t xml:space="preserve">4.3 Internal Socialization Plan</w:t>
      </w:r>
    </w:p>
    <w:p>
      <w:pPr>
        <w:spacing w:after="160" w:line="276"/>
        <w:jc w:val="both"/>
      </w:pPr>
      <w:r>
        <w:t xml:space="preserve">Approval Officers and Credit/Risk staff will be trained during the week of January 11, 2027 on the consolidated review screen, repeat-applicant flagging, and the revised eligibility pre-screen. Branch and Customer Service staff will be briefed on the new digital channel and automated status notifications during the same week.</w:t>
      </w:r>
    </w:p>
    <w:p>
      <w:pPr>
        <w:pStyle w:val="Heading2"/>
        <w:spacing w:after="140" w:before="280"/>
      </w:pPr>
      <w:r>
        <w:rPr>
          <w:b/>
          <w:bCs/>
          <w:color w:val="1F3864"/>
        </w:rPr>
        <w:t xml:space="preserve">4.4 Rollout Scenario</w:t>
      </w:r>
    </w:p>
    <w:p>
      <w:pPr>
        <w:pStyle w:val="ListParagraph"/>
        <w:numPr>
          <w:ilvl w:val="0"/>
          <w:numId w:val="2"/>
        </w:numPr>
        <w:spacing w:after="100" w:line="276"/>
      </w:pPr>
      <w:r>
        <w:t xml:space="preserve">Pilot: January 25 – February 21, 2027 — the digital channel and pre-screening are enabled for one branch region, to validate credit bureau integration accuracy and officer workflow before wider exposure.</w:t>
      </w:r>
    </w:p>
    <w:p>
      <w:pPr>
        <w:pStyle w:val="ListParagraph"/>
        <w:numPr>
          <w:ilvl w:val="0"/>
          <w:numId w:val="2"/>
        </w:numPr>
        <w:spacing w:after="100" w:line="276"/>
      </w:pPr>
      <w:r>
        <w:t xml:space="preserve">Full Rollout: February 22, 2027 — expansion to all branches and regions.</w:t>
      </w:r>
    </w:p>
    <w:p>
      <w:r>
        <w:br w:type="page"/>
      </w:r>
    </w:p>
    <w:p>
      <w:pPr>
        <w:pStyle w:val="Heading1"/>
        <w:spacing w:after="200" w:before="360"/>
      </w:pPr>
      <w:r>
        <w:rPr>
          <w:b/>
          <w:bCs/>
          <w:color w:val="1F3864"/>
        </w:rPr>
        <w:t xml:space="preserve">CHAPTER V</w:t>
      </w:r>
    </w:p>
    <w:p>
      <w:pPr>
        <w:pStyle w:val="Heading1"/>
        <w:spacing w:after="200" w:before="360"/>
      </w:pPr>
      <w:r>
        <w:rPr>
          <w:b/>
          <w:bCs/>
          <w:color w:val="1F3864"/>
        </w:rPr>
        <w:t xml:space="preserve">RETIREMENT PLAN &amp; SIGNOFF</w:t>
      </w:r>
    </w:p>
    <w:p>
      <w:pPr>
        <w:pStyle w:val="Heading2"/>
        <w:spacing w:after="140" w:before="280"/>
      </w:pPr>
      <w:r>
        <w:rPr>
          <w:b/>
          <w:bCs/>
          <w:color w:val="1F3864"/>
        </w:rPr>
        <w:t xml:space="preserve">5.1 Product / Service Retirement Plan</w:t>
      </w:r>
    </w:p>
    <w:p>
      <w:pPr>
        <w:spacing w:after="160" w:line="276"/>
        <w:jc w:val="both"/>
      </w:pPr>
      <w:r>
        <w:t xml:space="preserve">The branch/paper application channel is not being retired; it remains available for customers who prefer or require it. What is retired, effective at full rollout (February 22, 2027), is the current practice of approval officers reviewing every application across three disconnected systems with no upfront screening — replaced by the automated pre-screen and consolidated review screen described in Section 3.</w:t>
      </w:r>
    </w:p>
    <w:p>
      <w:pPr>
        <w:pStyle w:val="Heading2"/>
        <w:spacing w:after="140" w:before="280"/>
      </w:pPr>
      <w:r>
        <w:rPr>
          <w:b/>
          <w:bCs/>
          <w:color w:val="1F3864"/>
        </w:rPr>
        <w:t xml:space="preserve">5.2 Document Signoff</w:t>
      </w:r>
    </w:p>
    <w:p>
      <w:pPr>
        <w:spacing w:after="160" w:line="276"/>
        <w:jc w:val="both"/>
      </w:pPr>
      <w:r>
        <w:t xml:space="preserve">By signing this document, the stakeholders below confirm their agreement with the scope, business requirements, and workflow defined in this Business Requirements Document (BRD).</w:t>
      </w:r>
    </w:p>
    <w:p>
      <w:pPr>
        <w:spacing w:after="120" w:before="120"/>
      </w:pPr>
      <w:r>
        <w:rPr>
          <w:b/>
          <w:bCs/>
          <w:i/>
          <w:iCs/>
          <w:sz w:val="20"/>
          <w:szCs w:val="20"/>
        </w:rPr>
        <w:t xml:space="preserve">Table 5.1  Document Signoff Matrix</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400"/>
        <w:gridCol w:w="1600"/>
        <w:gridCol w:w="1500"/>
      </w:tblGrid>
      <w:tr>
        <w:trPr>
          <w:tblHeader/>
        </w:trPr>
        <w:tc>
          <w:tcPr>
            <w:tcW w:type="dxa" w:w="1900"/>
            <w:shd w:fill="D9E2F3" w:color="auto" w:val="clear"/>
            <w:tcMar>
              <w:top w:type="dxa" w:w="100"/>
              <w:left w:type="dxa" w:w="120"/>
              <w:bottom w:type="dxa" w:w="100"/>
              <w:right w:type="dxa" w:w="120"/>
            </w:tcMar>
          </w:tcPr>
          <w:p>
            <w:pPr>
              <w:jc w:val="center"/>
            </w:pPr>
            <w:r>
              <w:rPr>
                <w:b/>
                <w:bCs/>
                <w:sz w:val="20"/>
                <w:szCs w:val="20"/>
              </w:rPr>
              <w:t xml:space="preserve">Role</w:t>
            </w:r>
          </w:p>
        </w:tc>
        <w:tc>
          <w:tcPr>
            <w:tcW w:type="dxa" w:w="2400"/>
            <w:shd w:fill="D9E2F3" w:color="auto" w:val="clear"/>
            <w:tcMar>
              <w:top w:type="dxa" w:w="100"/>
              <w:left w:type="dxa" w:w="120"/>
              <w:bottom w:type="dxa" w:w="100"/>
              <w:right w:type="dxa" w:w="120"/>
            </w:tcMar>
          </w:tcPr>
          <w:p>
            <w:pPr>
              <w:jc w:val="center"/>
            </w:pPr>
            <w:r>
              <w:rPr>
                <w:b/>
                <w:bCs/>
                <w:sz w:val="20"/>
                <w:szCs w:val="20"/>
              </w:rPr>
              <w:t xml:space="preserve">Name</w:t>
            </w:r>
          </w:p>
        </w:tc>
        <w:tc>
          <w:tcPr>
            <w:tcW w:type="dxa" w:w="2400"/>
            <w:shd w:fill="D9E2F3" w:color="auto" w:val="clear"/>
            <w:tcMar>
              <w:top w:type="dxa" w:w="100"/>
              <w:left w:type="dxa" w:w="120"/>
              <w:bottom w:type="dxa" w:w="100"/>
              <w:right w:type="dxa" w:w="120"/>
            </w:tcMar>
          </w:tcPr>
          <w:p>
            <w:pPr>
              <w:jc w:val="center"/>
            </w:pPr>
            <w:r>
              <w:rPr>
                <w:b/>
                <w:bCs/>
                <w:sz w:val="20"/>
                <w:szCs w:val="20"/>
              </w:rPr>
              <w:t xml:space="preserve">Title</w:t>
            </w:r>
          </w:p>
        </w:tc>
        <w:tc>
          <w:tcPr>
            <w:tcW w:type="dxa" w:w="1600"/>
            <w:shd w:fill="D9E2F3" w:color="auto" w:val="clear"/>
            <w:tcMar>
              <w:top w:type="dxa" w:w="100"/>
              <w:left w:type="dxa" w:w="120"/>
              <w:bottom w:type="dxa" w:w="100"/>
              <w:right w:type="dxa" w:w="120"/>
            </w:tcMar>
          </w:tcPr>
          <w:p>
            <w:pPr>
              <w:jc w:val="center"/>
            </w:pPr>
            <w:r>
              <w:rPr>
                <w:b/>
                <w:bCs/>
                <w:sz w:val="20"/>
                <w:szCs w:val="20"/>
              </w:rPr>
              <w:t xml:space="preserve">Status</w:t>
            </w:r>
          </w:p>
        </w:tc>
        <w:tc>
          <w:tcPr>
            <w:tcW w:type="dxa" w:w="1500"/>
            <w:shd w:fill="D9E2F3" w:color="auto" w:val="clear"/>
            <w:tcMar>
              <w:top w:type="dxa" w:w="100"/>
              <w:left w:type="dxa" w:w="120"/>
              <w:bottom w:type="dxa" w:w="100"/>
              <w:right w:type="dxa" w:w="120"/>
            </w:tcMar>
          </w:tcPr>
          <w:p>
            <w:pPr>
              <w:jc w:val="center"/>
            </w:pPr>
            <w:r>
              <w:rPr>
                <w:b/>
                <w:bCs/>
                <w:sz w:val="20"/>
                <w:szCs w:val="20"/>
              </w:rPr>
              <w:t xml:space="preserve">Date</w:t>
            </w:r>
          </w:p>
        </w:tc>
      </w:tr>
      <w:tr>
        <w:tc>
          <w:tcPr>
            <w:tcW w:type="dxa" w:w="1900"/>
            <w:tcMar>
              <w:top w:type="dxa" w:w="100"/>
              <w:left w:type="dxa" w:w="120"/>
              <w:bottom w:type="dxa" w:w="100"/>
              <w:right w:type="dxa" w:w="120"/>
            </w:tcMar>
          </w:tcPr>
          <w:p>
            <w:pPr>
              <w:jc w:val="left"/>
            </w:pPr>
            <w:r>
              <w:rPr>
                <w:b w:val="false"/>
                <w:bCs w:val="false"/>
                <w:sz w:val="20"/>
                <w:szCs w:val="20"/>
              </w:rPr>
              <w:t xml:space="preserve">Business Owner</w:t>
            </w:r>
          </w:p>
        </w:tc>
        <w:tc>
          <w:tcPr>
            <w:tcW w:type="dxa" w:w="2400"/>
            <w:tcMar>
              <w:top w:type="dxa" w:w="100"/>
              <w:left w:type="dxa" w:w="120"/>
              <w:bottom w:type="dxa" w:w="100"/>
              <w:right w:type="dxa" w:w="120"/>
            </w:tcMar>
          </w:tcPr>
          <w:p>
            <w:pPr>
              <w:jc w:val="center"/>
            </w:pPr>
            <w:r>
              <w:rPr>
                <w:b w:val="false"/>
                <w:bCs w:val="false"/>
                <w:sz w:val="20"/>
                <w:szCs w:val="20"/>
              </w:rPr>
              <w:t xml:space="preserve"> </w:t>
            </w:r>
          </w:p>
        </w:tc>
        <w:tc>
          <w:tcPr>
            <w:tcW w:type="dxa" w:w="2400"/>
            <w:tcMar>
              <w:top w:type="dxa" w:w="100"/>
              <w:left w:type="dxa" w:w="120"/>
              <w:bottom w:type="dxa" w:w="100"/>
              <w:right w:type="dxa" w:w="120"/>
            </w:tcMar>
          </w:tcPr>
          <w:p>
            <w:pPr>
              <w:jc w:val="center"/>
            </w:pPr>
            <w:r>
              <w:rPr>
                <w:b w:val="false"/>
                <w:bCs w:val="false"/>
                <w:sz w:val="20"/>
                <w:szCs w:val="20"/>
              </w:rPr>
              <w:t xml:space="preserve">Head of Retail Lending</w:t>
            </w:r>
          </w:p>
        </w:tc>
        <w:tc>
          <w:tcPr>
            <w:tcW w:type="dxa" w:w="1600"/>
            <w:tcMar>
              <w:top w:type="dxa" w:w="100"/>
              <w:left w:type="dxa" w:w="120"/>
              <w:bottom w:type="dxa" w:w="100"/>
              <w:right w:type="dxa" w:w="120"/>
            </w:tcMar>
          </w:tcPr>
          <w:p>
            <w:pPr>
              <w:jc w:val="center"/>
            </w:pPr>
            <w:r>
              <w:rPr>
                <w:b w:val="false"/>
                <w:bCs w:val="false"/>
                <w:sz w:val="20"/>
                <w:szCs w:val="20"/>
              </w:rPr>
              <w:t xml:space="preserve">Pending Approval</w:t>
            </w:r>
          </w:p>
        </w:tc>
        <w:tc>
          <w:tcPr>
            <w:tcW w:type="dxa" w:w="1500"/>
            <w:tcMar>
              <w:top w:type="dxa" w:w="100"/>
              <w:left w:type="dxa" w:w="120"/>
              <w:bottom w:type="dxa" w:w="100"/>
              <w:right w:type="dxa" w:w="120"/>
            </w:tcMar>
          </w:tcPr>
          <w:p>
            <w:pPr>
              <w:jc w:val="center"/>
            </w:pPr>
            <w:r>
              <w:rPr>
                <w:b w:val="false"/>
                <w:bCs w:val="false"/>
                <w:sz w:val="20"/>
                <w:szCs w:val="20"/>
              </w:rPr>
              <w:t xml:space="preserve"> </w:t>
            </w:r>
          </w:p>
        </w:tc>
      </w:tr>
      <w:tr>
        <w:tc>
          <w:tcPr>
            <w:tcW w:type="dxa" w:w="1900"/>
            <w:tcMar>
              <w:top w:type="dxa" w:w="100"/>
              <w:left w:type="dxa" w:w="120"/>
              <w:bottom w:type="dxa" w:w="100"/>
              <w:right w:type="dxa" w:w="120"/>
            </w:tcMar>
          </w:tcPr>
          <w:p>
            <w:pPr>
              <w:jc w:val="left"/>
            </w:pPr>
            <w:r>
              <w:rPr>
                <w:b w:val="false"/>
                <w:bCs w:val="false"/>
                <w:sz w:val="20"/>
                <w:szCs w:val="20"/>
              </w:rPr>
              <w:t xml:space="preserve">Credit / Risk Lead</w:t>
            </w:r>
          </w:p>
        </w:tc>
        <w:tc>
          <w:tcPr>
            <w:tcW w:type="dxa" w:w="2400"/>
            <w:tcMar>
              <w:top w:type="dxa" w:w="100"/>
              <w:left w:type="dxa" w:w="120"/>
              <w:bottom w:type="dxa" w:w="100"/>
              <w:right w:type="dxa" w:w="120"/>
            </w:tcMar>
          </w:tcPr>
          <w:p>
            <w:pPr>
              <w:jc w:val="center"/>
            </w:pPr>
            <w:r>
              <w:rPr>
                <w:b w:val="false"/>
                <w:bCs w:val="false"/>
                <w:sz w:val="20"/>
                <w:szCs w:val="20"/>
              </w:rPr>
              <w:t xml:space="preserve"> </w:t>
            </w:r>
          </w:p>
        </w:tc>
        <w:tc>
          <w:tcPr>
            <w:tcW w:type="dxa" w:w="2400"/>
            <w:tcMar>
              <w:top w:type="dxa" w:w="100"/>
              <w:left w:type="dxa" w:w="120"/>
              <w:bottom w:type="dxa" w:w="100"/>
              <w:right w:type="dxa" w:w="120"/>
            </w:tcMar>
          </w:tcPr>
          <w:p>
            <w:pPr>
              <w:jc w:val="center"/>
            </w:pPr>
            <w:r>
              <w:rPr>
                <w:b w:val="false"/>
                <w:bCs w:val="false"/>
                <w:sz w:val="20"/>
                <w:szCs w:val="20"/>
              </w:rPr>
              <w:t xml:space="preserve">Credit Risk Manager</w:t>
            </w:r>
          </w:p>
        </w:tc>
        <w:tc>
          <w:tcPr>
            <w:tcW w:type="dxa" w:w="1600"/>
            <w:tcMar>
              <w:top w:type="dxa" w:w="100"/>
              <w:left w:type="dxa" w:w="120"/>
              <w:bottom w:type="dxa" w:w="100"/>
              <w:right w:type="dxa" w:w="120"/>
            </w:tcMar>
          </w:tcPr>
          <w:p>
            <w:pPr>
              <w:jc w:val="center"/>
            </w:pPr>
            <w:r>
              <w:rPr>
                <w:b w:val="false"/>
                <w:bCs w:val="false"/>
                <w:sz w:val="20"/>
                <w:szCs w:val="20"/>
              </w:rPr>
              <w:t xml:space="preserve">Pending Approval</w:t>
            </w:r>
          </w:p>
        </w:tc>
        <w:tc>
          <w:tcPr>
            <w:tcW w:type="dxa" w:w="1500"/>
            <w:tcMar>
              <w:top w:type="dxa" w:w="100"/>
              <w:left w:type="dxa" w:w="120"/>
              <w:bottom w:type="dxa" w:w="100"/>
              <w:right w:type="dxa" w:w="120"/>
            </w:tcMar>
          </w:tcPr>
          <w:p>
            <w:pPr>
              <w:jc w:val="center"/>
            </w:pPr>
            <w:r>
              <w:rPr>
                <w:b w:val="false"/>
                <w:bCs w:val="false"/>
                <w:sz w:val="20"/>
                <w:szCs w:val="20"/>
              </w:rPr>
              <w:t xml:space="preserve"> </w:t>
            </w:r>
          </w:p>
        </w:tc>
      </w:tr>
      <w:tr>
        <w:tc>
          <w:tcPr>
            <w:tcW w:type="dxa" w:w="1900"/>
            <w:tcMar>
              <w:top w:type="dxa" w:w="100"/>
              <w:left w:type="dxa" w:w="120"/>
              <w:bottom w:type="dxa" w:w="100"/>
              <w:right w:type="dxa" w:w="120"/>
            </w:tcMar>
          </w:tcPr>
          <w:p>
            <w:pPr>
              <w:jc w:val="left"/>
            </w:pPr>
            <w:r>
              <w:rPr>
                <w:b w:val="false"/>
                <w:bCs w:val="false"/>
                <w:sz w:val="20"/>
                <w:szCs w:val="20"/>
              </w:rPr>
              <w:t xml:space="preserve">IT / Systems Lead</w:t>
            </w:r>
          </w:p>
        </w:tc>
        <w:tc>
          <w:tcPr>
            <w:tcW w:type="dxa" w:w="2400"/>
            <w:tcMar>
              <w:top w:type="dxa" w:w="100"/>
              <w:left w:type="dxa" w:w="120"/>
              <w:bottom w:type="dxa" w:w="100"/>
              <w:right w:type="dxa" w:w="120"/>
            </w:tcMar>
          </w:tcPr>
          <w:p>
            <w:pPr>
              <w:jc w:val="center"/>
            </w:pPr>
            <w:r>
              <w:rPr>
                <w:b w:val="false"/>
                <w:bCs w:val="false"/>
                <w:sz w:val="20"/>
                <w:szCs w:val="20"/>
              </w:rPr>
              <w:t xml:space="preserve"> </w:t>
            </w:r>
          </w:p>
        </w:tc>
        <w:tc>
          <w:tcPr>
            <w:tcW w:type="dxa" w:w="2400"/>
            <w:tcMar>
              <w:top w:type="dxa" w:w="100"/>
              <w:left w:type="dxa" w:w="120"/>
              <w:bottom w:type="dxa" w:w="100"/>
              <w:right w:type="dxa" w:w="120"/>
            </w:tcMar>
          </w:tcPr>
          <w:p>
            <w:pPr>
              <w:jc w:val="center"/>
            </w:pPr>
            <w:r>
              <w:rPr>
                <w:b w:val="false"/>
                <w:bCs w:val="false"/>
                <w:sz w:val="20"/>
                <w:szCs w:val="20"/>
              </w:rPr>
              <w:t xml:space="preserve">IT Manager</w:t>
            </w:r>
          </w:p>
        </w:tc>
        <w:tc>
          <w:tcPr>
            <w:tcW w:type="dxa" w:w="1600"/>
            <w:tcMar>
              <w:top w:type="dxa" w:w="100"/>
              <w:left w:type="dxa" w:w="120"/>
              <w:bottom w:type="dxa" w:w="100"/>
              <w:right w:type="dxa" w:w="120"/>
            </w:tcMar>
          </w:tcPr>
          <w:p>
            <w:pPr>
              <w:jc w:val="center"/>
            </w:pPr>
            <w:r>
              <w:rPr>
                <w:b w:val="false"/>
                <w:bCs w:val="false"/>
                <w:sz w:val="20"/>
                <w:szCs w:val="20"/>
              </w:rPr>
              <w:t xml:space="preserve">Pending Approval</w:t>
            </w:r>
          </w:p>
        </w:tc>
        <w:tc>
          <w:tcPr>
            <w:tcW w:type="dxa" w:w="1500"/>
            <w:tcMar>
              <w:top w:type="dxa" w:w="100"/>
              <w:left w:type="dxa" w:w="120"/>
              <w:bottom w:type="dxa" w:w="100"/>
              <w:right w:type="dxa" w:w="120"/>
            </w:tcMar>
          </w:tcPr>
          <w:p>
            <w:pPr>
              <w:jc w:val="center"/>
            </w:pPr>
            <w:r>
              <w:rPr>
                <w:b w:val="false"/>
                <w:bCs w:val="false"/>
                <w:sz w:val="20"/>
                <w:szCs w:val="20"/>
              </w:rPr>
              <w:t xml:space="preserve"> </w:t>
            </w:r>
          </w:p>
        </w:tc>
      </w:tr>
      <w:tr>
        <w:tc>
          <w:tcPr>
            <w:tcW w:type="dxa" w:w="1900"/>
            <w:tcMar>
              <w:top w:type="dxa" w:w="100"/>
              <w:left w:type="dxa" w:w="120"/>
              <w:bottom w:type="dxa" w:w="100"/>
              <w:right w:type="dxa" w:w="120"/>
            </w:tcMar>
          </w:tcPr>
          <w:p>
            <w:pPr>
              <w:jc w:val="left"/>
            </w:pPr>
            <w:r>
              <w:rPr>
                <w:b w:val="false"/>
                <w:bCs w:val="false"/>
                <w:sz w:val="20"/>
                <w:szCs w:val="20"/>
              </w:rPr>
              <w:t xml:space="preserve">Branch Operations Lead</w:t>
            </w:r>
          </w:p>
        </w:tc>
        <w:tc>
          <w:tcPr>
            <w:tcW w:type="dxa" w:w="2400"/>
            <w:tcMar>
              <w:top w:type="dxa" w:w="100"/>
              <w:left w:type="dxa" w:w="120"/>
              <w:bottom w:type="dxa" w:w="100"/>
              <w:right w:type="dxa" w:w="120"/>
            </w:tcMar>
          </w:tcPr>
          <w:p>
            <w:pPr>
              <w:jc w:val="center"/>
            </w:pPr>
            <w:r>
              <w:rPr>
                <w:b w:val="false"/>
                <w:bCs w:val="false"/>
                <w:sz w:val="20"/>
                <w:szCs w:val="20"/>
              </w:rPr>
              <w:t xml:space="preserve"> </w:t>
            </w:r>
          </w:p>
        </w:tc>
        <w:tc>
          <w:tcPr>
            <w:tcW w:type="dxa" w:w="2400"/>
            <w:tcMar>
              <w:top w:type="dxa" w:w="100"/>
              <w:left w:type="dxa" w:w="120"/>
              <w:bottom w:type="dxa" w:w="100"/>
              <w:right w:type="dxa" w:w="120"/>
            </w:tcMar>
          </w:tcPr>
          <w:p>
            <w:pPr>
              <w:jc w:val="center"/>
            </w:pPr>
            <w:r>
              <w:rPr>
                <w:b w:val="false"/>
                <w:bCs w:val="false"/>
                <w:sz w:val="20"/>
                <w:szCs w:val="20"/>
              </w:rPr>
              <w:t xml:space="preserve">Branch Operations Manager</w:t>
            </w:r>
          </w:p>
        </w:tc>
        <w:tc>
          <w:tcPr>
            <w:tcW w:type="dxa" w:w="1600"/>
            <w:tcMar>
              <w:top w:type="dxa" w:w="100"/>
              <w:left w:type="dxa" w:w="120"/>
              <w:bottom w:type="dxa" w:w="100"/>
              <w:right w:type="dxa" w:w="120"/>
            </w:tcMar>
          </w:tcPr>
          <w:p>
            <w:pPr>
              <w:jc w:val="center"/>
            </w:pPr>
            <w:r>
              <w:rPr>
                <w:b w:val="false"/>
                <w:bCs w:val="false"/>
                <w:sz w:val="20"/>
                <w:szCs w:val="20"/>
              </w:rPr>
              <w:t xml:space="preserve">Pending Approval</w:t>
            </w:r>
          </w:p>
        </w:tc>
        <w:tc>
          <w:tcPr>
            <w:tcW w:type="dxa" w:w="1500"/>
            <w:tcMar>
              <w:top w:type="dxa" w:w="100"/>
              <w:left w:type="dxa" w:w="120"/>
              <w:bottom w:type="dxa" w:w="100"/>
              <w:right w:type="dxa" w:w="120"/>
            </w:tcMar>
          </w:tcPr>
          <w:p>
            <w:pPr>
              <w:jc w:val="center"/>
            </w:pPr>
            <w:r>
              <w:rPr>
                <w:b w:val="false"/>
                <w:bCs w:val="false"/>
                <w:sz w:val="20"/>
                <w:szCs w:val="20"/>
              </w:rPr>
              <w:t xml:space="preserve"> </w:t>
            </w:r>
          </w:p>
        </w:tc>
      </w:tr>
      <w:tr>
        <w:tc>
          <w:tcPr>
            <w:tcW w:type="dxa" w:w="1900"/>
            <w:tcMar>
              <w:top w:type="dxa" w:w="100"/>
              <w:left w:type="dxa" w:w="120"/>
              <w:bottom w:type="dxa" w:w="100"/>
              <w:right w:type="dxa" w:w="120"/>
            </w:tcMar>
          </w:tcPr>
          <w:p>
            <w:pPr>
              <w:jc w:val="left"/>
            </w:pPr>
            <w:r>
              <w:rPr>
                <w:b w:val="false"/>
                <w:bCs w:val="false"/>
                <w:sz w:val="20"/>
                <w:szCs w:val="20"/>
              </w:rPr>
              <w:t xml:space="preserve">Compliance Lead</w:t>
            </w:r>
          </w:p>
        </w:tc>
        <w:tc>
          <w:tcPr>
            <w:tcW w:type="dxa" w:w="2400"/>
            <w:tcMar>
              <w:top w:type="dxa" w:w="100"/>
              <w:left w:type="dxa" w:w="120"/>
              <w:bottom w:type="dxa" w:w="100"/>
              <w:right w:type="dxa" w:w="120"/>
            </w:tcMar>
          </w:tcPr>
          <w:p>
            <w:pPr>
              <w:jc w:val="center"/>
            </w:pPr>
            <w:r>
              <w:rPr>
                <w:b w:val="false"/>
                <w:bCs w:val="false"/>
                <w:sz w:val="20"/>
                <w:szCs w:val="20"/>
              </w:rPr>
              <w:t xml:space="preserve"> </w:t>
            </w:r>
          </w:p>
        </w:tc>
        <w:tc>
          <w:tcPr>
            <w:tcW w:type="dxa" w:w="2400"/>
            <w:tcMar>
              <w:top w:type="dxa" w:w="100"/>
              <w:left w:type="dxa" w:w="120"/>
              <w:bottom w:type="dxa" w:w="100"/>
              <w:right w:type="dxa" w:w="120"/>
            </w:tcMar>
          </w:tcPr>
          <w:p>
            <w:pPr>
              <w:jc w:val="center"/>
            </w:pPr>
            <w:r>
              <w:rPr>
                <w:b w:val="false"/>
                <w:bCs w:val="false"/>
                <w:sz w:val="20"/>
                <w:szCs w:val="20"/>
              </w:rPr>
              <w:t xml:space="preserve">Compliance Manager</w:t>
            </w:r>
          </w:p>
        </w:tc>
        <w:tc>
          <w:tcPr>
            <w:tcW w:type="dxa" w:w="1600"/>
            <w:tcMar>
              <w:top w:type="dxa" w:w="100"/>
              <w:left w:type="dxa" w:w="120"/>
              <w:bottom w:type="dxa" w:w="100"/>
              <w:right w:type="dxa" w:w="120"/>
            </w:tcMar>
          </w:tcPr>
          <w:p>
            <w:pPr>
              <w:jc w:val="center"/>
            </w:pPr>
            <w:r>
              <w:rPr>
                <w:b w:val="false"/>
                <w:bCs w:val="false"/>
                <w:sz w:val="20"/>
                <w:szCs w:val="20"/>
              </w:rPr>
              <w:t xml:space="preserve">Pending Approval</w:t>
            </w:r>
          </w:p>
        </w:tc>
        <w:tc>
          <w:tcPr>
            <w:tcW w:type="dxa" w:w="1500"/>
            <w:tcMar>
              <w:top w:type="dxa" w:w="100"/>
              <w:left w:type="dxa" w:w="120"/>
              <w:bottom w:type="dxa" w:w="100"/>
              <w:right w:type="dxa" w:w="120"/>
            </w:tcMar>
          </w:tcPr>
          <w:p>
            <w:pPr>
              <w:jc w:val="center"/>
            </w:pPr>
            <w:r>
              <w:rPr>
                <w:b w:val="false"/>
                <w:bCs w:val="false"/>
                <w:sz w:val="20"/>
                <w:szCs w:val="20"/>
              </w:rPr>
              <w:t xml:space="preserve"> </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2026-07-30T07:43:13.456Z</dcterms:created>
  <dcterms:modified xsi:type="dcterms:W3CDTF">2026-07-30T07:43:13.457Z</dcterms:modified>
</cp:coreProperties>
</file>

<file path=docProps/custom.xml><?xml version="1.0" encoding="utf-8"?>
<Properties xmlns="http://schemas.openxmlformats.org/officeDocument/2006/custom-properties" xmlns:vt="http://schemas.openxmlformats.org/officeDocument/2006/docPropsVTypes"/>
</file>