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BUSINESS REQUIREMENTS DOCUMENT (BRD)</w:t>
      </w:r>
    </w:p>
    <w:p>
      <w:pPr>
        <w:spacing w:after="120"/>
        <w:jc w:val="center"/>
      </w:pPr>
      <w:r>
        <w:rPr>
          <w:b/>
          <w:bCs/>
          <w:sz w:val="22"/>
          <w:szCs w:val="22"/>
        </w:rPr>
        <w:t xml:space="preserve">FRAUD DETECTION ALERTS — REAL-TIME ANOMALY DETECTION, SEVERITY TRIAGE &amp; TRANSACTION HOLDS</w:t>
      </w:r>
    </w:p>
    <w:p>
      <w:r>
        <w:br w:type="page"/>
      </w:r>
    </w:p>
    <w:p>
      <w:pPr>
        <w:pStyle w:val="Heading1"/>
        <w:spacing w:after="200" w:before="360"/>
      </w:pPr>
      <w:r>
        <w:rPr>
          <w:b/>
          <w:bCs/>
          <w:color w:val="1F3864"/>
        </w:rPr>
        <w:t xml:space="preserve">APPROVAL SHEET</w:t>
      </w:r>
    </w:p>
    <w:p>
      <w:pPr>
        <w:spacing w:after="120"/>
        <w:jc w:val="center"/>
      </w:pPr>
      <w:r>
        <w:rPr>
          <w:b/>
          <w:bCs/>
        </w:rPr>
        <w:t xml:space="preserve">BUSINESS REQUIREMENTS DOCUMENT (BRD)</w:t>
      </w:r>
    </w:p>
    <w:p>
      <w:pPr>
        <w:spacing w:after="120"/>
        <w:jc w:val="center"/>
      </w:pPr>
      <w:r>
        <w:rPr>
          <w:b/>
          <w:bCs/>
        </w:rPr>
        <w:t xml:space="preserve">FRAUD DETECTION ALERTS — REAL-TIME ANOMALY DETECTION, SEVERITY TRIAGE &amp; TRANSACTION HOLDS</w:t>
      </w:r>
    </w:p>
    <w:p>
      <w:pPr>
        <w:spacing w:after="120"/>
        <w:jc w:val="center"/>
      </w:pPr>
      <w:r>
        <w:t xml:space="preserve">[City], July 30, 2026</w:t>
      </w:r>
    </w:p>
    <w:p>
      <w:pPr>
        <w:spacing w:after="200"/>
      </w:pPr>
    </w:p>
    <w:p>
      <w:pPr>
        <w:spacing w:after="120"/>
        <w:jc w:val="center"/>
      </w:pPr>
      <w:r>
        <w:rPr>
          <w:b/>
          <w:bCs/>
        </w:rPr>
        <w:t xml:space="preserve">Prepared by,</w:t>
      </w:r>
    </w:p>
    <w:p>
      <w:pPr>
        <w:spacing w:after="120"/>
        <w:jc w:val="center"/>
      </w:pPr>
      <w:r>
        <w:t xml:space="preserve">Business Analyst</w:t>
      </w:r>
    </w:p>
    <w:p>
      <w:pPr>
        <w:spacing w:after="120"/>
        <w:jc w:val="center"/>
      </w:pPr>
      <w:r>
        <w:rPr>
          <w:u w:val="single"/>
        </w:rPr>
        <w:t xml:space="preserve">[Business Analyst Name]</w:t>
      </w:r>
    </w:p>
    <w:p>
      <w:pPr>
        <w:spacing w:after="400"/>
      </w:pPr>
    </w:p>
    <w:tbl>
      <w:tblPr>
        <w:tblW w:type="dxa" w:w="9800"/>
        <w:tblBorders>
          <w:top w:val="none"/>
          <w:left w:val="none"/>
          <w:bottom w:val="none"/>
          <w:right w:val="none"/>
          <w:insideH w:val="none"/>
          <w:insideV w:val="none"/>
        </w:tblBorders>
      </w:tblPr>
      <w:tblGrid>
        <w:gridCol w:w="4900"/>
        <w:gridCol w:w="4900"/>
      </w:tblGrid>
      <w:tr>
        <w:tc>
          <w:tcPr>
            <w:tcW w:type="dxa" w:w="4900"/>
            <w:tcBorders>
              <w:top w:val="none"/>
              <w:left w:val="none"/>
              <w:bottom w:val="none"/>
              <w:right w:val="none"/>
            </w:tcBorders>
          </w:tcPr>
          <w:p>
            <w:pPr>
              <w:spacing w:after="60"/>
              <w:jc w:val="center"/>
            </w:pPr>
            <w:r>
              <w:rPr>
                <w:b/>
                <w:bCs/>
              </w:rPr>
              <w:t xml:space="preserve">Acknowledged by,</w:t>
            </w:r>
          </w:p>
          <w:p>
            <w:pPr>
              <w:spacing w:after="600"/>
              <w:jc w:val="center"/>
            </w:pPr>
            <w:r>
              <w:rPr>
                <w:b/>
                <w:bCs/>
              </w:rPr>
              <w:t xml:space="preserve">Fraud / Risk Lead</w:t>
            </w:r>
          </w:p>
          <w:p>
            <w:pPr>
              <w:spacing w:after="40"/>
              <w:jc w:val="center"/>
            </w:pPr>
            <w:r>
              <w:rPr>
                <w:u w:val="single"/>
              </w:rPr>
              <w:t xml:space="preserve">(________________________)</w:t>
            </w:r>
          </w:p>
          <w:p>
            <w:pPr>
              <w:jc w:val="center"/>
            </w:pPr>
            <w:r>
              <w:t xml:space="preserve">Date:</w:t>
            </w:r>
          </w:p>
        </w:tc>
        <w:tc>
          <w:tcPr>
            <w:tcW w:type="dxa" w:w="4900"/>
            <w:tcBorders>
              <w:top w:val="none"/>
              <w:left w:val="none"/>
              <w:bottom w:val="none"/>
              <w:right w:val="none"/>
            </w:tcBorders>
          </w:tcPr>
          <w:p>
            <w:pPr>
              <w:spacing w:after="60"/>
              <w:jc w:val="center"/>
            </w:pPr>
            <w:r>
              <w:rPr>
                <w:b/>
                <w:bCs/>
              </w:rPr>
              <w:t xml:space="preserve">Acknowledged by,</w:t>
            </w:r>
          </w:p>
          <w:p>
            <w:pPr>
              <w:spacing w:after="600"/>
              <w:jc w:val="center"/>
            </w:pPr>
            <w:r>
              <w:rPr>
                <w:b/>
                <w:bCs/>
              </w:rPr>
              <w:t xml:space="preserve">IT / Systems Lead</w:t>
            </w:r>
          </w:p>
          <w:p>
            <w:pPr>
              <w:spacing w:after="40"/>
              <w:jc w:val="center"/>
            </w:pPr>
            <w:r>
              <w:rPr>
                <w:u w:val="single"/>
              </w:rPr>
              <w:t xml:space="preserve">(________________________)</w:t>
            </w:r>
          </w:p>
          <w:p>
            <w:pPr>
              <w:jc w:val="center"/>
            </w:pPr>
            <w:r>
              <w:t xml:space="preserve">Date:</w:t>
            </w:r>
          </w:p>
        </w:tc>
      </w:tr>
    </w:tbl>
    <w:p>
      <w:pPr>
        <w:spacing w:after="300"/>
      </w:pPr>
    </w:p>
    <w:p>
      <w:pPr>
        <w:spacing w:after="120"/>
        <w:jc w:val="center"/>
      </w:pPr>
      <w:r>
        <w:rPr>
          <w:b/>
          <w:bCs/>
        </w:rPr>
        <w:t xml:space="preserve">Approved by,</w:t>
      </w:r>
    </w:p>
    <w:p>
      <w:pPr>
        <w:spacing w:after="120"/>
        <w:jc w:val="center"/>
      </w:pPr>
      <w:r>
        <w:rPr>
          <w:b/>
          <w:bCs/>
        </w:rPr>
        <w:t xml:space="preserve">Business Owner</w:t>
      </w:r>
    </w:p>
    <w:p>
      <w:pPr>
        <w:spacing w:after="500"/>
      </w:pPr>
    </w:p>
    <w:p>
      <w:pPr>
        <w:spacing w:after="120"/>
        <w:jc w:val="center"/>
      </w:pPr>
      <w:r>
        <w:rPr>
          <w:u w:val="single"/>
        </w:rPr>
        <w:t xml:space="preserve">(________________________)</w:t>
      </w:r>
    </w:p>
    <w:p>
      <w:pPr>
        <w:spacing w:after="120"/>
        <w:jc w:val="center"/>
      </w:pPr>
      <w:r>
        <w:t xml:space="preserve">Date:</w:t>
      </w:r>
    </w:p>
    <w:p>
      <w:r>
        <w:br w:type="page"/>
      </w:r>
    </w:p>
    <w:p>
      <w:pPr>
        <w:pStyle w:val="Heading1"/>
        <w:spacing w:after="200" w:before="360"/>
      </w:pPr>
      <w:r>
        <w:rPr>
          <w:b/>
          <w:bCs/>
          <w:color w:val="1F3864"/>
        </w:rPr>
        <w:t xml:space="preserve">FOREWORD</w:t>
      </w:r>
    </w:p>
    <w:p>
      <w:pPr>
        <w:spacing w:after="160" w:line="276"/>
        <w:jc w:val="both"/>
      </w:pPr>
      <w:r>
        <w:t xml:space="preserve">This Business Requirements Document (BRD) has been prepared to formally define the business, functional, and process requirements for real-time fraud-anomaly detection, severity-based alert triage, and an automated transaction-hold-and-confirm capability, in response to an incident in which an unusually large charge went undetected until the customer complained.</w:t>
      </w:r>
    </w:p>
    <w:p>
      <w:pPr>
        <w:spacing w:after="160" w:line="276"/>
        <w:jc w:val="both"/>
      </w:pPr>
      <w:r>
        <w:t xml:space="preserve">Completion of this document would not have been possible without input and collaboration from several teams. The author wishes to thank:</w:t>
      </w:r>
    </w:p>
    <w:p>
      <w:pPr>
        <w:pStyle w:val="ListParagraph"/>
        <w:numPr>
          <w:ilvl w:val="0"/>
          <w:numId w:val="2"/>
        </w:numPr>
        <w:spacing w:after="100" w:line="276"/>
      </w:pPr>
      <w:r>
        <w:t xml:space="preserve">The Fraud/Risk team, for describing the current alert volume, triage process, and fraud-loss data.</w:t>
      </w:r>
    </w:p>
    <w:p>
      <w:pPr>
        <w:pStyle w:val="ListParagraph"/>
        <w:numPr>
          <w:ilvl w:val="0"/>
          <w:numId w:val="2"/>
        </w:numPr>
        <w:spacing w:after="100" w:line="276"/>
      </w:pPr>
      <w:r>
        <w:t xml:space="preserve">IT/Systems, for confirming the technical feasibility of real-time anomaly detection and the authorization-hold integration.</w:t>
      </w:r>
    </w:p>
    <w:p>
      <w:pPr>
        <w:pStyle w:val="ListParagraph"/>
        <w:numPr>
          <w:ilvl w:val="0"/>
          <w:numId w:val="2"/>
        </w:numPr>
        <w:spacing w:after="100" w:line="276"/>
      </w:pPr>
      <w:r>
        <w:t xml:space="preserve">Customer Service, for input on how hold-related customer contact would be handled.</w:t>
      </w:r>
    </w:p>
    <w:p>
      <w:pPr>
        <w:spacing w:after="120"/>
        <w:jc w:val="center"/>
      </w:pPr>
      <w:r>
        <w:t xml:space="preserve">[City], July 30, 2026</w:t>
      </w:r>
    </w:p>
    <w:p>
      <w:pPr>
        <w:spacing w:after="120"/>
        <w:jc w:val="center"/>
      </w:pPr>
      <w:r>
        <w:rPr>
          <w:b/>
          <w:bCs/>
        </w:rPr>
        <w:t xml:space="preserve">[Business Analyst Name]</w:t>
      </w:r>
    </w:p>
    <w:p>
      <w:r>
        <w:br w:type="page"/>
      </w:r>
    </w:p>
    <w:p>
      <w:pPr>
        <w:pStyle w:val="Heading1"/>
        <w:spacing w:after="200" w:before="360"/>
      </w:pPr>
      <w:r>
        <w:rPr>
          <w:b/>
          <w:bCs/>
          <w:color w:val="1F3864"/>
        </w:rPr>
        <w:t xml:space="preserve">ABSTRACT</w:t>
      </w:r>
    </w:p>
    <w:p>
      <w:pPr>
        <w:spacing w:after="160" w:line="276"/>
        <w:jc w:val="both"/>
      </w:pPr>
      <w:r>
        <w:t xml:space="preserve">In a recent incident, 19 transactions totaling $912 — roughly 20 times the customer's typical single-transaction amount of $45 — were processed on the same card within a 47-minute window, and went undetected for 3 days until the customer contacted the business directly. Separately, the Fraud/Risk team currently reviews 200 alerts per day from the existing rule-based alerting system, of which an estimated 50% are false positives, at an average review time of 6 minutes per alert. Confirmed fraud losses averaged $38,000 per month in Q2 2026, of which approximately 65% originated from anomalies the existing rule-based alerts did not catch in real time.</w:t>
      </w:r>
    </w:p>
    <w:p>
      <w:pPr>
        <w:spacing w:after="160" w:line="276"/>
        <w:jc w:val="both"/>
      </w:pPr>
      <w:r>
        <w:t xml:space="preserve">This BRD defines requirements for real-time transaction-anomaly detection, severity-based alert scoring so the fraud team's queue is sorted by how serious an alert actually is, an automated temporary authorization hold with customer confirmation for high-severity alerts, and outcome logging to support false-positive-rate reporting for management. Modeling in Section 2.2 projects approximately $248,360 in combined annual benefit: approximately $40,880 from reduced analyst time spent on false positives, and approximately $207,480 from fraud losses avoided by catching high-severity anomalies before the transaction completes.</w:t>
      </w:r>
    </w:p>
    <w:p>
      <w:pPr>
        <w:spacing w:after="160" w:line="276"/>
        <w:jc w:val="both"/>
      </w:pPr>
      <w:r>
        <w:rPr>
          <w:i/>
          <w:iCs/>
        </w:rPr>
        <w:t xml:space="preserve">Keywords: Fraud Detection, Transaction Anomaly Alerts, Severity Triage, False-Positive Rate, Transaction Hold, Business Requirements Document (BRD).</w:t>
      </w:r>
    </w:p>
    <w:p>
      <w:r>
        <w:br w:type="page"/>
      </w:r>
    </w:p>
    <w:p>
      <w:pPr>
        <w:pStyle w:val="Heading1"/>
        <w:spacing w:after="200" w:before="360"/>
      </w:pPr>
      <w:r>
        <w:rPr>
          <w:b/>
          <w:bCs/>
          <w:color w:val="1F3864"/>
        </w:rPr>
        <w:t xml:space="preserve">TABLE OF CONTENTS</w:t>
      </w:r>
    </w:p>
    <w:p>
      <w:pPr>
        <w:tabs>
          <w:tab w:val="right" w:pos="9026" w:leader="dot"/>
        </w:tabs>
        <w:spacing w:after="80"/>
        <w:ind w:left="0"/>
      </w:pPr>
      <w:r>
        <w:rPr>
          <w:b/>
          <w:bCs/>
        </w:rPr>
        <w:t xml:space="preserve">APPROVAL SHEET	2</w:t>
      </w:r>
    </w:p>
    <w:p>
      <w:pPr>
        <w:tabs>
          <w:tab w:val="right" w:pos="9026" w:leader="dot"/>
        </w:tabs>
        <w:spacing w:after="80"/>
        <w:ind w:left="0"/>
      </w:pPr>
      <w:r>
        <w:rPr>
          <w:b/>
          <w:bCs/>
        </w:rPr>
        <w:t xml:space="preserve">FOREWORD	3</w:t>
      </w:r>
    </w:p>
    <w:p>
      <w:pPr>
        <w:tabs>
          <w:tab w:val="right" w:pos="9026" w:leader="dot"/>
        </w:tabs>
        <w:spacing w:after="80"/>
        <w:ind w:left="0"/>
      </w:pPr>
      <w:r>
        <w:rPr>
          <w:b/>
          <w:bCs/>
        </w:rPr>
        <w:t xml:space="preserve">ABSTRACT	4</w:t>
      </w:r>
    </w:p>
    <w:p>
      <w:pPr>
        <w:tabs>
          <w:tab w:val="right" w:pos="9026" w:leader="dot"/>
        </w:tabs>
        <w:spacing w:after="80"/>
        <w:ind w:left="0"/>
      </w:pPr>
      <w:r>
        <w:rPr>
          <w:b/>
          <w:bCs/>
        </w:rPr>
        <w:t xml:space="preserve">TABLE OF CONTENTS	5</w:t>
      </w:r>
    </w:p>
    <w:p>
      <w:pPr>
        <w:tabs>
          <w:tab w:val="right" w:pos="9026" w:leader="dot"/>
        </w:tabs>
        <w:spacing w:after="80"/>
        <w:ind w:left="0"/>
      </w:pPr>
      <w:r>
        <w:rPr>
          <w:b/>
          <w:bCs/>
        </w:rPr>
        <w:t xml:space="preserve">LIST OF TABLES	7</w:t>
      </w:r>
    </w:p>
    <w:p>
      <w:pPr>
        <w:tabs>
          <w:tab w:val="right" w:pos="9026" w:leader="dot"/>
        </w:tabs>
        <w:spacing w:after="80"/>
        <w:ind w:left="0"/>
      </w:pPr>
      <w:r>
        <w:rPr>
          <w:b/>
          <w:bCs/>
        </w:rPr>
        <w:t xml:space="preserve">CHAPTER I	8</w:t>
      </w:r>
    </w:p>
    <w:p>
      <w:pPr>
        <w:tabs>
          <w:tab w:val="right" w:pos="9026" w:leader="dot"/>
        </w:tabs>
        <w:spacing w:after="80"/>
        <w:ind w:left="0"/>
      </w:pPr>
      <w:r>
        <w:rPr>
          <w:b/>
          <w:bCs/>
        </w:rPr>
        <w:t xml:space="preserve">INTRODUCTION	8</w:t>
      </w:r>
    </w:p>
    <w:p>
      <w:pPr>
        <w:tabs>
          <w:tab w:val="right" w:pos="9026" w:leader="dot"/>
        </w:tabs>
        <w:spacing w:after="80"/>
        <w:ind w:left="260"/>
      </w:pPr>
      <w:r>
        <w:rPr>
          <w:b w:val="false"/>
          <w:bCs w:val="false"/>
        </w:rPr>
        <w:t xml:space="preserve">1.1 Overview	8</w:t>
      </w:r>
    </w:p>
    <w:p>
      <w:pPr>
        <w:tabs>
          <w:tab w:val="right" w:pos="9026" w:leader="dot"/>
        </w:tabs>
        <w:spacing w:after="80"/>
        <w:ind w:left="520"/>
      </w:pPr>
      <w:r>
        <w:rPr>
          <w:b w:val="false"/>
          <w:bCs w:val="false"/>
        </w:rPr>
        <w:t xml:space="preserve">1.1.1 Background	8</w:t>
      </w:r>
    </w:p>
    <w:p>
      <w:pPr>
        <w:tabs>
          <w:tab w:val="right" w:pos="9026" w:leader="dot"/>
        </w:tabs>
        <w:spacing w:after="80"/>
        <w:ind w:left="520"/>
      </w:pPr>
      <w:r>
        <w:rPr>
          <w:b w:val="false"/>
          <w:bCs w:val="false"/>
        </w:rPr>
        <w:t xml:space="preserve">1.1.2 Business and Market Analysis	8</w:t>
      </w:r>
    </w:p>
    <w:p>
      <w:pPr>
        <w:tabs>
          <w:tab w:val="right" w:pos="9026" w:leader="dot"/>
        </w:tabs>
        <w:spacing w:after="80"/>
        <w:ind w:left="520"/>
      </w:pPr>
      <w:r>
        <w:rPr>
          <w:b w:val="false"/>
          <w:bCs w:val="false"/>
        </w:rPr>
        <w:t xml:space="preserve">1.1.3 Relevant Historical Data	8</w:t>
      </w:r>
    </w:p>
    <w:p>
      <w:pPr>
        <w:tabs>
          <w:tab w:val="right" w:pos="9026" w:leader="dot"/>
        </w:tabs>
        <w:spacing w:after="80"/>
        <w:ind w:left="260"/>
      </w:pPr>
      <w:r>
        <w:rPr>
          <w:b w:val="false"/>
          <w:bCs w:val="false"/>
        </w:rPr>
        <w:t xml:space="preserve">1.2 Business Objective	9</w:t>
      </w:r>
    </w:p>
    <w:p>
      <w:pPr>
        <w:tabs>
          <w:tab w:val="right" w:pos="9026" w:leader="dot"/>
        </w:tabs>
        <w:spacing w:after="80"/>
        <w:ind w:left="260"/>
      </w:pPr>
      <w:r>
        <w:rPr>
          <w:b w:val="false"/>
          <w:bCs w:val="false"/>
        </w:rPr>
        <w:t xml:space="preserve">1.3 Purpose of this Business Requirement	9</w:t>
      </w:r>
    </w:p>
    <w:p>
      <w:pPr>
        <w:tabs>
          <w:tab w:val="right" w:pos="9026" w:leader="dot"/>
        </w:tabs>
        <w:spacing w:after="80"/>
        <w:ind w:left="260"/>
      </w:pPr>
      <w:r>
        <w:rPr>
          <w:b w:val="false"/>
          <w:bCs w:val="false"/>
        </w:rPr>
        <w:t xml:space="preserve">1.4 Program Type	9</w:t>
      </w:r>
    </w:p>
    <w:p>
      <w:pPr>
        <w:tabs>
          <w:tab w:val="right" w:pos="9026" w:leader="dot"/>
        </w:tabs>
        <w:spacing w:after="80"/>
        <w:ind w:left="260"/>
      </w:pPr>
      <w:r>
        <w:rPr>
          <w:b w:val="false"/>
          <w:bCs w:val="false"/>
        </w:rPr>
        <w:t xml:space="preserve">1.5 Business Risk	9</w:t>
      </w:r>
    </w:p>
    <w:p>
      <w:pPr>
        <w:tabs>
          <w:tab w:val="right" w:pos="9026" w:leader="dot"/>
        </w:tabs>
        <w:spacing w:after="80"/>
        <w:ind w:left="0"/>
      </w:pPr>
      <w:r>
        <w:rPr>
          <w:b/>
          <w:bCs/>
        </w:rPr>
        <w:t xml:space="preserve">CHAPTER II	11</w:t>
      </w:r>
    </w:p>
    <w:p>
      <w:pPr>
        <w:tabs>
          <w:tab w:val="right" w:pos="9026" w:leader="dot"/>
        </w:tabs>
        <w:spacing w:after="80"/>
        <w:ind w:left="0"/>
      </w:pPr>
      <w:r>
        <w:rPr>
          <w:b/>
          <w:bCs/>
        </w:rPr>
        <w:t xml:space="preserve">BENEFIT ANALYSIS	11</w:t>
      </w:r>
    </w:p>
    <w:p>
      <w:pPr>
        <w:tabs>
          <w:tab w:val="right" w:pos="9026" w:leader="dot"/>
        </w:tabs>
        <w:spacing w:after="80"/>
        <w:ind w:left="260"/>
      </w:pPr>
      <w:r>
        <w:rPr>
          <w:b w:val="false"/>
          <w:bCs w:val="false"/>
        </w:rPr>
        <w:t xml:space="preserve">2.1 Summary	11</w:t>
      </w:r>
    </w:p>
    <w:p>
      <w:pPr>
        <w:tabs>
          <w:tab w:val="right" w:pos="9026" w:leader="dot"/>
        </w:tabs>
        <w:spacing w:after="80"/>
        <w:ind w:left="260"/>
      </w:pPr>
      <w:r>
        <w:rPr>
          <w:b w:val="false"/>
          <w:bCs w:val="false"/>
        </w:rPr>
        <w:t xml:space="preserve">2.2 Assumption and Calculation	11</w:t>
      </w:r>
    </w:p>
    <w:p>
      <w:pPr>
        <w:tabs>
          <w:tab w:val="right" w:pos="9026" w:leader="dot"/>
        </w:tabs>
        <w:spacing w:after="80"/>
        <w:ind w:left="0"/>
      </w:pPr>
      <w:r>
        <w:rPr>
          <w:b/>
          <w:bCs/>
        </w:rPr>
        <w:t xml:space="preserve">CHAPTER III	12</w:t>
      </w:r>
    </w:p>
    <w:p>
      <w:pPr>
        <w:tabs>
          <w:tab w:val="right" w:pos="9026" w:leader="dot"/>
        </w:tabs>
        <w:spacing w:after="80"/>
        <w:ind w:left="0"/>
      </w:pPr>
      <w:r>
        <w:rPr>
          <w:b/>
          <w:bCs/>
        </w:rPr>
        <w:t xml:space="preserve">SERVICE DESCRIPTION	12</w:t>
      </w:r>
    </w:p>
    <w:p>
      <w:pPr>
        <w:tabs>
          <w:tab w:val="right" w:pos="9026" w:leader="dot"/>
        </w:tabs>
        <w:spacing w:after="80"/>
        <w:ind w:left="260"/>
      </w:pPr>
      <w:r>
        <w:rPr>
          <w:b w:val="false"/>
          <w:bCs w:val="false"/>
        </w:rPr>
        <w:t xml:space="preserve">3.1 General Requirement	12</w:t>
      </w:r>
    </w:p>
    <w:p>
      <w:pPr>
        <w:tabs>
          <w:tab w:val="right" w:pos="9026" w:leader="dot"/>
        </w:tabs>
        <w:spacing w:after="80"/>
        <w:ind w:left="260"/>
      </w:pPr>
      <w:r>
        <w:rPr>
          <w:b w:val="false"/>
          <w:bCs w:val="false"/>
        </w:rPr>
        <w:t xml:space="preserve">3.2 Product / Service Specification	12</w:t>
      </w:r>
    </w:p>
    <w:p>
      <w:pPr>
        <w:tabs>
          <w:tab w:val="right" w:pos="9026" w:leader="dot"/>
        </w:tabs>
        <w:spacing w:after="80"/>
        <w:ind w:left="260"/>
      </w:pPr>
      <w:r>
        <w:rPr>
          <w:b w:val="false"/>
          <w:bCs w:val="false"/>
        </w:rPr>
        <w:t xml:space="preserve">3.3 Business Process	13</w:t>
      </w:r>
    </w:p>
    <w:p>
      <w:pPr>
        <w:tabs>
          <w:tab w:val="right" w:pos="9026" w:leader="dot"/>
        </w:tabs>
        <w:spacing w:after="80"/>
        <w:ind w:left="520"/>
      </w:pPr>
      <w:r>
        <w:rPr>
          <w:b w:val="false"/>
          <w:bCs w:val="false"/>
        </w:rPr>
        <w:t xml:space="preserve">3.3.1 Business Process Impact	13</w:t>
      </w:r>
    </w:p>
    <w:p>
      <w:pPr>
        <w:tabs>
          <w:tab w:val="right" w:pos="9026" w:leader="dot"/>
        </w:tabs>
        <w:spacing w:after="80"/>
        <w:ind w:left="520"/>
      </w:pPr>
      <w:r>
        <w:rPr>
          <w:b w:val="false"/>
          <w:bCs w:val="false"/>
        </w:rPr>
        <w:t xml:space="preserve">3.3.2 Description	13</w:t>
      </w:r>
    </w:p>
    <w:p>
      <w:pPr>
        <w:tabs>
          <w:tab w:val="right" w:pos="9026" w:leader="dot"/>
        </w:tabs>
        <w:spacing w:after="80"/>
        <w:ind w:left="520"/>
      </w:pPr>
      <w:r>
        <w:rPr>
          <w:b w:val="false"/>
          <w:bCs w:val="false"/>
        </w:rPr>
        <w:t xml:space="preserve">3.3.3 Security	13</w:t>
      </w:r>
    </w:p>
    <w:p>
      <w:pPr>
        <w:tabs>
          <w:tab w:val="right" w:pos="9026" w:leader="dot"/>
        </w:tabs>
        <w:spacing w:after="80"/>
        <w:ind w:left="520"/>
      </w:pPr>
      <w:r>
        <w:rPr>
          <w:b w:val="false"/>
          <w:bCs w:val="false"/>
        </w:rPr>
        <w:t xml:space="preserve">3.3.4 Organization and Policy	13</w:t>
      </w:r>
    </w:p>
    <w:p>
      <w:pPr>
        <w:tabs>
          <w:tab w:val="right" w:pos="9026" w:leader="dot"/>
        </w:tabs>
        <w:spacing w:after="80"/>
        <w:ind w:left="520"/>
      </w:pPr>
      <w:r>
        <w:rPr>
          <w:b w:val="false"/>
          <w:bCs w:val="false"/>
        </w:rPr>
        <w:t xml:space="preserve">3.3.5 Service Delivery Plan	13</w:t>
      </w:r>
    </w:p>
    <w:p>
      <w:pPr>
        <w:tabs>
          <w:tab w:val="right" w:pos="9026" w:leader="dot"/>
        </w:tabs>
        <w:spacing w:after="80"/>
        <w:ind w:left="260"/>
      </w:pPr>
      <w:r>
        <w:rPr>
          <w:b w:val="false"/>
          <w:bCs w:val="false"/>
        </w:rPr>
        <w:t xml:space="preserve">3.4 Complain Handling	13</w:t>
      </w:r>
    </w:p>
    <w:p>
      <w:pPr>
        <w:tabs>
          <w:tab w:val="right" w:pos="9026" w:leader="dot"/>
        </w:tabs>
        <w:spacing w:after="80"/>
        <w:ind w:left="260"/>
      </w:pPr>
      <w:r>
        <w:rPr>
          <w:b w:val="false"/>
          <w:bCs w:val="false"/>
        </w:rPr>
        <w:t xml:space="preserve">3.5 Reporting	14</w:t>
      </w:r>
    </w:p>
    <w:p>
      <w:pPr>
        <w:tabs>
          <w:tab w:val="right" w:pos="9026" w:leader="dot"/>
        </w:tabs>
        <w:spacing w:after="80"/>
        <w:ind w:left="260"/>
      </w:pPr>
      <w:r>
        <w:rPr>
          <w:b w:val="false"/>
          <w:bCs w:val="false"/>
        </w:rPr>
        <w:t xml:space="preserve">3.6 Monitoring	14</w:t>
      </w:r>
    </w:p>
    <w:p>
      <w:pPr>
        <w:tabs>
          <w:tab w:val="right" w:pos="9026" w:leader="dot"/>
        </w:tabs>
        <w:spacing w:after="80"/>
        <w:ind w:left="260"/>
      </w:pPr>
      <w:r>
        <w:rPr>
          <w:b w:val="false"/>
          <w:bCs w:val="false"/>
        </w:rPr>
        <w:t xml:space="preserve">3.7 Settlement Plan	14</w:t>
      </w:r>
    </w:p>
    <w:p>
      <w:pPr>
        <w:tabs>
          <w:tab w:val="right" w:pos="9026" w:leader="dot"/>
        </w:tabs>
        <w:spacing w:after="80"/>
        <w:ind w:left="260"/>
      </w:pPr>
      <w:r>
        <w:rPr>
          <w:b w:val="false"/>
          <w:bCs w:val="false"/>
        </w:rPr>
        <w:t xml:space="preserve">3.8 Assumptions and Dependencies	14</w:t>
      </w:r>
    </w:p>
    <w:p>
      <w:pPr>
        <w:tabs>
          <w:tab w:val="right" w:pos="9026" w:leader="dot"/>
        </w:tabs>
        <w:spacing w:after="80"/>
        <w:ind w:left="0"/>
      </w:pPr>
      <w:r>
        <w:rPr>
          <w:b/>
          <w:bCs/>
        </w:rPr>
        <w:t xml:space="preserve">CHAPTER IV	15</w:t>
      </w:r>
    </w:p>
    <w:p>
      <w:pPr>
        <w:tabs>
          <w:tab w:val="right" w:pos="9026" w:leader="dot"/>
        </w:tabs>
        <w:spacing w:after="80"/>
        <w:ind w:left="0"/>
      </w:pPr>
      <w:r>
        <w:rPr>
          <w:b/>
          <w:bCs/>
        </w:rPr>
        <w:t xml:space="preserve">RELEASE PLAN	15</w:t>
      </w:r>
    </w:p>
    <w:p>
      <w:pPr>
        <w:tabs>
          <w:tab w:val="right" w:pos="9026" w:leader="dot"/>
        </w:tabs>
        <w:spacing w:after="80"/>
        <w:ind w:left="260"/>
      </w:pPr>
      <w:r>
        <w:rPr>
          <w:b w:val="false"/>
          <w:bCs w:val="false"/>
        </w:rPr>
        <w:t xml:space="preserve">4.1 Target Ready for Service	15</w:t>
      </w:r>
    </w:p>
    <w:p>
      <w:pPr>
        <w:tabs>
          <w:tab w:val="right" w:pos="9026" w:leader="dot"/>
        </w:tabs>
        <w:spacing w:after="80"/>
        <w:ind w:left="260"/>
      </w:pPr>
      <w:r>
        <w:rPr>
          <w:b w:val="false"/>
          <w:bCs w:val="false"/>
        </w:rPr>
        <w:t xml:space="preserve">4.2 Commercial Launch	15</w:t>
      </w:r>
    </w:p>
    <w:p>
      <w:pPr>
        <w:tabs>
          <w:tab w:val="right" w:pos="9026" w:leader="dot"/>
        </w:tabs>
        <w:spacing w:after="80"/>
        <w:ind w:left="260"/>
      </w:pPr>
      <w:r>
        <w:rPr>
          <w:b w:val="false"/>
          <w:bCs w:val="false"/>
        </w:rPr>
        <w:t xml:space="preserve">4.3 Internal Socialization Plan	15</w:t>
      </w:r>
    </w:p>
    <w:p>
      <w:pPr>
        <w:tabs>
          <w:tab w:val="right" w:pos="9026" w:leader="dot"/>
        </w:tabs>
        <w:spacing w:after="80"/>
        <w:ind w:left="260"/>
      </w:pPr>
      <w:r>
        <w:rPr>
          <w:b w:val="false"/>
          <w:bCs w:val="false"/>
        </w:rPr>
        <w:t xml:space="preserve">4.4 Rollout Scenario	15</w:t>
      </w:r>
    </w:p>
    <w:p>
      <w:pPr>
        <w:tabs>
          <w:tab w:val="right" w:pos="9026" w:leader="dot"/>
        </w:tabs>
        <w:spacing w:after="80"/>
        <w:ind w:left="0"/>
      </w:pPr>
      <w:r>
        <w:rPr>
          <w:b/>
          <w:bCs/>
        </w:rPr>
        <w:t xml:space="preserve">CHAPTER V	16</w:t>
      </w:r>
    </w:p>
    <w:p>
      <w:pPr>
        <w:tabs>
          <w:tab w:val="right" w:pos="9026" w:leader="dot"/>
        </w:tabs>
        <w:spacing w:after="80"/>
        <w:ind w:left="0"/>
      </w:pPr>
      <w:r>
        <w:rPr>
          <w:b/>
          <w:bCs/>
        </w:rPr>
        <w:t xml:space="preserve">RETIREMENT PLAN &amp; SIGNOFF	16</w:t>
      </w:r>
    </w:p>
    <w:p>
      <w:pPr>
        <w:tabs>
          <w:tab w:val="right" w:pos="9026" w:leader="dot"/>
        </w:tabs>
        <w:spacing w:after="80"/>
        <w:ind w:left="260"/>
      </w:pPr>
      <w:r>
        <w:rPr>
          <w:b w:val="false"/>
          <w:bCs w:val="false"/>
        </w:rPr>
        <w:t xml:space="preserve">5.1 Product / Service Retirement Plan	16</w:t>
      </w:r>
    </w:p>
    <w:p>
      <w:pPr>
        <w:tabs>
          <w:tab w:val="right" w:pos="9026" w:leader="dot"/>
        </w:tabs>
        <w:spacing w:after="80"/>
        <w:ind w:left="260"/>
      </w:pPr>
      <w:r>
        <w:rPr>
          <w:b w:val="false"/>
          <w:bCs w:val="false"/>
        </w:rPr>
        <w:t xml:space="preserve">5.2 Document Signoff	16</w:t>
      </w:r>
    </w:p>
    <w:p>
      <w:r>
        <w:br w:type="page"/>
      </w:r>
    </w:p>
    <w:p>
      <w:pPr>
        <w:pStyle w:val="Heading1"/>
        <w:spacing w:after="200" w:before="360"/>
      </w:pPr>
      <w:r>
        <w:rPr>
          <w:b/>
          <w:bCs/>
          <w:color w:val="1F3864"/>
        </w:rPr>
        <w:t xml:space="preserve">LIST OF TABLES</w:t>
      </w:r>
    </w:p>
    <w:p>
      <w:pPr>
        <w:spacing w:after="160" w:line="276"/>
        <w:jc w:val="both"/>
      </w:pPr>
      <w:r>
        <w:t xml:space="preserve">Table 1.1  Current-State Baseline</w:t>
      </w:r>
    </w:p>
    <w:p>
      <w:pPr>
        <w:spacing w:after="160" w:line="276"/>
        <w:jc w:val="both"/>
      </w:pPr>
      <w:r>
        <w:t xml:space="preserve">Table 2.1  Benefit Calculation</w:t>
      </w:r>
    </w:p>
    <w:p>
      <w:pPr>
        <w:spacing w:after="160" w:line="276"/>
        <w:jc w:val="both"/>
      </w:pPr>
      <w:r>
        <w:t xml:space="preserve">Table 3.1  General Requirements</w:t>
      </w:r>
    </w:p>
    <w:p>
      <w:pPr>
        <w:spacing w:after="160" w:line="276"/>
        <w:jc w:val="both"/>
      </w:pPr>
      <w:r>
        <w:t xml:space="preserve">Table 5.1  Document Signoff Matrix</w:t>
      </w:r>
    </w:p>
    <w:p>
      <w:r>
        <w:br w:type="page"/>
      </w:r>
    </w:p>
    <w:p>
      <w:pPr>
        <w:pStyle w:val="Heading1"/>
        <w:spacing w:after="200" w:before="360"/>
      </w:pPr>
      <w:r>
        <w:rPr>
          <w:b/>
          <w:bCs/>
          <w:color w:val="1F3864"/>
        </w:rPr>
        <w:t xml:space="preserve">CHAPTER I</w:t>
      </w:r>
    </w:p>
    <w:p>
      <w:pPr>
        <w:pStyle w:val="Heading1"/>
        <w:spacing w:after="200" w:before="360"/>
      </w:pPr>
      <w:r>
        <w:rPr>
          <w:b/>
          <w:bCs/>
          <w:color w:val="1F3864"/>
        </w:rPr>
        <w:t xml:space="preserve">INTRODUCTION</w:t>
      </w:r>
    </w:p>
    <w:p>
      <w:pPr>
        <w:pStyle w:val="Heading2"/>
        <w:spacing w:after="140" w:before="280"/>
      </w:pPr>
      <w:r>
        <w:rPr>
          <w:b/>
          <w:bCs/>
          <w:color w:val="1F3864"/>
        </w:rPr>
        <w:t xml:space="preserve">1.1 Overview</w:t>
      </w:r>
    </w:p>
    <w:p>
      <w:pPr>
        <w:pStyle w:val="Heading3"/>
        <w:spacing w:after="120" w:before="220"/>
      </w:pPr>
      <w:r>
        <w:rPr>
          <w:b/>
          <w:bCs/>
          <w:color w:val="1F3864"/>
        </w:rPr>
        <w:t xml:space="preserve">1.1.1 Background</w:t>
      </w:r>
    </w:p>
    <w:p>
      <w:pPr>
        <w:spacing w:after="160" w:line="276"/>
        <w:jc w:val="both"/>
      </w:pPr>
      <w:r>
        <w:t xml:space="preserve">In a recent incident, 19 transactions totaling $912 were processed on the same card within a 47-minute window — roughly 20 times the customer's typical single-transaction amount of $45. The activity went undetected for 3 days until the customer contacted the business directly to complain. This incident prompted leadership to ask why no automatic fraud-flagging capability catches this kind of anomaly before the customer does, and is the direct trigger for this initiative.</w:t>
      </w:r>
    </w:p>
    <w:p>
      <w:pPr>
        <w:pStyle w:val="Heading3"/>
        <w:spacing w:after="120" w:before="220"/>
      </w:pPr>
      <w:r>
        <w:rPr>
          <w:b/>
          <w:bCs/>
          <w:color w:val="1F3864"/>
        </w:rPr>
        <w:t xml:space="preserve">1.1.2 Business and Market Analysis</w:t>
      </w:r>
    </w:p>
    <w:p>
      <w:pPr>
        <w:spacing w:after="160" w:line="276"/>
        <w:jc w:val="both"/>
      </w:pPr>
      <w:r>
        <w:t xml:space="preserve">Industry data on real-time transaction-monitoring programs indicates that card issuers using anomaly-based detection — which evaluates each transaction against a customer's own spending pattern — typically identify unusual activity within minutes, compared with programs that rely on static rules alone or on customer-reported incidents, which can take days, as in the case described in 1.1.1. This gap between current practice and the standard achievable with anomaly-based detection is the concrete basis for this initiative.</w:t>
      </w:r>
    </w:p>
    <w:p>
      <w:pPr>
        <w:pStyle w:val="Heading3"/>
        <w:spacing w:after="120" w:before="220"/>
      </w:pPr>
      <w:r>
        <w:rPr>
          <w:b/>
          <w:bCs/>
          <w:color w:val="1F3864"/>
        </w:rPr>
        <w:t xml:space="preserve">1.1.3 Relevant Historical Data</w:t>
      </w:r>
    </w:p>
    <w:p>
      <w:pPr>
        <w:spacing w:after="160" w:line="276"/>
        <w:jc w:val="both"/>
      </w:pPr>
      <w:r>
        <w:t xml:space="preserve">The table below summarizes the current-state baseline referenced throughout this document.</w:t>
      </w:r>
    </w:p>
    <w:p>
      <w:pPr>
        <w:spacing w:after="120" w:before="120"/>
      </w:pPr>
      <w:r>
        <w:rPr>
          <w:b/>
          <w:bCs/>
          <w:i/>
          <w:iCs/>
          <w:sz w:val="20"/>
          <w:szCs w:val="20"/>
        </w:rPr>
        <w:t xml:space="preserve">Table 1.1  Current-State Baseline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D9E2F3" w:color="auto" w:val="clear"/>
            <w:tcMar>
              <w:top w:type="dxa" w:w="100"/>
              <w:left w:type="dxa" w:w="120"/>
              <w:bottom w:type="dxa" w:w="100"/>
              <w:right w:type="dxa" w:w="120"/>
            </w:tcMar>
          </w:tcPr>
          <w:p>
            <w:pPr>
              <w:jc w:val="left"/>
            </w:pPr>
            <w:r>
              <w:rPr>
                <w:b/>
                <w:bCs/>
                <w:sz w:val="20"/>
                <w:szCs w:val="20"/>
              </w:rPr>
              <w:t xml:space="preserve">Metric (current-state baseline)</w:t>
            </w:r>
          </w:p>
        </w:tc>
        <w:tc>
          <w:tcPr>
            <w:tcW w:type="dxa" w:w="4900"/>
            <w:shd w:fill="D9E2F3" w:color="auto" w:val="clear"/>
            <w:tcMar>
              <w:top w:type="dxa" w:w="100"/>
              <w:left w:type="dxa" w:w="120"/>
              <w:bottom w:type="dxa" w:w="100"/>
              <w:right w:type="dxa" w:w="120"/>
            </w:tcMar>
          </w:tcPr>
          <w:p>
            <w:pPr>
              <w:jc w:val="center"/>
            </w:pPr>
            <w:r>
              <w:rPr>
                <w:b/>
                <w:bCs/>
                <w:sz w:val="20"/>
                <w:szCs w:val="20"/>
              </w:rPr>
              <w:t xml:space="preserve">Value</w:t>
            </w:r>
          </w:p>
        </w:tc>
      </w:tr>
      <w:tr>
        <w:tc>
          <w:tcPr>
            <w:tcW w:type="dxa" w:w="4900"/>
            <w:tcMar>
              <w:top w:type="dxa" w:w="100"/>
              <w:left w:type="dxa" w:w="120"/>
              <w:bottom w:type="dxa" w:w="100"/>
              <w:right w:type="dxa" w:w="120"/>
            </w:tcMar>
          </w:tcPr>
          <w:p>
            <w:pPr>
              <w:jc w:val="left"/>
            </w:pPr>
            <w:r>
              <w:rPr>
                <w:b w:val="false"/>
                <w:bCs w:val="false"/>
                <w:sz w:val="20"/>
                <w:szCs w:val="20"/>
              </w:rPr>
              <w:t xml:space="preserve">Customer's typical single-transaction amount (incident account)</w:t>
            </w:r>
          </w:p>
        </w:tc>
        <w:tc>
          <w:tcPr>
            <w:tcW w:type="dxa" w:w="4900"/>
            <w:tcMar>
              <w:top w:type="dxa" w:w="100"/>
              <w:left w:type="dxa" w:w="120"/>
              <w:bottom w:type="dxa" w:w="100"/>
              <w:right w:type="dxa" w:w="120"/>
            </w:tcMar>
          </w:tcPr>
          <w:p>
            <w:pPr>
              <w:jc w:val="center"/>
            </w:pPr>
            <w:r>
              <w:rPr>
                <w:b w:val="false"/>
                <w:bCs w:val="false"/>
                <w:sz w:val="20"/>
                <w:szCs w:val="20"/>
              </w:rPr>
              <w:t xml:space="preserve">~$45</w:t>
            </w:r>
          </w:p>
        </w:tc>
      </w:tr>
      <w:tr>
        <w:tc>
          <w:tcPr>
            <w:tcW w:type="dxa" w:w="4900"/>
            <w:tcMar>
              <w:top w:type="dxa" w:w="100"/>
              <w:left w:type="dxa" w:w="120"/>
              <w:bottom w:type="dxa" w:w="100"/>
              <w:right w:type="dxa" w:w="120"/>
            </w:tcMar>
          </w:tcPr>
          <w:p>
            <w:pPr>
              <w:jc w:val="left"/>
            </w:pPr>
            <w:r>
              <w:rPr>
                <w:b w:val="false"/>
                <w:bCs w:val="false"/>
                <w:sz w:val="20"/>
                <w:szCs w:val="20"/>
              </w:rPr>
              <w:t xml:space="preserve">Anomalous transactions in the incident (47-minute window)</w:t>
            </w:r>
          </w:p>
        </w:tc>
        <w:tc>
          <w:tcPr>
            <w:tcW w:type="dxa" w:w="4900"/>
            <w:tcMar>
              <w:top w:type="dxa" w:w="100"/>
              <w:left w:type="dxa" w:w="120"/>
              <w:bottom w:type="dxa" w:w="100"/>
              <w:right w:type="dxa" w:w="120"/>
            </w:tcMar>
          </w:tcPr>
          <w:p>
            <w:pPr>
              <w:jc w:val="center"/>
            </w:pPr>
            <w:r>
              <w:rPr>
                <w:b w:val="false"/>
                <w:bCs w:val="false"/>
                <w:sz w:val="20"/>
                <w:szCs w:val="20"/>
              </w:rPr>
              <w:t xml:space="preserve">19 transactions totaling $912 (~20x typical)</w:t>
            </w:r>
          </w:p>
        </w:tc>
      </w:tr>
      <w:tr>
        <w:tc>
          <w:tcPr>
            <w:tcW w:type="dxa" w:w="4900"/>
            <w:tcMar>
              <w:top w:type="dxa" w:w="100"/>
              <w:left w:type="dxa" w:w="120"/>
              <w:bottom w:type="dxa" w:w="100"/>
              <w:right w:type="dxa" w:w="120"/>
            </w:tcMar>
          </w:tcPr>
          <w:p>
            <w:pPr>
              <w:jc w:val="left"/>
            </w:pPr>
            <w:r>
              <w:rPr>
                <w:b w:val="false"/>
                <w:bCs w:val="false"/>
                <w:sz w:val="20"/>
                <w:szCs w:val="20"/>
              </w:rPr>
              <w:t xml:space="preserve">Time-to-detection for the incident (customer complaint only)</w:t>
            </w:r>
          </w:p>
        </w:tc>
        <w:tc>
          <w:tcPr>
            <w:tcW w:type="dxa" w:w="4900"/>
            <w:tcMar>
              <w:top w:type="dxa" w:w="100"/>
              <w:left w:type="dxa" w:w="120"/>
              <w:bottom w:type="dxa" w:w="100"/>
              <w:right w:type="dxa" w:w="120"/>
            </w:tcMar>
          </w:tcPr>
          <w:p>
            <w:pPr>
              <w:jc w:val="center"/>
            </w:pPr>
            <w:r>
              <w:rPr>
                <w:b w:val="false"/>
                <w:bCs w:val="false"/>
                <w:sz w:val="20"/>
                <w:szCs w:val="20"/>
              </w:rPr>
              <w:t xml:space="preserve">3 days</w:t>
            </w:r>
          </w:p>
        </w:tc>
      </w:tr>
      <w:tr>
        <w:tc>
          <w:tcPr>
            <w:tcW w:type="dxa" w:w="4900"/>
            <w:tcMar>
              <w:top w:type="dxa" w:w="100"/>
              <w:left w:type="dxa" w:w="120"/>
              <w:bottom w:type="dxa" w:w="100"/>
              <w:right w:type="dxa" w:w="120"/>
            </w:tcMar>
          </w:tcPr>
          <w:p>
            <w:pPr>
              <w:jc w:val="left"/>
            </w:pPr>
            <w:r>
              <w:rPr>
                <w:b w:val="false"/>
                <w:bCs w:val="false"/>
                <w:sz w:val="20"/>
                <w:szCs w:val="20"/>
              </w:rPr>
              <w:t xml:space="preserve">Current daily fraud alerts (existing rule-based system)</w:t>
            </w:r>
          </w:p>
        </w:tc>
        <w:tc>
          <w:tcPr>
            <w:tcW w:type="dxa" w:w="4900"/>
            <w:tcMar>
              <w:top w:type="dxa" w:w="100"/>
              <w:left w:type="dxa" w:w="120"/>
              <w:bottom w:type="dxa" w:w="100"/>
              <w:right w:type="dxa" w:w="120"/>
            </w:tcMar>
          </w:tcPr>
          <w:p>
            <w:pPr>
              <w:jc w:val="center"/>
            </w:pPr>
            <w:r>
              <w:rPr>
                <w:b w:val="false"/>
                <w:bCs w:val="false"/>
                <w:sz w:val="20"/>
                <w:szCs w:val="20"/>
              </w:rPr>
              <w:t xml:space="preserve">200/day</w:t>
            </w:r>
          </w:p>
        </w:tc>
      </w:tr>
      <w:tr>
        <w:tc>
          <w:tcPr>
            <w:tcW w:type="dxa" w:w="4900"/>
            <w:tcMar>
              <w:top w:type="dxa" w:w="100"/>
              <w:left w:type="dxa" w:w="120"/>
              <w:bottom w:type="dxa" w:w="100"/>
              <w:right w:type="dxa" w:w="120"/>
            </w:tcMar>
          </w:tcPr>
          <w:p>
            <w:pPr>
              <w:jc w:val="left"/>
            </w:pPr>
            <w:r>
              <w:rPr>
                <w:b w:val="false"/>
                <w:bCs w:val="false"/>
                <w:sz w:val="20"/>
                <w:szCs w:val="20"/>
              </w:rPr>
              <w:t xml:space="preserve">Estimated false-positive rate</w:t>
            </w:r>
          </w:p>
        </w:tc>
        <w:tc>
          <w:tcPr>
            <w:tcW w:type="dxa" w:w="4900"/>
            <w:tcMar>
              <w:top w:type="dxa" w:w="100"/>
              <w:left w:type="dxa" w:w="120"/>
              <w:bottom w:type="dxa" w:w="100"/>
              <w:right w:type="dxa" w:w="120"/>
            </w:tcMar>
          </w:tcPr>
          <w:p>
            <w:pPr>
              <w:jc w:val="center"/>
            </w:pPr>
            <w:r>
              <w:rPr>
                <w:b w:val="false"/>
                <w:bCs w:val="false"/>
                <w:sz w:val="20"/>
                <w:szCs w:val="20"/>
              </w:rPr>
              <w:t xml:space="preserve">50% (100/day)</w:t>
            </w:r>
          </w:p>
        </w:tc>
      </w:tr>
      <w:tr>
        <w:tc>
          <w:tcPr>
            <w:tcW w:type="dxa" w:w="4900"/>
            <w:tcMar>
              <w:top w:type="dxa" w:w="100"/>
              <w:left w:type="dxa" w:w="120"/>
              <w:bottom w:type="dxa" w:w="100"/>
              <w:right w:type="dxa" w:w="120"/>
            </w:tcMar>
          </w:tcPr>
          <w:p>
            <w:pPr>
              <w:jc w:val="left"/>
            </w:pPr>
            <w:r>
              <w:rPr>
                <w:b w:val="false"/>
                <w:bCs w:val="false"/>
                <w:sz w:val="20"/>
                <w:szCs w:val="20"/>
              </w:rPr>
              <w:t xml:space="preserve">Average alert review time</w:t>
            </w:r>
          </w:p>
        </w:tc>
        <w:tc>
          <w:tcPr>
            <w:tcW w:type="dxa" w:w="4900"/>
            <w:tcMar>
              <w:top w:type="dxa" w:w="100"/>
              <w:left w:type="dxa" w:w="120"/>
              <w:bottom w:type="dxa" w:w="100"/>
              <w:right w:type="dxa" w:w="120"/>
            </w:tcMar>
          </w:tcPr>
          <w:p>
            <w:pPr>
              <w:jc w:val="center"/>
            </w:pPr>
            <w:r>
              <w:rPr>
                <w:b w:val="false"/>
                <w:bCs w:val="false"/>
                <w:sz w:val="20"/>
                <w:szCs w:val="20"/>
              </w:rPr>
              <w:t xml:space="preserve">6 minutes</w:t>
            </w:r>
          </w:p>
        </w:tc>
      </w:tr>
      <w:tr>
        <w:tc>
          <w:tcPr>
            <w:tcW w:type="dxa" w:w="4900"/>
            <w:tcMar>
              <w:top w:type="dxa" w:w="100"/>
              <w:left w:type="dxa" w:w="120"/>
              <w:bottom w:type="dxa" w:w="100"/>
              <w:right w:type="dxa" w:w="120"/>
            </w:tcMar>
          </w:tcPr>
          <w:p>
            <w:pPr>
              <w:jc w:val="left"/>
            </w:pPr>
            <w:r>
              <w:rPr>
                <w:b w:val="false"/>
                <w:bCs w:val="false"/>
                <w:sz w:val="20"/>
                <w:szCs w:val="20"/>
              </w:rPr>
              <w:t xml:space="preserve">Fully loaded fraud-analyst cost</w:t>
            </w:r>
          </w:p>
        </w:tc>
        <w:tc>
          <w:tcPr>
            <w:tcW w:type="dxa" w:w="4900"/>
            <w:tcMar>
              <w:top w:type="dxa" w:w="100"/>
              <w:left w:type="dxa" w:w="120"/>
              <w:bottom w:type="dxa" w:w="100"/>
              <w:right w:type="dxa" w:w="120"/>
            </w:tcMar>
          </w:tcPr>
          <w:p>
            <w:pPr>
              <w:jc w:val="center"/>
            </w:pPr>
            <w:r>
              <w:rPr>
                <w:b w:val="false"/>
                <w:bCs w:val="false"/>
                <w:sz w:val="20"/>
                <w:szCs w:val="20"/>
              </w:rPr>
              <w:t xml:space="preserve">$28/hour</w:t>
            </w:r>
          </w:p>
        </w:tc>
      </w:tr>
      <w:tr>
        <w:tc>
          <w:tcPr>
            <w:tcW w:type="dxa" w:w="4900"/>
            <w:tcMar>
              <w:top w:type="dxa" w:w="100"/>
              <w:left w:type="dxa" w:w="120"/>
              <w:bottom w:type="dxa" w:w="100"/>
              <w:right w:type="dxa" w:w="120"/>
            </w:tcMar>
          </w:tcPr>
          <w:p>
            <w:pPr>
              <w:jc w:val="left"/>
            </w:pPr>
            <w:r>
              <w:rPr>
                <w:b w:val="false"/>
                <w:bCs w:val="false"/>
                <w:sz w:val="20"/>
                <w:szCs w:val="20"/>
              </w:rPr>
              <w:t xml:space="preserve">Confirmed fraud losses (Q2 2026 monthly average)</w:t>
            </w:r>
          </w:p>
        </w:tc>
        <w:tc>
          <w:tcPr>
            <w:tcW w:type="dxa" w:w="4900"/>
            <w:tcMar>
              <w:top w:type="dxa" w:w="100"/>
              <w:left w:type="dxa" w:w="120"/>
              <w:bottom w:type="dxa" w:w="100"/>
              <w:right w:type="dxa" w:w="120"/>
            </w:tcMar>
          </w:tcPr>
          <w:p>
            <w:pPr>
              <w:jc w:val="center"/>
            </w:pPr>
            <w:r>
              <w:rPr>
                <w:b w:val="false"/>
                <w:bCs w:val="false"/>
                <w:sz w:val="20"/>
                <w:szCs w:val="20"/>
              </w:rPr>
              <w:t xml:space="preserve">$38,000/month (~$456,000/year)</w:t>
            </w:r>
          </w:p>
        </w:tc>
      </w:tr>
      <w:tr>
        <w:tc>
          <w:tcPr>
            <w:tcW w:type="dxa" w:w="4900"/>
            <w:tcMar>
              <w:top w:type="dxa" w:w="100"/>
              <w:left w:type="dxa" w:w="120"/>
              <w:bottom w:type="dxa" w:w="100"/>
              <w:right w:type="dxa" w:w="120"/>
            </w:tcMar>
          </w:tcPr>
          <w:p>
            <w:pPr>
              <w:jc w:val="left"/>
            </w:pPr>
            <w:r>
              <w:rPr>
                <w:b w:val="false"/>
                <w:bCs w:val="false"/>
                <w:sz w:val="20"/>
                <w:szCs w:val="20"/>
              </w:rPr>
              <w:t xml:space="preserve">Share of losses from anomalies not caught in real time by existing rules</w:t>
            </w:r>
          </w:p>
        </w:tc>
        <w:tc>
          <w:tcPr>
            <w:tcW w:type="dxa" w:w="4900"/>
            <w:tcMar>
              <w:top w:type="dxa" w:w="100"/>
              <w:left w:type="dxa" w:w="120"/>
              <w:bottom w:type="dxa" w:w="100"/>
              <w:right w:type="dxa" w:w="120"/>
            </w:tcMar>
          </w:tcPr>
          <w:p>
            <w:pPr>
              <w:jc w:val="center"/>
            </w:pPr>
            <w:r>
              <w:rPr>
                <w:b w:val="false"/>
                <w:bCs w:val="false"/>
                <w:sz w:val="20"/>
                <w:szCs w:val="20"/>
              </w:rPr>
              <w:t xml:space="preserve">65% (~$24,700/month)</w:t>
            </w:r>
          </w:p>
        </w:tc>
      </w:tr>
    </w:tbl>
    <w:p>
      <w:pPr>
        <w:spacing w:after="160"/>
      </w:pPr>
    </w:p>
    <w:p>
      <w:pPr>
        <w:spacing w:after="160" w:line="276"/>
        <w:jc w:val="both"/>
      </w:pPr>
      <w:r>
        <w:t xml:space="preserve">The existing rule-based alerting system generates 200 alerts per day, of which approximately half are ultimately false positives, each still requiring an average of 6 minutes of a fraud analyst's time to review and dismiss. Separately, a review of Q2 2026 confirmed fraud losses found that approximately 65% originated from anomalies — patterns like the one in 1.1.1 — that the existing rules did not catch before the transaction completed.</w:t>
      </w:r>
    </w:p>
    <w:p>
      <w:pPr>
        <w:pStyle w:val="Heading2"/>
        <w:spacing w:after="140" w:before="280"/>
      </w:pPr>
      <w:r>
        <w:rPr>
          <w:b/>
          <w:bCs/>
          <w:color w:val="1F3864"/>
        </w:rPr>
        <w:t xml:space="preserve">1.2 Business Objective</w:t>
      </w:r>
    </w:p>
    <w:p>
      <w:pPr>
        <w:spacing w:after="160" w:line="276"/>
        <w:jc w:val="both"/>
      </w:pPr>
      <w:r>
        <w:t xml:space="preserve">Detect anomalous transactions — such as the 20x overcharge described in 1.1.1 — in real time, so that fraud is caught before the customer needs to complain, rather than after. Reduce the burden on the Fraud/Risk team, who currently triage 200 alerts per day with roughly half turning out to be false positives, by sorting alerts according to how serious they actually are. Give management visibility into how many alerts are false positives and what that costs, and what fraud losses are being avoided. Section 2.2 projects this could deliver approximately $248,360 in combined annual benefit.</w:t>
      </w:r>
    </w:p>
    <w:p>
      <w:pPr>
        <w:pStyle w:val="Heading2"/>
        <w:spacing w:after="140" w:before="280"/>
      </w:pPr>
      <w:r>
        <w:rPr>
          <w:b/>
          <w:bCs/>
          <w:color w:val="1F3864"/>
        </w:rPr>
        <w:t xml:space="preserve">1.3 Purpose of this Business Requirement</w:t>
      </w:r>
    </w:p>
    <w:p>
      <w:r>
        <w:rPr>
          <w:b w:val="0"/>
          <w:i w:val="0"/>
          <w:sz w:val="22"/>
        </w:rPr>
        <w:t xml:space="preserve">☒ </w:t>
      </w:r>
      <w:r>
        <w:rPr>
          <w:b w:val="0"/>
          <w:i w:val="0"/>
          <w:sz w:val="20"/>
        </w:rPr>
        <w:t>Business requirements to enhance existing Services/Application/Process</w:t>
      </w:r>
    </w:p>
    <w:p>
      <w:r>
        <w:rPr>
          <w:b w:val="0"/>
          <w:i w:val="0"/>
          <w:sz w:val="22"/>
        </w:rPr>
        <w:t xml:space="preserve">☐ </w:t>
      </w:r>
      <w:r>
        <w:rPr>
          <w:b w:val="0"/>
          <w:i w:val="0"/>
          <w:sz w:val="20"/>
        </w:rPr>
        <w:t>Business requirements to terminate existing Services/Application/Process</w:t>
      </w:r>
    </w:p>
    <w:p>
      <w:r>
        <w:rPr>
          <w:b w:val="0"/>
          <w:i w:val="0"/>
          <w:sz w:val="22"/>
        </w:rPr>
        <w:t xml:space="preserve">☐ </w:t>
      </w:r>
      <w:r>
        <w:rPr>
          <w:b w:val="0"/>
          <w:i w:val="0"/>
          <w:sz w:val="20"/>
        </w:rPr>
        <w:t>Business requirements for new Services/Application/Process</w:t>
      </w:r>
    </w:p>
    <w:p>
      <w:r>
        <w:rPr>
          <w:b w:val="0"/>
          <w:i w:val="0"/>
          <w:sz w:val="22"/>
        </w:rPr>
        <w:t xml:space="preserve">☐ </w:t>
      </w:r>
      <w:r>
        <w:rPr>
          <w:b w:val="0"/>
          <w:i w:val="0"/>
          <w:sz w:val="20"/>
        </w:rPr>
        <w:t>Business requirements to replace existing Services/Application/Process</w:t>
      </w:r>
    </w:p>
    <w:p>
      <w:r>
        <w:rPr>
          <w:b w:val="0"/>
          <w:i w:val="0"/>
          <w:sz w:val="22"/>
        </w:rPr>
        <w:t xml:space="preserve">☐ </w:t>
      </w:r>
      <w:r>
        <w:rPr>
          <w:b w:val="0"/>
          <w:i w:val="0"/>
          <w:sz w:val="20"/>
        </w:rPr>
        <w:t>Others, please specify</w:t>
      </w:r>
    </w:p>
    <w:p>
      <w:r>
        <w:rPr>
          <w:b/>
          <w:i w:val="0"/>
          <w:sz w:val="20"/>
        </w:rPr>
        <w:t>Description</w:t>
      </w:r>
    </w:p>
    <w:tbl>
      <w:tblPr>
        <w:tblW w:type="auto" w:w="0"/>
        <w:tblLayout w:type="fixed"/>
        <w:tblLook w:firstColumn="1" w:firstRow="1" w:lastColumn="0" w:lastRow="0" w:noHBand="0" w:noVBand="1" w:val="04A0"/>
      </w:tblPr>
      <w:tblGrid>
        <w:gridCol w:w="9026"/>
      </w:tblGrid>
      <w:tr>
        <w:tc>
          <w:tcPr>
            <w:tcW w:type="dxa" w:w="8928"/>
            <w:tcBorders>
              <w:top w:val="single" w:sz="4" w:space="0" w:color="000000"/>
              <w:left w:val="single" w:sz="4" w:space="0" w:color="000000"/>
              <w:bottom w:val="single" w:sz="4" w:space="0" w:color="000000"/>
              <w:right w:val="single" w:sz="4" w:space="0" w:color="000000"/>
            </w:tcBorders>
          </w:tcPr>
          <w:p>
            <w:r>
              <w:rPr>
                <w:b w:val="0"/>
                <w:i w:val="0"/>
                <w:sz w:val="20"/>
              </w:rPr>
              <w:t>This BRD formally defines the business, functional, and process requirements for real-time transaction-anomaly detection, severity-based alert triage, an automated temporary transaction-hold-and-confirm capability, and false-positive outcome tracking and reporting. It is intended to guide the Fraud/Risk team, IT/Systems, and Customer Service in scoping, building, and launching these capabilities together.</w:t>
            </w:r>
          </w:p>
        </w:tc>
      </w:tr>
    </w:tbl>
    <w:p>
      <w:pPr>
        <w:pStyle w:val="Heading2"/>
        <w:spacing w:after="140" w:before="280"/>
      </w:pPr>
      <w:r>
        <w:rPr>
          <w:b/>
          <w:bCs/>
          <w:color w:val="1F3864"/>
        </w:rPr>
        <w:t xml:space="preserve">1.4 Program Type</w:t>
      </w:r>
    </w:p>
    <w:tbl>
      <w:tblPr>
        <w:tblW w:type="auto" w:w="0"/>
        <w:tblLayout w:type="fixed"/>
        <w:tblLook w:firstColumn="1" w:firstRow="1" w:lastColumn="0" w:lastRow="0" w:noHBand="0" w:noVBand="1" w:val="04A0"/>
      </w:tblPr>
      <w:tblGrid>
        <w:gridCol w:w="4464"/>
        <w:gridCol w:w="4464"/>
      </w:tblGrid>
      <w:tr>
        <w:tc>
          <w:tcPr>
            <w:tcW w:type="dxa" w:w="8928"/>
            <w:gridSpan w:val="2"/>
            <w:tcBorders>
              <w:top w:val="single" w:sz="4" w:space="0" w:color="000000"/>
              <w:left w:val="single" w:sz="4" w:space="0" w:color="000000"/>
              <w:bottom w:val="single" w:sz="4" w:space="0" w:color="000000"/>
              <w:right w:val="single" w:sz="4" w:space="0" w:color="000000"/>
            </w:tcBorders>
            <w:shd w:val="clear" w:color="auto" w:fill="BDD3EE"/>
          </w:tcPr>
          <w:p>
            <w:r>
              <w:rPr>
                <w:b/>
                <w:i w:val="0"/>
                <w:sz w:val="22"/>
              </w:rPr>
              <w:t>If it's an IT-led program:</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Automation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support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Audit compliance</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Infrastructure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Business engagement model</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License renewal</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Capacity expansion</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Integration / modernization</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Cloud</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compliance</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Digital ways of working</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Security enhancement</w:t>
            </w:r>
          </w:p>
        </w:tc>
      </w:tr>
      <w:tr>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End of life replacement</w:t>
            </w:r>
          </w:p>
        </w:tc>
        <w:tc>
          <w:tcPr>
            <w:tcW w:type="dxa" w:w="4464"/>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Others, please specify:</w:t>
            </w:r>
          </w:p>
        </w:tc>
      </w:tr>
    </w:tbl>
    <w:p>
      <w:pPr>
        <w:pStyle w:val="Heading2"/>
        <w:spacing w:after="140" w:before="280"/>
      </w:pPr>
      <w:r>
        <w:rPr>
          <w:b/>
          <w:bCs/>
          <w:color w:val="1F3864"/>
        </w:rPr>
        <w:t xml:space="preserve">1.5 Business Risk</w:t>
      </w:r>
    </w:p>
    <w:p>
      <w:pPr>
        <w:spacing w:after="160" w:line="276"/>
        <w:jc w:val="both"/>
      </w:pPr>
      <w:r>
        <w:t xml:space="preserve">Risks of proceeding with this initiative:</w:t>
      </w:r>
    </w:p>
    <w:p>
      <w:pPr>
        <w:pStyle w:val="ListParagraph"/>
        <w:numPr>
          <w:ilvl w:val="0"/>
          <w:numId w:val="2"/>
        </w:numPr>
        <w:spacing w:after="100" w:line="276"/>
      </w:pPr>
      <w:r>
        <w:t xml:space="preserve">False-positive-hold risk: if the High-severity hold threshold (BR-03) is calibrated too broadly, legitimate customers could have a legitimate transaction held pending confirmation; the 30-minute auto-escalation window in BR-04 limits how long any single customer is affected before a fraud analyst intervenes.</w:t>
      </w:r>
    </w:p>
    <w:p>
      <w:pPr>
        <w:pStyle w:val="ListParagraph"/>
        <w:numPr>
          <w:ilvl w:val="0"/>
          <w:numId w:val="2"/>
        </w:numPr>
        <w:spacing w:after="100" w:line="276"/>
      </w:pPr>
      <w:r>
        <w:t xml:space="preserve">Severity-model miscalibration risk: if the severity-scoring criteria (BR-02) are not well calibrated, a genuinely serious case comparable to the incident in 1.1.1 could still be deprioritized behind lower-severity alerts.</w:t>
      </w:r>
    </w:p>
    <w:p>
      <w:pPr>
        <w:pStyle w:val="ListParagraph"/>
        <w:numPr>
          <w:ilvl w:val="0"/>
          <w:numId w:val="2"/>
        </w:numPr>
        <w:spacing w:after="100" w:line="276"/>
      </w:pPr>
      <w:r>
        <w:t xml:space="preserve">Vendor/API dependency risk: the automated hold (BR-03) depends on the payment processor's authorization-hold API; a change to that API or its terms of use could require rework of BR-03/BR-04.</w:t>
      </w:r>
    </w:p>
    <w:p>
      <w:pPr>
        <w:spacing w:after="160" w:line="276"/>
        <w:jc w:val="both"/>
      </w:pPr>
      <w:r>
        <w:t xml:space="preserve">Risks of not proceeding:</w:t>
      </w:r>
    </w:p>
    <w:p>
      <w:pPr>
        <w:pStyle w:val="ListParagraph"/>
        <w:numPr>
          <w:ilvl w:val="0"/>
          <w:numId w:val="2"/>
        </w:numPr>
        <w:spacing w:after="100" w:line="276"/>
      </w:pPr>
      <w:r>
        <w:t xml:space="preserve">Continued risk of a repeat incident comparable to the one in 1.1.1, in which an unusually large or anomalous charge is not caught until the customer complains.</w:t>
      </w:r>
    </w:p>
    <w:p>
      <w:pPr>
        <w:pStyle w:val="ListParagraph"/>
        <w:numPr>
          <w:ilvl w:val="0"/>
          <w:numId w:val="2"/>
        </w:numPr>
        <w:spacing w:after="100" w:line="276"/>
      </w:pPr>
      <w:r>
        <w:t xml:space="preserve">Continued fraud-team time spent on false positives — approximately $102,200 per year at current volume — with no severity-based prioritization to focus attention where it matters most.</w:t>
      </w:r>
    </w:p>
    <w:p>
      <w:pPr>
        <w:pStyle w:val="ListParagraph"/>
        <w:numPr>
          <w:ilvl w:val="0"/>
          <w:numId w:val="2"/>
        </w:numPr>
        <w:spacing w:after="100" w:line="276"/>
      </w:pPr>
      <w:r>
        <w:t xml:space="preserve">Continued fraud losses of approximately $296,400 per year from anomalies the existing rule-based alerts do not catch in real time, foregoing the approximately $207,480 in annual avoided losses modeled in Section 2.2.</w:t>
      </w:r>
    </w:p>
    <w:p>
      <w:r>
        <w:br w:type="page"/>
      </w:r>
    </w:p>
    <w:p>
      <w:pPr>
        <w:pStyle w:val="Heading1"/>
        <w:spacing w:after="200" w:before="360"/>
      </w:pPr>
      <w:r>
        <w:rPr>
          <w:b/>
          <w:bCs/>
          <w:color w:val="1F3864"/>
        </w:rPr>
        <w:t xml:space="preserve">CHAPTER II</w:t>
      </w:r>
    </w:p>
    <w:p>
      <w:pPr>
        <w:pStyle w:val="Heading1"/>
        <w:spacing w:after="200" w:before="360"/>
      </w:pPr>
      <w:r>
        <w:rPr>
          <w:b/>
          <w:bCs/>
          <w:color w:val="1F3864"/>
        </w:rPr>
        <w:t xml:space="preserve">BENEFIT ANALYSIS</w:t>
      </w:r>
    </w:p>
    <w:p>
      <w:pPr>
        <w:pStyle w:val="Heading2"/>
        <w:spacing w:after="140" w:before="280"/>
      </w:pPr>
      <w:r>
        <w:rPr>
          <w:b/>
          <w:bCs/>
          <w:color w:val="1F3864"/>
        </w:rPr>
        <w:t xml:space="preserve">2.1 Summary</w:t>
      </w:r>
    </w:p>
    <w:p>
      <w:pPr>
        <w:spacing w:after="160" w:line="276"/>
        <w:jc w:val="both"/>
      </w:pPr>
      <w:r>
        <w:t xml:space="preserve">Severity-based alert triage is projected to reduce the fraud team's time spent reviewing false positives by 40%, saving approximately $40,880 per year. Real-time anomaly detection combined with the automated hold-and-confirm workflow is projected to catch 70% of the fraud cases that currently go undetected until after completion — the cases responsible for approximately $296,400 per year in losses — avoiding approximately $207,480 per year. Combined, this initiative is projected to deliver approximately $248,360 in annual benefit.</w:t>
      </w:r>
    </w:p>
    <w:p>
      <w:pPr>
        <w:pStyle w:val="Heading2"/>
        <w:spacing w:after="140" w:before="280"/>
      </w:pPr>
      <w:r>
        <w:rPr>
          <w:b/>
          <w:bCs/>
          <w:color w:val="1F3864"/>
        </w:rPr>
        <w:t xml:space="preserve">2.2 Assumption and Calculation</w:t>
      </w:r>
    </w:p>
    <w:p>
      <w:pPr>
        <w:spacing w:after="160" w:line="276"/>
        <w:jc w:val="both"/>
      </w:pPr>
      <w:r>
        <w:t xml:space="preserve">The table below shows the calculation.</w:t>
      </w:r>
    </w:p>
    <w:p>
      <w:pPr>
        <w:spacing w:after="120" w:before="120"/>
      </w:pPr>
      <w:r>
        <w:rPr>
          <w:b/>
          <w:bCs/>
          <w:i/>
          <w:iCs/>
          <w:sz w:val="20"/>
          <w:szCs w:val="20"/>
        </w:rPr>
        <w:t xml:space="preserve">Table 2.1  Benefit Calculation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D9E2F3" w:color="auto" w:val="clear"/>
            <w:tcMar>
              <w:top w:type="dxa" w:w="100"/>
              <w:left w:type="dxa" w:w="120"/>
              <w:bottom w:type="dxa" w:w="100"/>
              <w:right w:type="dxa" w:w="120"/>
            </w:tcMar>
          </w:tcPr>
          <w:p>
            <w:pPr>
              <w:jc w:val="left"/>
            </w:pPr>
            <w:r>
              <w:rPr>
                <w:b/>
                <w:bCs/>
                <w:sz w:val="20"/>
                <w:szCs w:val="20"/>
              </w:rPr>
              <w:t xml:space="preserve">Metric</w:t>
            </w:r>
          </w:p>
        </w:tc>
        <w:tc>
          <w:tcPr>
            <w:tcW w:type="dxa" w:w="4900"/>
            <w:shd w:fill="D9E2F3" w:color="auto" w:val="clear"/>
            <w:tcMar>
              <w:top w:type="dxa" w:w="100"/>
              <w:left w:type="dxa" w:w="120"/>
              <w:bottom w:type="dxa" w:w="100"/>
              <w:right w:type="dxa" w:w="120"/>
            </w:tcMar>
          </w:tcPr>
          <w:p>
            <w:pPr>
              <w:jc w:val="center"/>
            </w:pPr>
            <w:r>
              <w:rPr>
                <w:b/>
                <w:bCs/>
                <w:sz w:val="20"/>
                <w:szCs w:val="20"/>
              </w:rPr>
              <w:t xml:space="preserve">Value</w:t>
            </w:r>
          </w:p>
        </w:tc>
      </w:tr>
      <w:tr>
        <w:tc>
          <w:tcPr>
            <w:tcW w:type="dxa" w:w="4900"/>
            <w:tcMar>
              <w:top w:type="dxa" w:w="100"/>
              <w:left w:type="dxa" w:w="120"/>
              <w:bottom w:type="dxa" w:w="100"/>
              <w:right w:type="dxa" w:w="120"/>
            </w:tcMar>
          </w:tcPr>
          <w:p>
            <w:pPr>
              <w:jc w:val="left"/>
            </w:pPr>
            <w:r>
              <w:rPr>
                <w:b w:val="false"/>
                <w:bCs w:val="false"/>
                <w:sz w:val="20"/>
                <w:szCs w:val="20"/>
              </w:rPr>
              <w:t xml:space="preserve">Baseline daily cost reviewing false positives (100 × 6 min × $28/hr)</w:t>
            </w:r>
          </w:p>
        </w:tc>
        <w:tc>
          <w:tcPr>
            <w:tcW w:type="dxa" w:w="4900"/>
            <w:tcMar>
              <w:top w:type="dxa" w:w="100"/>
              <w:left w:type="dxa" w:w="120"/>
              <w:bottom w:type="dxa" w:w="100"/>
              <w:right w:type="dxa" w:w="120"/>
            </w:tcMar>
          </w:tcPr>
          <w:p>
            <w:pPr>
              <w:jc w:val="center"/>
            </w:pPr>
            <w:r>
              <w:rPr>
                <w:b w:val="false"/>
                <w:bCs w:val="false"/>
                <w:sz w:val="20"/>
                <w:szCs w:val="20"/>
              </w:rPr>
              <w:t xml:space="preserve">$280/day (~$102,200/year)</w:t>
            </w:r>
          </w:p>
        </w:tc>
      </w:tr>
      <w:tr>
        <w:tc>
          <w:tcPr>
            <w:tcW w:type="dxa" w:w="4900"/>
            <w:tcMar>
              <w:top w:type="dxa" w:w="100"/>
              <w:left w:type="dxa" w:w="120"/>
              <w:bottom w:type="dxa" w:w="100"/>
              <w:right w:type="dxa" w:w="120"/>
            </w:tcMar>
          </w:tcPr>
          <w:p>
            <w:pPr>
              <w:jc w:val="left"/>
            </w:pPr>
            <w:r>
              <w:rPr>
                <w:b w:val="false"/>
                <w:bCs w:val="false"/>
                <w:sz w:val="20"/>
                <w:szCs w:val="20"/>
              </w:rPr>
              <w:t xml:space="preserve">Target reduction in false-positive review time (severity triage, BR-02)</w:t>
            </w:r>
          </w:p>
        </w:tc>
        <w:tc>
          <w:tcPr>
            <w:tcW w:type="dxa" w:w="4900"/>
            <w:tcMar>
              <w:top w:type="dxa" w:w="100"/>
              <w:left w:type="dxa" w:w="120"/>
              <w:bottom w:type="dxa" w:w="100"/>
              <w:right w:type="dxa" w:w="120"/>
            </w:tcMar>
          </w:tcPr>
          <w:p>
            <w:pPr>
              <w:jc w:val="center"/>
            </w:pPr>
            <w:r>
              <w:rPr>
                <w:b w:val="false"/>
                <w:bCs w:val="false"/>
                <w:sz w:val="20"/>
                <w:szCs w:val="20"/>
              </w:rPr>
              <w:t xml:space="preserve">40%</w:t>
            </w:r>
          </w:p>
        </w:tc>
      </w:tr>
      <w:tr>
        <w:tc>
          <w:tcPr>
            <w:tcW w:type="dxa" w:w="4900"/>
            <w:tcMar>
              <w:top w:type="dxa" w:w="100"/>
              <w:left w:type="dxa" w:w="120"/>
              <w:bottom w:type="dxa" w:w="100"/>
              <w:right w:type="dxa" w:w="120"/>
            </w:tcMar>
          </w:tcPr>
          <w:p>
            <w:pPr>
              <w:jc w:val="left"/>
            </w:pPr>
            <w:r>
              <w:rPr>
                <w:b w:val="false"/>
                <w:bCs w:val="false"/>
                <w:sz w:val="20"/>
                <w:szCs w:val="20"/>
              </w:rPr>
              <w:t xml:space="preserve">Annual analyst-efficiency savings</w:t>
            </w:r>
          </w:p>
        </w:tc>
        <w:tc>
          <w:tcPr>
            <w:tcW w:type="dxa" w:w="4900"/>
            <w:tcMar>
              <w:top w:type="dxa" w:w="100"/>
              <w:left w:type="dxa" w:w="120"/>
              <w:bottom w:type="dxa" w:w="100"/>
              <w:right w:type="dxa" w:w="120"/>
            </w:tcMar>
          </w:tcPr>
          <w:p>
            <w:pPr>
              <w:jc w:val="center"/>
            </w:pPr>
            <w:r>
              <w:rPr>
                <w:b w:val="false"/>
                <w:bCs w:val="false"/>
                <w:sz w:val="20"/>
                <w:szCs w:val="20"/>
              </w:rPr>
              <w:t xml:space="preserve">~$40,880</w:t>
            </w:r>
          </w:p>
        </w:tc>
      </w:tr>
      <w:tr>
        <w:tc>
          <w:tcPr>
            <w:tcW w:type="dxa" w:w="4900"/>
            <w:tcMar>
              <w:top w:type="dxa" w:w="100"/>
              <w:left w:type="dxa" w:w="120"/>
              <w:bottom w:type="dxa" w:w="100"/>
              <w:right w:type="dxa" w:w="120"/>
            </w:tcMar>
          </w:tcPr>
          <w:p>
            <w:pPr>
              <w:jc w:val="left"/>
            </w:pPr>
            <w:r>
              <w:rPr>
                <w:b w:val="false"/>
                <w:bCs w:val="false"/>
                <w:sz w:val="20"/>
                <w:szCs w:val="20"/>
              </w:rPr>
              <w:t xml:space="preserve">Baseline annual fraud losses from real-time-missed anomalies (65% of $456,000)</w:t>
            </w:r>
          </w:p>
        </w:tc>
        <w:tc>
          <w:tcPr>
            <w:tcW w:type="dxa" w:w="4900"/>
            <w:tcMar>
              <w:top w:type="dxa" w:w="100"/>
              <w:left w:type="dxa" w:w="120"/>
              <w:bottom w:type="dxa" w:w="100"/>
              <w:right w:type="dxa" w:w="120"/>
            </w:tcMar>
          </w:tcPr>
          <w:p>
            <w:pPr>
              <w:jc w:val="center"/>
            </w:pPr>
            <w:r>
              <w:rPr>
                <w:b w:val="false"/>
                <w:bCs w:val="false"/>
                <w:sz w:val="20"/>
                <w:szCs w:val="20"/>
              </w:rPr>
              <w:t xml:space="preserve">~$296,400</w:t>
            </w:r>
          </w:p>
        </w:tc>
      </w:tr>
      <w:tr>
        <w:tc>
          <w:tcPr>
            <w:tcW w:type="dxa" w:w="4900"/>
            <w:tcMar>
              <w:top w:type="dxa" w:w="100"/>
              <w:left w:type="dxa" w:w="120"/>
              <w:bottom w:type="dxa" w:w="100"/>
              <w:right w:type="dxa" w:w="120"/>
            </w:tcMar>
          </w:tcPr>
          <w:p>
            <w:pPr>
              <w:jc w:val="left"/>
            </w:pPr>
            <w:r>
              <w:rPr>
                <w:b w:val="false"/>
                <w:bCs w:val="false"/>
                <w:sz w:val="20"/>
                <w:szCs w:val="20"/>
              </w:rPr>
              <w:t xml:space="preserve">Target share of these cases caught before completion (real-time detection + hold)</w:t>
            </w:r>
          </w:p>
        </w:tc>
        <w:tc>
          <w:tcPr>
            <w:tcW w:type="dxa" w:w="4900"/>
            <w:tcMar>
              <w:top w:type="dxa" w:w="100"/>
              <w:left w:type="dxa" w:w="120"/>
              <w:bottom w:type="dxa" w:w="100"/>
              <w:right w:type="dxa" w:w="120"/>
            </w:tcMar>
          </w:tcPr>
          <w:p>
            <w:pPr>
              <w:jc w:val="center"/>
            </w:pPr>
            <w:r>
              <w:rPr>
                <w:b w:val="false"/>
                <w:bCs w:val="false"/>
                <w:sz w:val="20"/>
                <w:szCs w:val="20"/>
              </w:rPr>
              <w:t xml:space="preserve">70%</w:t>
            </w:r>
          </w:p>
        </w:tc>
      </w:tr>
      <w:tr>
        <w:tc>
          <w:tcPr>
            <w:tcW w:type="dxa" w:w="4900"/>
            <w:tcMar>
              <w:top w:type="dxa" w:w="100"/>
              <w:left w:type="dxa" w:w="120"/>
              <w:bottom w:type="dxa" w:w="100"/>
              <w:right w:type="dxa" w:w="120"/>
            </w:tcMar>
          </w:tcPr>
          <w:p>
            <w:pPr>
              <w:jc w:val="left"/>
            </w:pPr>
            <w:r>
              <w:rPr>
                <w:b w:val="false"/>
                <w:bCs w:val="false"/>
                <w:sz w:val="20"/>
                <w:szCs w:val="20"/>
              </w:rPr>
              <w:t xml:space="preserve">Annual avoided fraud losses</w:t>
            </w:r>
          </w:p>
        </w:tc>
        <w:tc>
          <w:tcPr>
            <w:tcW w:type="dxa" w:w="4900"/>
            <w:tcMar>
              <w:top w:type="dxa" w:w="100"/>
              <w:left w:type="dxa" w:w="120"/>
              <w:bottom w:type="dxa" w:w="100"/>
              <w:right w:type="dxa" w:w="120"/>
            </w:tcMar>
          </w:tcPr>
          <w:p>
            <w:pPr>
              <w:jc w:val="center"/>
            </w:pPr>
            <w:r>
              <w:rPr>
                <w:b w:val="false"/>
                <w:bCs w:val="false"/>
                <w:sz w:val="20"/>
                <w:szCs w:val="20"/>
              </w:rPr>
              <w:t xml:space="preserve">~$207,480</w:t>
            </w:r>
          </w:p>
        </w:tc>
      </w:tr>
      <w:tr>
        <w:tc>
          <w:tcPr>
            <w:tcW w:type="dxa" w:w="4900"/>
            <w:tcMar>
              <w:top w:type="dxa" w:w="100"/>
              <w:left w:type="dxa" w:w="120"/>
              <w:bottom w:type="dxa" w:w="100"/>
              <w:right w:type="dxa" w:w="120"/>
            </w:tcMar>
          </w:tcPr>
          <w:p>
            <w:pPr>
              <w:jc w:val="left"/>
            </w:pPr>
            <w:r>
              <w:rPr>
                <w:b w:val="false"/>
                <w:bCs w:val="false"/>
                <w:sz w:val="20"/>
                <w:szCs w:val="20"/>
              </w:rPr>
              <w:t xml:space="preserve">Combined total annual benefit</w:t>
            </w:r>
          </w:p>
        </w:tc>
        <w:tc>
          <w:tcPr>
            <w:tcW w:type="dxa" w:w="4900"/>
            <w:tcMar>
              <w:top w:type="dxa" w:w="100"/>
              <w:left w:type="dxa" w:w="120"/>
              <w:bottom w:type="dxa" w:w="100"/>
              <w:right w:type="dxa" w:w="120"/>
            </w:tcMar>
          </w:tcPr>
          <w:p>
            <w:pPr>
              <w:jc w:val="center"/>
            </w:pPr>
            <w:r>
              <w:rPr>
                <w:b w:val="false"/>
                <w:bCs w:val="false"/>
                <w:sz w:val="20"/>
                <w:szCs w:val="20"/>
              </w:rPr>
              <w:t xml:space="preserve">~$248,360</w:t>
            </w:r>
          </w:p>
        </w:tc>
      </w:tr>
    </w:tbl>
    <w:p>
      <w:pPr>
        <w:spacing w:after="160"/>
      </w:pPr>
    </w:p>
    <w:p>
      <w:pPr>
        <w:spacing w:after="160" w:line="276"/>
        <w:jc w:val="both"/>
      </w:pPr>
      <w:r>
        <w:t xml:space="preserve">Assumptions used in this calculation:</w:t>
      </w:r>
    </w:p>
    <w:p>
      <w:pPr>
        <w:pStyle w:val="ListParagraph"/>
        <w:numPr>
          <w:ilvl w:val="0"/>
          <w:numId w:val="2"/>
        </w:numPr>
        <w:spacing w:after="100" w:line="276"/>
      </w:pPr>
      <w:r>
        <w:t xml:space="preserve">The 40% reduction in false-positive review time assumes severity scoring (BR-02) allows low-scoring alerts to be dismissed quickly rather than fully investigated, without materially increasing the risk of missing a genuine case.</w:t>
      </w:r>
    </w:p>
    <w:p>
      <w:pPr>
        <w:pStyle w:val="ListParagraph"/>
        <w:numPr>
          <w:ilvl w:val="0"/>
          <w:numId w:val="2"/>
        </w:numPr>
        <w:spacing w:after="100" w:line="276"/>
      </w:pPr>
      <w:r>
        <w:t xml:space="preserve">The 70% figure for anomalies caught before completion assumes the 8x/60-minute detection threshold (BR-01) and the High-severity hold (BR-03) together intervene before most, but not all, high-risk transactions complete; the remaining 30% is assumed to reflect cases below the detection threshold or where the customer confirms a hold as legitimate when it was not.</w:t>
      </w:r>
    </w:p>
    <w:p>
      <w:pPr>
        <w:pStyle w:val="ListParagraph"/>
        <w:numPr>
          <w:ilvl w:val="0"/>
          <w:numId w:val="2"/>
        </w:numPr>
        <w:spacing w:after="100" w:line="276"/>
      </w:pPr>
      <w:r>
        <w:t xml:space="preserve">Both the $38,000/month fraud-loss figure and the 200/day alert volume are assumed to remain representative of typical volume going forward; actual results will be tracked via the reports defined in Section 3.5.</w:t>
      </w:r>
    </w:p>
    <w:p>
      <w:r>
        <w:br w:type="page"/>
      </w:r>
    </w:p>
    <w:p>
      <w:pPr>
        <w:pStyle w:val="Heading1"/>
        <w:spacing w:after="200" w:before="360"/>
      </w:pPr>
      <w:r>
        <w:rPr>
          <w:b/>
          <w:bCs/>
          <w:color w:val="1F3864"/>
        </w:rPr>
        <w:t xml:space="preserve">CHAPTER III</w:t>
      </w:r>
    </w:p>
    <w:p>
      <w:pPr>
        <w:pStyle w:val="Heading1"/>
        <w:spacing w:after="200" w:before="360"/>
      </w:pPr>
      <w:r>
        <w:rPr>
          <w:b/>
          <w:bCs/>
          <w:color w:val="1F3864"/>
        </w:rPr>
        <w:t xml:space="preserve">SERVICE DESCRIPTION</w:t>
      </w:r>
    </w:p>
    <w:p>
      <w:pPr>
        <w:pStyle w:val="Heading2"/>
        <w:spacing w:after="140" w:before="280"/>
      </w:pPr>
      <w:r>
        <w:rPr>
          <w:b/>
          <w:bCs/>
          <w:color w:val="1F3864"/>
        </w:rPr>
        <w:t xml:space="preserve">3.1 General Requirement</w:t>
      </w:r>
    </w:p>
    <w:p>
      <w:pPr>
        <w:spacing w:after="160" w:line="276"/>
        <w:jc w:val="both"/>
      </w:pPr>
      <w:r>
        <w:t xml:space="preserve">The system shall detect anomalous transactions in real time relative to a customer's own transaction history, place an automatic temporary hold on high-severity cases pending customer confirmation, present all alerts to the fraud team sorted by severity, and record the outcome of every alert to support false-positive reporting.</w:t>
      </w:r>
    </w:p>
    <w:p>
      <w:pPr>
        <w:spacing w:after="120" w:before="120"/>
      </w:pPr>
      <w:r>
        <w:rPr>
          <w:b/>
          <w:bCs/>
          <w:i/>
          <w:iCs/>
          <w:sz w:val="20"/>
          <w:szCs w:val="20"/>
        </w:rPr>
        <w:t xml:space="preserve">Table 3.1  General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100"/>
        <w:gridCol w:w="7200"/>
        <w:gridCol w:w="1500"/>
      </w:tblGrid>
      <w:tr>
        <w:trPr>
          <w:tblHeader/>
        </w:trPr>
        <w:tc>
          <w:tcPr>
            <w:tcW w:type="dxa" w:w="1100"/>
            <w:shd w:fill="D9E2F3" w:color="auto" w:val="clear"/>
            <w:tcMar>
              <w:top w:type="dxa" w:w="100"/>
              <w:left w:type="dxa" w:w="120"/>
              <w:bottom w:type="dxa" w:w="100"/>
              <w:right w:type="dxa" w:w="120"/>
            </w:tcMar>
          </w:tcPr>
          <w:p>
            <w:pPr>
              <w:jc w:val="center"/>
            </w:pPr>
            <w:r>
              <w:rPr>
                <w:b/>
                <w:bCs/>
                <w:sz w:val="20"/>
                <w:szCs w:val="20"/>
              </w:rPr>
              <w:t xml:space="preserve">Req ID</w:t>
            </w:r>
          </w:p>
        </w:tc>
        <w:tc>
          <w:tcPr>
            <w:tcW w:type="dxa" w:w="7200"/>
            <w:shd w:fill="D9E2F3" w:color="auto" w:val="clear"/>
            <w:tcMar>
              <w:top w:type="dxa" w:w="100"/>
              <w:left w:type="dxa" w:w="120"/>
              <w:bottom w:type="dxa" w:w="100"/>
              <w:right w:type="dxa" w:w="120"/>
            </w:tcMar>
          </w:tcPr>
          <w:p>
            <w:pPr>
              <w:jc w:val="left"/>
            </w:pPr>
            <w:r>
              <w:rPr>
                <w:b/>
                <w:bCs/>
                <w:sz w:val="20"/>
                <w:szCs w:val="20"/>
              </w:rPr>
              <w:t xml:space="preserve">Requirement Description</w:t>
            </w:r>
          </w:p>
        </w:tc>
        <w:tc>
          <w:tcPr>
            <w:tcW w:type="dxa" w:w="1500"/>
            <w:shd w:fill="D9E2F3" w:color="auto" w:val="clear"/>
            <w:tcMar>
              <w:top w:type="dxa" w:w="100"/>
              <w:left w:type="dxa" w:w="120"/>
              <w:bottom w:type="dxa" w:w="100"/>
              <w:right w:type="dxa" w:w="120"/>
            </w:tcMar>
          </w:tcPr>
          <w:p>
            <w:pPr>
              <w:jc w:val="center"/>
            </w:pPr>
            <w:r>
              <w:rPr>
                <w:b/>
                <w:bCs/>
                <w:sz w:val="20"/>
                <w:szCs w:val="20"/>
              </w:rPr>
              <w:t xml:space="preserve">Priority</w:t>
            </w:r>
          </w:p>
        </w:tc>
      </w:tr>
      <w:tr>
        <w:tc>
          <w:tcPr>
            <w:tcW w:type="dxa" w:w="1100"/>
            <w:tcMar>
              <w:top w:type="dxa" w:w="100"/>
              <w:left w:type="dxa" w:w="120"/>
              <w:bottom w:type="dxa" w:w="100"/>
              <w:right w:type="dxa" w:w="120"/>
            </w:tcMar>
          </w:tcPr>
          <w:p>
            <w:pPr>
              <w:jc w:val="center"/>
            </w:pPr>
            <w:r>
              <w:rPr>
                <w:b/>
                <w:bCs/>
                <w:sz w:val="20"/>
                <w:szCs w:val="20"/>
              </w:rPr>
              <w:t xml:space="preserve">BR-01</w:t>
            </w:r>
          </w:p>
        </w:tc>
        <w:tc>
          <w:tcPr>
            <w:tcW w:type="dxa" w:w="7200"/>
            <w:tcMar>
              <w:top w:type="dxa" w:w="100"/>
              <w:left w:type="dxa" w:w="120"/>
              <w:bottom w:type="dxa" w:w="100"/>
              <w:right w:type="dxa" w:w="120"/>
            </w:tcMar>
          </w:tcPr>
          <w:p>
            <w:pPr>
              <w:jc w:val="left"/>
            </w:pPr>
            <w:r>
              <w:rPr>
                <w:b w:val="false"/>
                <w:bCs w:val="false"/>
                <w:sz w:val="20"/>
                <w:szCs w:val="20"/>
              </w:rPr>
              <w:t xml:space="preserve">The system shall flag a transaction, or a cumulative set of transactions within a rolling 60-minute window, when the amount exceeds 8 times the customer's trailing 90-day average transaction amount.</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BR-02</w:t>
            </w:r>
          </w:p>
        </w:tc>
        <w:tc>
          <w:tcPr>
            <w:tcW w:type="dxa" w:w="7200"/>
            <w:tcMar>
              <w:top w:type="dxa" w:w="100"/>
              <w:left w:type="dxa" w:w="120"/>
              <w:bottom w:type="dxa" w:w="100"/>
              <w:right w:type="dxa" w:w="120"/>
            </w:tcMar>
          </w:tcPr>
          <w:p>
            <w:pPr>
              <w:jc w:val="left"/>
            </w:pPr>
            <w:r>
              <w:rPr>
                <w:b w:val="false"/>
                <w:bCs w:val="false"/>
                <w:sz w:val="20"/>
                <w:szCs w:val="20"/>
              </w:rPr>
              <w:t xml:space="preserve">The system shall assign each flagged transaction a severity score from 1–100 based on deviation magnitude, transaction velocity, and merchant-category risk, and shall sort the fraud team's queue by score, highest first: 80–100 = High, 40–79 = Medium, below 40 = Low.</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BR-03</w:t>
            </w:r>
          </w:p>
        </w:tc>
        <w:tc>
          <w:tcPr>
            <w:tcW w:type="dxa" w:w="7200"/>
            <w:tcMar>
              <w:top w:type="dxa" w:w="100"/>
              <w:left w:type="dxa" w:w="120"/>
              <w:bottom w:type="dxa" w:w="100"/>
              <w:right w:type="dxa" w:w="120"/>
            </w:tcMar>
          </w:tcPr>
          <w:p>
            <w:pPr>
              <w:jc w:val="left"/>
            </w:pPr>
            <w:r>
              <w:rPr>
                <w:b w:val="false"/>
                <w:bCs w:val="false"/>
                <w:sz w:val="20"/>
                <w:szCs w:val="20"/>
              </w:rPr>
              <w:t xml:space="preserve">The system shall automatically place a temporary authorization hold on the card for any transaction scoring 80 or above (High severity), using the existing payment processor's authorization-hold API.</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BR-04</w:t>
            </w:r>
          </w:p>
        </w:tc>
        <w:tc>
          <w:tcPr>
            <w:tcW w:type="dxa" w:w="7200"/>
            <w:tcMar>
              <w:top w:type="dxa" w:w="100"/>
              <w:left w:type="dxa" w:w="120"/>
              <w:bottom w:type="dxa" w:w="100"/>
              <w:right w:type="dxa" w:w="120"/>
            </w:tcMar>
          </w:tcPr>
          <w:p>
            <w:pPr>
              <w:jc w:val="left"/>
            </w:pPr>
            <w:r>
              <w:rPr>
                <w:b w:val="false"/>
                <w:bCs w:val="false"/>
                <w:sz w:val="20"/>
                <w:szCs w:val="20"/>
              </w:rPr>
              <w:t xml:space="preserve">Where a hold is placed under BR-03, the system shall send the customer an SMS confirmation request immediately, escalate to an automated call if there is no response within 10 minutes, release the hold automatically upon customer confirmation, and escalate to a fraud analyst if the customer disputes the transaction or does not respond within 30 minutes.</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BR-05</w:t>
            </w:r>
          </w:p>
        </w:tc>
        <w:tc>
          <w:tcPr>
            <w:tcW w:type="dxa" w:w="7200"/>
            <w:tcMar>
              <w:top w:type="dxa" w:w="100"/>
              <w:left w:type="dxa" w:w="120"/>
              <w:bottom w:type="dxa" w:w="100"/>
              <w:right w:type="dxa" w:w="120"/>
            </w:tcMar>
          </w:tcPr>
          <w:p>
            <w:pPr>
              <w:jc w:val="left"/>
            </w:pPr>
            <w:r>
              <w:rPr>
                <w:b w:val="false"/>
                <w:bCs w:val="false"/>
                <w:sz w:val="20"/>
                <w:szCs w:val="20"/>
              </w:rPr>
              <w:t xml:space="preserve">The system shall record, for every alert, its final outcome — confirmed fraud, confirmed false positive, no customer response, or escalated — to support the false-positive-rate reporting defined in Section 3.5.</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r>
        <w:tc>
          <w:tcPr>
            <w:tcW w:type="dxa" w:w="1100"/>
            <w:tcMar>
              <w:top w:type="dxa" w:w="100"/>
              <w:left w:type="dxa" w:w="120"/>
              <w:bottom w:type="dxa" w:w="100"/>
              <w:right w:type="dxa" w:w="120"/>
            </w:tcMar>
          </w:tcPr>
          <w:p>
            <w:pPr>
              <w:jc w:val="center"/>
            </w:pPr>
            <w:r>
              <w:rPr>
                <w:b/>
                <w:bCs/>
                <w:sz w:val="20"/>
                <w:szCs w:val="20"/>
              </w:rPr>
              <w:t xml:space="preserve">BR-06</w:t>
            </w:r>
          </w:p>
        </w:tc>
        <w:tc>
          <w:tcPr>
            <w:tcW w:type="dxa" w:w="7200"/>
            <w:tcMar>
              <w:top w:type="dxa" w:w="100"/>
              <w:left w:type="dxa" w:w="120"/>
              <w:bottom w:type="dxa" w:w="100"/>
              <w:right w:type="dxa" w:w="120"/>
            </w:tcMar>
          </w:tcPr>
          <w:p>
            <w:pPr>
              <w:jc w:val="left"/>
            </w:pPr>
            <w:r>
              <w:rPr>
                <w:b w:val="false"/>
                <w:bCs w:val="false"/>
                <w:sz w:val="20"/>
                <w:szCs w:val="20"/>
              </w:rPr>
              <w:t xml:space="preserve">The system shall log every alert, its severity score, and its recorded outcome with a timestamp, to support audit and case review.</w:t>
            </w:r>
          </w:p>
        </w:tc>
        <w:tc>
          <w:tcPr>
            <w:tcW w:type="dxa" w:w="1500"/>
            <w:tcMar>
              <w:top w:type="dxa" w:w="100"/>
              <w:left w:type="dxa" w:w="120"/>
              <w:bottom w:type="dxa" w:w="100"/>
              <w:right w:type="dxa" w:w="120"/>
            </w:tcMar>
          </w:tcPr>
          <w:p>
            <w:pPr>
              <w:jc w:val="center"/>
            </w:pPr>
            <w:r>
              <w:rPr>
                <w:b w:val="false"/>
                <w:bCs w:val="false"/>
                <w:sz w:val="20"/>
                <w:szCs w:val="20"/>
              </w:rPr>
              <w:t xml:space="preserve">Must Have</w:t>
            </w:r>
          </w:p>
        </w:tc>
      </w:tr>
    </w:tbl>
    <w:p>
      <w:pPr>
        <w:spacing w:after="200"/>
      </w:pPr>
    </w:p>
    <w:p>
      <w:pPr>
        <w:pStyle w:val="Heading2"/>
        <w:spacing w:after="140" w:before="280"/>
      </w:pPr>
      <w:r>
        <w:rPr>
          <w:b/>
          <w:bCs/>
          <w:color w:val="1F3864"/>
        </w:rPr>
        <w:t xml:space="preserve">3.2 Product / Service Specification</w:t>
      </w:r>
    </w:p>
    <w:tbl>
      <w:tblPr>
        <w:tblW w:type="auto" w:w="0"/>
        <w:tblLayout w:type="fixed"/>
        <w:tblLook w:firstColumn="1" w:firstRow="1" w:lastColumn="0" w:lastRow="0" w:noHBand="0" w:noVBand="1" w:val="04A0"/>
      </w:tblPr>
      <w:tblGrid>
        <w:gridCol w:w="2160"/>
        <w:gridCol w:w="6840"/>
      </w:tblGrid>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Target Market Segmentation</w:t>
            </w:r>
          </w:p>
          <w:p>
            <w:r>
              <w:rPr>
                <w:b w:val="0"/>
                <w:i/>
                <w:sz w:val="16"/>
              </w:rPr>
              <w:t>(Market segmentation consisting of group of customer being targeted by changes in Product / Service requested in this Business Requirements)</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HVC</w:t>
            </w:r>
          </w:p>
          <w:p>
            <w:r>
              <w:rPr>
                <w:b w:val="0"/>
                <w:i w:val="0"/>
                <w:sz w:val="22"/>
              </w:rPr>
              <w:t xml:space="preserve">☐ </w:t>
            </w:r>
            <w:r>
              <w:rPr>
                <w:b w:val="0"/>
                <w:i w:val="0"/>
                <w:sz w:val="20"/>
              </w:rPr>
              <w:t>Non HVC</w:t>
            </w:r>
          </w:p>
          <w:p>
            <w:r>
              <w:rPr>
                <w:b w:val="0"/>
                <w:i w:val="0"/>
                <w:sz w:val="22"/>
              </w:rPr>
              <w:t xml:space="preserve">☐ </w:t>
            </w:r>
            <w:r>
              <w:rPr>
                <w:b w:val="0"/>
                <w:i w:val="0"/>
                <w:sz w:val="20"/>
              </w:rPr>
              <w:t>SME</w:t>
            </w:r>
          </w:p>
          <w:p>
            <w:r>
              <w:rPr>
                <w:b w:val="0"/>
                <w:i w:val="0"/>
                <w:sz w:val="22"/>
              </w:rPr>
              <w:t xml:space="preserve">☐ </w:t>
            </w:r>
            <w:r>
              <w:rPr>
                <w:b w:val="0"/>
                <w:i w:val="0"/>
                <w:sz w:val="20"/>
              </w:rPr>
              <w:t>Corporate</w:t>
            </w:r>
          </w:p>
          <w:p>
            <w:r>
              <w:rPr>
                <w:b w:val="0"/>
                <w:i w:val="0"/>
                <w:sz w:val="22"/>
              </w:rPr>
              <w:t xml:space="preserve">☐ </w:t>
            </w:r>
            <w:r>
              <w:rPr>
                <w:b w:val="0"/>
                <w:i w:val="0"/>
                <w:sz w:val="20"/>
              </w:rPr>
              <w:t>Governance</w:t>
            </w:r>
          </w:p>
          <w:p>
            <w:r>
              <w:rPr>
                <w:b w:val="0"/>
                <w:i w:val="0"/>
                <w:sz w:val="22"/>
              </w:rPr>
              <w:t xml:space="preserve">☒ </w:t>
            </w:r>
            <w:r>
              <w:rPr>
                <w:b w:val="0"/>
                <w:i w:val="0"/>
                <w:sz w:val="20"/>
              </w:rPr>
              <w:t>Targeted segment, please specify: All cardholders/accountholders of the institution; fraud detection applies uniformly across the customer base, not segmented by customer tier</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Subscriber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Telkomsel Customer</w:t>
            </w:r>
          </w:p>
          <w:p>
            <w:r>
              <w:rPr>
                <w:b w:val="0"/>
                <w:i w:val="0"/>
                <w:sz w:val="22"/>
              </w:rPr>
              <w:t xml:space="preserve">☐ </w:t>
            </w:r>
            <w:r>
              <w:rPr>
                <w:b w:val="0"/>
                <w:i w:val="0"/>
                <w:sz w:val="20"/>
              </w:rPr>
              <w:t>Telkomsel Employee</w:t>
            </w:r>
          </w:p>
          <w:p>
            <w:r>
              <w:rPr>
                <w:b w:val="0"/>
                <w:i w:val="0"/>
                <w:sz w:val="22"/>
              </w:rPr>
              <w:t xml:space="preserve">☒ </w:t>
            </w:r>
            <w:r>
              <w:rPr>
                <w:b w:val="0"/>
                <w:i w:val="0"/>
                <w:sz w:val="20"/>
              </w:rPr>
              <w:t>Others, please specify: All cardholders/accountholders whose transactions are processed through the existing payment infrastructure</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Brand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SimPATI</w:t>
            </w:r>
          </w:p>
          <w:p>
            <w:r>
              <w:rPr>
                <w:b w:val="0"/>
                <w:i w:val="0"/>
                <w:sz w:val="22"/>
              </w:rPr>
              <w:t xml:space="preserve">☐ </w:t>
            </w:r>
            <w:r>
              <w:rPr>
                <w:b w:val="0"/>
                <w:i w:val="0"/>
                <w:sz w:val="20"/>
              </w:rPr>
              <w:t>AS</w:t>
            </w:r>
          </w:p>
          <w:p>
            <w:r>
              <w:rPr>
                <w:b w:val="0"/>
                <w:i w:val="0"/>
                <w:sz w:val="22"/>
              </w:rPr>
              <w:t xml:space="preserve">☐ </w:t>
            </w:r>
            <w:r>
              <w:rPr>
                <w:b w:val="0"/>
                <w:i w:val="0"/>
                <w:sz w:val="20"/>
              </w:rPr>
              <w:t>Loop</w:t>
            </w:r>
          </w:p>
          <w:p>
            <w:r>
              <w:rPr>
                <w:b w:val="0"/>
                <w:i w:val="0"/>
                <w:sz w:val="22"/>
              </w:rPr>
              <w:t xml:space="preserve">☐ </w:t>
            </w:r>
            <w:r>
              <w:rPr>
                <w:b w:val="0"/>
                <w:i w:val="0"/>
                <w:sz w:val="20"/>
              </w:rPr>
              <w:t>HALO</w:t>
            </w:r>
          </w:p>
          <w:p>
            <w:r>
              <w:rPr>
                <w:b w:val="0"/>
                <w:i w:val="0"/>
                <w:sz w:val="22"/>
              </w:rPr>
              <w:t xml:space="preserve">☐ </w:t>
            </w:r>
            <w:r>
              <w:rPr>
                <w:b w:val="0"/>
                <w:i w:val="0"/>
                <w:sz w:val="20"/>
              </w:rPr>
              <w:t>ByU</w:t>
            </w:r>
          </w:p>
          <w:p>
            <w:r>
              <w:rPr>
                <w:b w:val="0"/>
                <w:i w:val="0"/>
                <w:sz w:val="22"/>
              </w:rPr>
              <w:t xml:space="preserve">☒ </w:t>
            </w:r>
            <w:r>
              <w:rPr>
                <w:b w:val="0"/>
                <w:i w:val="0"/>
                <w:sz w:val="20"/>
              </w:rPr>
              <w:t>Others, please specify: Not applicable — single institution, not a multi-brand product</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Channel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Self service channel</w:t>
            </w:r>
            <w:r>
              <w:rPr>
                <w:b w:val="0"/>
                <w:i w:val="0"/>
                <w:sz w:val="22"/>
              </w:rPr>
              <w:t xml:space="preserve">     ☐ </w:t>
            </w:r>
            <w:r>
              <w:rPr>
                <w:b w:val="0"/>
                <w:i w:val="0"/>
                <w:sz w:val="20"/>
              </w:rPr>
              <w:t>Assisted channel</w:t>
            </w:r>
          </w:p>
          <w:p/>
          <w:p>
            <w:r>
              <w:rPr>
                <w:b w:val="0"/>
                <w:i w:val="0"/>
                <w:sz w:val="22"/>
              </w:rPr>
              <w:t xml:space="preserve">☐ </w:t>
            </w:r>
            <w:r>
              <w:rPr>
                <w:b w:val="0"/>
                <w:i w:val="0"/>
                <w:sz w:val="20"/>
              </w:rPr>
              <w:t>UMB, please specify ADN</w:t>
            </w:r>
          </w:p>
          <w:p>
            <w:r>
              <w:rPr>
                <w:b w:val="0"/>
                <w:i w:val="0"/>
                <w:sz w:val="22"/>
              </w:rPr>
              <w:t xml:space="preserve">☒ </w:t>
            </w:r>
            <w:r>
              <w:rPr>
                <w:b w:val="0"/>
                <w:i w:val="0"/>
                <w:sz w:val="20"/>
              </w:rPr>
              <w:t>SMS, please specify: Automated hold-confirmation request sent to the cardholder</w:t>
            </w:r>
          </w:p>
          <w:p>
            <w:r>
              <w:rPr>
                <w:b w:val="0"/>
                <w:i w:val="0"/>
                <w:sz w:val="22"/>
              </w:rPr>
              <w:t xml:space="preserve">☐ </w:t>
            </w:r>
            <w:r>
              <w:rPr>
                <w:b w:val="0"/>
                <w:i w:val="0"/>
                <w:sz w:val="20"/>
              </w:rPr>
              <w:t>Web, please specify</w:t>
            </w:r>
          </w:p>
          <w:p>
            <w:r>
              <w:rPr>
                <w:b w:val="0"/>
                <w:i w:val="0"/>
                <w:sz w:val="22"/>
              </w:rPr>
              <w:t xml:space="preserve">☐ </w:t>
            </w:r>
            <w:r>
              <w:rPr>
                <w:b w:val="0"/>
                <w:i w:val="0"/>
                <w:sz w:val="20"/>
              </w:rPr>
              <w:t>Walk-in, please specify</w:t>
            </w:r>
          </w:p>
          <w:p>
            <w:r>
              <w:rPr>
                <w:b w:val="0"/>
                <w:i w:val="0"/>
                <w:sz w:val="22"/>
              </w:rPr>
              <w:t xml:space="preserve">☒ </w:t>
            </w:r>
            <w:r>
              <w:rPr>
                <w:b w:val="0"/>
                <w:i w:val="0"/>
                <w:sz w:val="20"/>
              </w:rPr>
              <w:t>Call-in, please specify: Automated fallback call if the SMS confirmation is not answered within 10 minutes</w:t>
            </w:r>
          </w:p>
          <w:p>
            <w:r>
              <w:rPr>
                <w:b w:val="0"/>
                <w:i w:val="0"/>
                <w:sz w:val="22"/>
              </w:rPr>
              <w:t xml:space="preserve">☐ </w:t>
            </w:r>
            <w:r>
              <w:rPr>
                <w:b w:val="0"/>
                <w:i w:val="0"/>
                <w:sz w:val="20"/>
              </w:rPr>
              <w:t>Mobile Apps, please specify</w:t>
            </w:r>
          </w:p>
          <w:p>
            <w:r>
              <w:rPr>
                <w:b w:val="0"/>
                <w:i w:val="0"/>
                <w:sz w:val="22"/>
              </w:rPr>
              <w:t xml:space="preserve">☐ </w:t>
            </w:r>
            <w:r>
              <w:rPr>
                <w:b w:val="0"/>
                <w:i w:val="0"/>
                <w:sz w:val="20"/>
              </w:rPr>
              <w:t>3rd Party Channel,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Partner Eligibility</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Authorized Dealer</w:t>
            </w:r>
          </w:p>
          <w:p>
            <w:r>
              <w:rPr>
                <w:b w:val="0"/>
                <w:i w:val="0"/>
                <w:sz w:val="22"/>
              </w:rPr>
              <w:t xml:space="preserve">☐ </w:t>
            </w:r>
            <w:r>
              <w:rPr>
                <w:b w:val="0"/>
                <w:i w:val="0"/>
                <w:sz w:val="20"/>
              </w:rPr>
              <w:t>Sales Force</w:t>
            </w:r>
          </w:p>
          <w:p>
            <w:r>
              <w:rPr>
                <w:b w:val="0"/>
                <w:i w:val="0"/>
                <w:sz w:val="22"/>
              </w:rPr>
              <w:t xml:space="preserve">☐ </w:t>
            </w:r>
            <w:r>
              <w:rPr>
                <w:b w:val="0"/>
                <w:i w:val="0"/>
                <w:sz w:val="20"/>
              </w:rPr>
              <w:t>Outlet &amp; Reseller</w:t>
            </w:r>
          </w:p>
          <w:p>
            <w:r>
              <w:rPr>
                <w:b w:val="0"/>
                <w:i w:val="0"/>
                <w:sz w:val="22"/>
              </w:rPr>
              <w:t xml:space="preserve">☐ </w:t>
            </w:r>
            <w:r>
              <w:rPr>
                <w:b w:val="0"/>
                <w:i w:val="0"/>
                <w:sz w:val="20"/>
              </w:rPr>
              <w:t>Modern Channel</w:t>
            </w:r>
          </w:p>
          <w:p>
            <w:r>
              <w:rPr>
                <w:b w:val="0"/>
                <w:i w:val="0"/>
                <w:sz w:val="22"/>
              </w:rPr>
              <w:t xml:space="preserve">☒ </w:t>
            </w:r>
            <w:r>
              <w:rPr>
                <w:b w:val="0"/>
                <w:i w:val="0"/>
                <w:sz w:val="20"/>
              </w:rPr>
              <w:t>Others, please specify: Payment processor / card network, for the automated authorization-hold integration (Section 3.3.4)</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Area Coverage</w:t>
            </w:r>
          </w:p>
        </w:tc>
        <w:tc>
          <w:tcPr>
            <w:tcW w:type="dxa" w:w="6840"/>
            <w:tcBorders>
              <w:top w:val="single" w:sz="4" w:space="0" w:color="000000"/>
              <w:left w:val="single" w:sz="4" w:space="0" w:color="000000"/>
              <w:bottom w:val="single" w:sz="4" w:space="0" w:color="000000"/>
              <w:right w:val="single" w:sz="4" w:space="0" w:color="000000"/>
            </w:tcBorders>
          </w:tcPr>
          <w:p>
            <w:r>
              <w:rPr>
                <w:b w:val="0"/>
                <w:i w:val="0"/>
                <w:sz w:val="22"/>
              </w:rPr>
              <w:t xml:space="preserve">☒ </w:t>
            </w:r>
            <w:r>
              <w:rPr>
                <w:b w:val="0"/>
                <w:i w:val="0"/>
                <w:sz w:val="20"/>
              </w:rPr>
              <w:t>National-wide</w:t>
            </w:r>
          </w:p>
          <w:p>
            <w:r>
              <w:rPr>
                <w:b w:val="0"/>
                <w:i w:val="0"/>
                <w:sz w:val="22"/>
              </w:rPr>
              <w:t xml:space="preserve">☐ </w:t>
            </w:r>
            <w:r>
              <w:rPr>
                <w:b w:val="0"/>
                <w:i w:val="0"/>
                <w:sz w:val="20"/>
              </w:rPr>
              <w:t>Selected Area, please specify:</w:t>
            </w:r>
          </w:p>
        </w:tc>
      </w:tr>
      <w:tr>
        <w:tc>
          <w:tcPr>
            <w:tcW w:type="dxa" w:w="2160"/>
            <w:tcBorders>
              <w:top w:val="single" w:sz="4" w:space="0" w:color="000000"/>
              <w:left w:val="single" w:sz="4" w:space="0" w:color="000000"/>
              <w:bottom w:val="single" w:sz="4" w:space="0" w:color="000000"/>
              <w:right w:val="single" w:sz="4" w:space="0" w:color="000000"/>
            </w:tcBorders>
            <w:shd w:val="clear" w:color="auto" w:fill="F2F2F2"/>
          </w:tcPr>
          <w:p>
            <w:r>
              <w:rPr>
                <w:b/>
                <w:i w:val="0"/>
                <w:sz w:val="20"/>
              </w:rPr>
              <w:t>Product / Service Terms and Conditions</w:t>
            </w:r>
          </w:p>
        </w:tc>
        <w:tc>
          <w:tcPr>
            <w:tcW w:type="dxa" w:w="6840"/>
            <w:tcBorders>
              <w:top w:val="single" w:sz="4" w:space="0" w:color="000000"/>
              <w:left w:val="single" w:sz="4" w:space="0" w:color="000000"/>
              <w:bottom w:val="single" w:sz="4" w:space="0" w:color="000000"/>
              <w:right w:val="single" w:sz="4" w:space="0" w:color="000000"/>
            </w:tcBorders>
          </w:tcPr>
          <w:p>
            <w:r>
              <w:rPr>
                <w:b/>
                <w:i w:val="0"/>
                <w:sz w:val="20"/>
              </w:rPr>
              <w:t xml:space="preserve">Customer restriction / limitation to purchase / register this product / service (if any): </w:t>
            </w:r>
            <w:r>
              <w:rPr>
                <w:b w:val="0"/>
                <w:i w:val="0"/>
                <w:sz w:val="20"/>
              </w:rPr>
              <w:t>None — the detection and alerting capability applies to all transactions and accountholders uniformly.</w:t>
            </w:r>
          </w:p>
          <w:p>
            <w:r>
              <w:rPr>
                <w:b/>
                <w:i w:val="0"/>
                <w:sz w:val="20"/>
              </w:rPr>
              <w:t xml:space="preserve">Eligible time period for customer to purchase / register this Product / Service (if any): </w:t>
            </w:r>
            <w:r>
              <w:rPr>
                <w:b w:val="0"/>
                <w:i w:val="0"/>
                <w:sz w:val="20"/>
              </w:rPr>
              <w:t>Not time-limited — operational on an ongoing basis from production launch (October 19, 2026) onward.</w:t>
            </w:r>
          </w:p>
          <w:p>
            <w:r>
              <w:rPr>
                <w:b/>
                <w:i w:val="0"/>
                <w:sz w:val="20"/>
              </w:rPr>
              <w:t xml:space="preserve">Product / Service compatibility and correlation with other Product / Service (if any): </w:t>
            </w:r>
            <w:r>
              <w:rPr>
                <w:b w:val="0"/>
                <w:i w:val="0"/>
                <w:sz w:val="20"/>
              </w:rPr>
              <w:t>Operates on transactions already processed through the existing payment and settlement infrastructure; does not change how transactions settle (see Section 3.7).</w:t>
            </w:r>
          </w:p>
        </w:tc>
      </w:tr>
    </w:tbl>
    <w:p>
      <w:pPr>
        <w:pStyle w:val="Heading2"/>
        <w:spacing w:after="140" w:before="280"/>
      </w:pPr>
      <w:r>
        <w:rPr>
          <w:b/>
          <w:bCs/>
          <w:color w:val="1F3864"/>
        </w:rPr>
        <w:t xml:space="preserve">3.3 Business Process</w:t>
      </w:r>
    </w:p>
    <w:p>
      <w:pPr>
        <w:pStyle w:val="Heading3"/>
        <w:spacing w:after="120" w:before="220"/>
      </w:pPr>
      <w:r>
        <w:rPr>
          <w:b/>
          <w:bCs/>
          <w:color w:val="1F3864"/>
        </w:rPr>
        <w:t xml:space="preserve">3.3.1 Business Process Impact</w:t>
      </w:r>
    </w:p>
    <w:p>
      <w:pPr>
        <w:pStyle w:val="ListParagraph"/>
        <w:numPr>
          <w:ilvl w:val="0"/>
          <w:numId w:val="2"/>
        </w:numPr>
        <w:spacing w:after="100" w:line="276"/>
      </w:pPr>
      <w:r>
        <w:t xml:space="preserve">Existing process: the fraud team reviews 200 alerts per day in an undifferentiated queue, with no systematic way to distinguish likely-serious alerts from likely false positives, and no automated mechanism to hold a card pending confirmation.</w:t>
      </w:r>
    </w:p>
    <w:p>
      <w:pPr>
        <w:pStyle w:val="ListParagraph"/>
        <w:numPr>
          <w:ilvl w:val="0"/>
          <w:numId w:val="2"/>
        </w:numPr>
        <w:spacing w:after="100" w:line="276"/>
      </w:pPr>
      <w:r>
        <w:t xml:space="preserve">Changed process: alerts are generated based on deviation from the customer's own transaction pattern, scored for severity, and presented to the fraud team highest-severity first; High-severity alerts trigger an automatic hold and customer outreach before the fraud team even reviews the case.</w:t>
      </w:r>
    </w:p>
    <w:p>
      <w:pPr>
        <w:pStyle w:val="Heading3"/>
        <w:spacing w:after="120" w:before="220"/>
      </w:pPr>
      <w:r>
        <w:rPr>
          <w:b/>
          <w:bCs/>
          <w:color w:val="1F3864"/>
        </w:rPr>
        <w:t xml:space="preserve">3.3.2 Description</w:t>
      </w:r>
    </w:p>
    <w:p>
      <w:pPr>
        <w:pStyle w:val="ListParagraph"/>
        <w:numPr>
          <w:ilvl w:val="0"/>
          <w:numId w:val="2"/>
        </w:numPr>
        <w:spacing w:after="100" w:line="276"/>
      </w:pPr>
      <w:r>
        <w:t xml:space="preserve">A transaction (or a cluster of transactions within 60 minutes) is evaluated against the customer's trailing 90-day average (BR-01).</w:t>
      </w:r>
    </w:p>
    <w:p>
      <w:pPr>
        <w:pStyle w:val="ListParagraph"/>
        <w:numPr>
          <w:ilvl w:val="0"/>
          <w:numId w:val="2"/>
        </w:numPr>
        <w:spacing w:after="100" w:line="276"/>
      </w:pPr>
      <w:r>
        <w:t xml:space="preserve">If it exceeds 8x that average, an alert is generated and scored for severity (BR-02).</w:t>
      </w:r>
    </w:p>
    <w:p>
      <w:pPr>
        <w:pStyle w:val="ListParagraph"/>
        <w:numPr>
          <w:ilvl w:val="0"/>
          <w:numId w:val="2"/>
        </w:numPr>
        <w:spacing w:after="100" w:line="276"/>
      </w:pPr>
      <w:r>
        <w:t xml:space="preserve">If the score is 80 or above, a temporary hold is placed and the customer is contacted by SMS, escalating to a call if needed (BR-03, BR-04).</w:t>
      </w:r>
    </w:p>
    <w:p>
      <w:pPr>
        <w:pStyle w:val="ListParagraph"/>
        <w:numPr>
          <w:ilvl w:val="0"/>
          <w:numId w:val="2"/>
        </w:numPr>
        <w:spacing w:after="100" w:line="276"/>
      </w:pPr>
      <w:r>
        <w:t xml:space="preserve">The fraud team reviews the alert, prioritized by severity in their queue.</w:t>
      </w:r>
    </w:p>
    <w:p>
      <w:pPr>
        <w:pStyle w:val="ListParagraph"/>
        <w:numPr>
          <w:ilvl w:val="0"/>
          <w:numId w:val="2"/>
        </w:numPr>
        <w:spacing w:after="100" w:line="276"/>
      </w:pPr>
      <w:r>
        <w:t xml:space="preserve">The final outcome — confirmed fraud, confirmed false positive, no response, or escalated — is recorded (BR-05) and logged with a timestamp (BR-06).</w:t>
      </w:r>
    </w:p>
    <w:p>
      <w:pPr>
        <w:pStyle w:val="Heading3"/>
        <w:spacing w:after="120" w:before="220"/>
      </w:pPr>
      <w:r>
        <w:rPr>
          <w:b/>
          <w:bCs/>
          <w:color w:val="1F3864"/>
        </w:rPr>
        <w:t xml:space="preserve">3.3.3 Security</w:t>
      </w:r>
    </w:p>
    <w:p>
      <w:pPr>
        <w:pStyle w:val="ListParagraph"/>
        <w:numPr>
          <w:ilvl w:val="0"/>
          <w:numId w:val="2"/>
        </w:numPr>
        <w:spacing w:after="100" w:line="276"/>
      </w:pPr>
      <w:r>
        <w:t xml:space="preserve">The fraud-detection capability operates within the business's existing PCI-DSS compliance scope for cardholder-data handling; it introduces new alerting and hold logic but does not change how card data itself is stored or transmitted.</w:t>
      </w:r>
    </w:p>
    <w:p>
      <w:pPr>
        <w:pStyle w:val="ListParagraph"/>
        <w:numPr>
          <w:ilvl w:val="0"/>
          <w:numId w:val="2"/>
        </w:numPr>
        <w:spacing w:after="100" w:line="276"/>
      </w:pPr>
      <w:r>
        <w:t xml:space="preserve">Access to alert details, severity-scoring configuration, and hold/override controls is restricted to authorized Fraud/Risk staff via role-based login.</w:t>
      </w:r>
    </w:p>
    <w:p>
      <w:pPr>
        <w:pStyle w:val="Heading3"/>
        <w:spacing w:after="120" w:before="220"/>
      </w:pPr>
      <w:r>
        <w:rPr>
          <w:b/>
          <w:bCs/>
          <w:color w:val="1F3864"/>
        </w:rPr>
        <w:t xml:space="preserve">3.3.4 Organization and Policy</w:t>
      </w:r>
    </w:p>
    <w:p>
      <w:pPr>
        <w:spacing w:after="160" w:line="276"/>
        <w:jc w:val="both"/>
      </w:pPr>
      <w:r>
        <w:t xml:space="preserve">The Fraud/Risk team owns the anomaly-detection threshold (BR-01), severity-scoring criteria (BR-02), and the hold-and-confirmation process (BR-03, BR-04). IT/Systems owns the integration between the transaction-processing system, the anomaly-detection engine, and the payment processor's authorization-hold API.</w:t>
      </w:r>
    </w:p>
    <w:p>
      <w:pPr>
        <w:pStyle w:val="Heading3"/>
        <w:spacing w:after="120" w:before="220"/>
      </w:pPr>
      <w:r>
        <w:rPr>
          <w:b/>
          <w:bCs/>
          <w:color w:val="1F3864"/>
        </w:rPr>
        <w:t xml:space="preserve">3.3.5 Service Delivery Plan</w:t>
      </w:r>
    </w:p>
    <w:p>
      <w:pPr>
        <w:spacing w:after="160" w:line="276"/>
        <w:jc w:val="both"/>
      </w:pPr>
      <w:r>
        <w:t xml:space="preserve">Not applicable — this initiative is an enhancement to the existing fraud-alerting process, not the delivery of a new application.</w:t>
      </w:r>
    </w:p>
    <w:p>
      <w:pPr>
        <w:pStyle w:val="Heading2"/>
        <w:spacing w:after="140" w:before="280"/>
      </w:pPr>
      <w:r>
        <w:rPr>
          <w:b/>
          <w:bCs/>
          <w:color w:val="1F3864"/>
        </w:rPr>
        <w:t xml:space="preserve">3.4 Complain Handling</w:t>
      </w:r>
    </w:p>
    <w:p>
      <w:pPr>
        <w:spacing w:after="160" w:line="276"/>
        <w:jc w:val="both"/>
      </w:pPr>
      <w:r>
        <w:t xml:space="preserve">Customers who dispute a temporary hold or a transaction flagged as fraudulent can contact Customer Service. Tickets are tagged “Fraud Alert / Hold Issue” and escalated to the Fraud/Risk team, acknowledged within 2 hours and resolved within 1 business day given the time-sensitive nature of a held transaction.</w:t>
      </w:r>
    </w:p>
    <w:p>
      <w:pPr>
        <w:pStyle w:val="Heading2"/>
        <w:spacing w:after="140" w:before="280"/>
      </w:pPr>
      <w:r>
        <w:rPr>
          <w:b/>
          <w:bCs/>
          <w:color w:val="1F3864"/>
        </w:rPr>
        <w:t xml:space="preserve">3.5 Reporting</w:t>
      </w:r>
    </w:p>
    <w:p>
      <w:pPr>
        <w:pStyle w:val="ListParagraph"/>
        <w:numPr>
          <w:ilvl w:val="0"/>
          <w:numId w:val="2"/>
        </w:numPr>
        <w:spacing w:after="100" w:line="276"/>
      </w:pPr>
      <w:r>
        <w:t xml:space="preserve">False-Positive Rate Report: a monthly report distributed to Fraud/Risk leadership and the Business Owner, showing total alerts generated, the count and percentage confirmed as false positives, and the associated analyst-hour cost, benchmarked against the baseline in Table 1.1.</w:t>
      </w:r>
    </w:p>
    <w:p>
      <w:pPr>
        <w:pStyle w:val="ListParagraph"/>
        <w:numPr>
          <w:ilvl w:val="0"/>
          <w:numId w:val="2"/>
        </w:numPr>
        <w:spacing w:after="100" w:line="276"/>
      </w:pPr>
      <w:r>
        <w:t xml:space="preserve">Severity Distribution &amp; Review-Time Report: a monthly report distributed to Fraud/Risk leadership, showing alert counts by severity level and average time-to-review by severity, to confirm the prioritization introduced by BR-02 is functioning as intended.</w:t>
      </w:r>
    </w:p>
    <w:p>
      <w:pPr>
        <w:pStyle w:val="ListParagraph"/>
        <w:numPr>
          <w:ilvl w:val="0"/>
          <w:numId w:val="2"/>
        </w:numPr>
        <w:spacing w:after="100" w:line="276"/>
      </w:pPr>
      <w:r>
        <w:t xml:space="preserve">Hold and Confirmation Outcome Report: a monthly report distributed to Fraud/Risk and Customer Service leadership, showing the number of holds placed, the split between confirmed fraud and confirmed legitimate transactions, and average time-to-resolution, benchmarked against the 70% target in Section 2.1.</w:t>
      </w:r>
    </w:p>
    <w:p>
      <w:pPr>
        <w:pStyle w:val="Heading2"/>
        <w:spacing w:after="140" w:before="280"/>
      </w:pPr>
      <w:r>
        <w:rPr>
          <w:b/>
          <w:bCs/>
          <w:color w:val="1F3864"/>
        </w:rPr>
        <w:t xml:space="preserve">3.6 Monitoring</w:t>
      </w:r>
    </w:p>
    <w:p>
      <w:pPr>
        <w:spacing w:after="160" w:line="276"/>
        <w:jc w:val="both"/>
      </w:pPr>
      <w:r>
        <w:t xml:space="preserve">The fraud-detection engine is monitored continuously for uptime and processing latency. An alert is sent to IT/Systems if detection processing falls more than 5 minutes behind transaction volume, or if the detection engine becomes unavailable, since either condition would mean transactions are going unscreened.</w:t>
      </w:r>
    </w:p>
    <w:p>
      <w:pPr>
        <w:pStyle w:val="Heading2"/>
        <w:spacing w:after="140" w:before="280"/>
      </w:pPr>
      <w:r>
        <w:rPr>
          <w:b/>
          <w:bCs/>
          <w:color w:val="1F3864"/>
        </w:rPr>
        <w:t xml:space="preserve">3.7 Settlement Plan</w:t>
      </w:r>
    </w:p>
    <w:p>
      <w:pPr>
        <w:spacing w:after="160" w:line="276"/>
        <w:jc w:val="both"/>
      </w:pPr>
      <w:r>
        <w:t xml:space="preserve">Not applicable — this initiative concerns detecting and alerting on potentially fraudulent transactions already processed through the existing payment and settlement infrastructure; it does not change how transactions settle.</w:t>
      </w:r>
    </w:p>
    <w:p>
      <w:pPr>
        <w:pStyle w:val="Heading2"/>
        <w:spacing w:after="140" w:before="280"/>
      </w:pPr>
      <w:r>
        <w:rPr>
          <w:b/>
          <w:bCs/>
          <w:color w:val="1F3864"/>
        </w:rPr>
        <w:t xml:space="preserve">3.8 Assumptions and Dependencies</w:t>
      </w:r>
    </w:p>
    <w:p>
      <w:pPr>
        <w:pStyle w:val="ListParagraph"/>
        <w:numPr>
          <w:ilvl w:val="0"/>
          <w:numId w:val="2"/>
        </w:numPr>
        <w:spacing w:after="100" w:line="276"/>
      </w:pPr>
      <w:r>
        <w:t xml:space="preserve">Assumes the payment processor's authorization-hold API (BR-03) supports a hold duration of at least 30 minutes; to be reconfirmed if the processor's terms of use change.</w:t>
      </w:r>
    </w:p>
    <w:p>
      <w:pPr>
        <w:pStyle w:val="ListParagraph"/>
        <w:numPr>
          <w:ilvl w:val="0"/>
          <w:numId w:val="2"/>
        </w:numPr>
        <w:spacing w:after="100" w:line="276"/>
      </w:pPr>
      <w:r>
        <w:t xml:space="preserve">Assumes the 200/day alert volume and the $38,000/month fraud-loss figure in Table 1.1 remain representative of typical volume going forward; both will be tracked and re-validated through the reports defined in Section 3.5.</w:t>
      </w:r>
    </w:p>
    <w:p>
      <w:pPr>
        <w:pStyle w:val="ListParagraph"/>
        <w:numPr>
          <w:ilvl w:val="0"/>
          <w:numId w:val="2"/>
        </w:numPr>
        <w:spacing w:after="100" w:line="276"/>
      </w:pPr>
      <w:r>
        <w:t xml:space="preserve">Assumes the 8x/60-minute anomaly threshold (BR-01) and the severity-scoring weights (BR-02) generalize across customer segments; thresholds may need per-segment tuning after the pilot (Section 4.4).</w:t>
      </w:r>
    </w:p>
    <w:p>
      <w:pPr>
        <w:pStyle w:val="ListParagraph"/>
        <w:numPr>
          <w:ilvl w:val="0"/>
          <w:numId w:val="2"/>
        </w:numPr>
        <w:spacing w:after="100" w:line="276"/>
      </w:pPr>
      <w:r>
        <w:t xml:space="preserve">Assumes customers can be reliably reached by SMS for the confirmation workflow (BR-04); customers without a valid mobile number on file will be routed directly to a fraud analyst rather than the automated flow.</w:t>
      </w:r>
    </w:p>
    <w:p>
      <w:r>
        <w:br w:type="page"/>
      </w:r>
    </w:p>
    <w:p>
      <w:pPr>
        <w:pStyle w:val="Heading1"/>
        <w:spacing w:after="200" w:before="360"/>
      </w:pPr>
      <w:r>
        <w:rPr>
          <w:b/>
          <w:bCs/>
          <w:color w:val="1F3864"/>
        </w:rPr>
        <w:t xml:space="preserve">CHAPTER IV</w:t>
      </w:r>
    </w:p>
    <w:p>
      <w:pPr>
        <w:pStyle w:val="Heading1"/>
        <w:spacing w:after="200" w:before="360"/>
      </w:pPr>
      <w:r>
        <w:rPr>
          <w:b/>
          <w:bCs/>
          <w:color w:val="1F3864"/>
        </w:rPr>
        <w:t xml:space="preserve">RELEASE PLAN</w:t>
      </w:r>
    </w:p>
    <w:p>
      <w:pPr>
        <w:pStyle w:val="Heading2"/>
        <w:spacing w:after="140" w:before="280"/>
      </w:pPr>
      <w:r>
        <w:rPr>
          <w:b/>
          <w:bCs/>
          <w:color w:val="1F3864"/>
        </w:rPr>
        <w:t xml:space="preserve">4.1 Target Ready for Service</w:t>
      </w:r>
    </w:p>
    <w:p>
      <w:pPr>
        <w:spacing w:after="160" w:line="276"/>
        <w:jc w:val="both"/>
      </w:pPr>
      <w:r>
        <w:t xml:space="preserve">October 12, 2026 — completion of real-time anomaly-detection engine integration, severity-scoring configuration, and authorization-hold API integration testing.</w:t>
      </w:r>
    </w:p>
    <w:p>
      <w:pPr>
        <w:pStyle w:val="Heading2"/>
        <w:spacing w:after="140" w:before="280"/>
      </w:pPr>
      <w:r>
        <w:rPr>
          <w:b/>
          <w:bCs/>
          <w:color w:val="1F3864"/>
        </w:rPr>
        <w:t xml:space="preserve">4.2 Commercial Launch</w:t>
      </w:r>
    </w:p>
    <w:p>
      <w:pPr>
        <w:spacing w:after="160" w:line="276"/>
        <w:jc w:val="both"/>
      </w:pPr>
      <w:r>
        <w:t xml:space="preserve">October 19, 2026 — production launch of the severity-sorted alert queue and the automated hold-and-confirm workflow for High-severity alerts.</w:t>
      </w:r>
    </w:p>
    <w:p>
      <w:pPr>
        <w:pStyle w:val="Heading2"/>
        <w:spacing w:after="140" w:before="280"/>
      </w:pPr>
      <w:r>
        <w:rPr>
          <w:b/>
          <w:bCs/>
          <w:color w:val="1F3864"/>
        </w:rPr>
        <w:t xml:space="preserve">4.3 Internal Socialization Plan</w:t>
      </w:r>
    </w:p>
    <w:p>
      <w:pPr>
        <w:spacing w:after="160" w:line="276"/>
        <w:jc w:val="both"/>
      </w:pPr>
      <w:r>
        <w:t xml:space="preserve">Fraud/Risk analysts and Customer Service staff will be trained during the week of October 5, 2026 on the severity-sorted queue, the hold-and-confirm workflow, and the revised escalation procedure for disputed holds.</w:t>
      </w:r>
    </w:p>
    <w:p>
      <w:pPr>
        <w:pStyle w:val="Heading2"/>
        <w:spacing w:after="140" w:before="280"/>
      </w:pPr>
      <w:r>
        <w:rPr>
          <w:b/>
          <w:bCs/>
          <w:color w:val="1F3864"/>
        </w:rPr>
        <w:t xml:space="preserve">4.4 Rollout Scenario</w:t>
      </w:r>
    </w:p>
    <w:p>
      <w:pPr>
        <w:pStyle w:val="ListParagraph"/>
        <w:numPr>
          <w:ilvl w:val="0"/>
          <w:numId w:val="2"/>
        </w:numPr>
        <w:spacing w:after="100" w:line="276"/>
      </w:pPr>
      <w:r>
        <w:t xml:space="preserve">Pilot: October 19 – November 1, 2026 — real-time detection and severity scoring applied to 25% of transaction volume, to validate scoring accuracy and hold/confirm mechanics before wider exposure.</w:t>
      </w:r>
    </w:p>
    <w:p>
      <w:pPr>
        <w:pStyle w:val="ListParagraph"/>
        <w:numPr>
          <w:ilvl w:val="0"/>
          <w:numId w:val="2"/>
        </w:numPr>
        <w:spacing w:after="100" w:line="276"/>
      </w:pPr>
      <w:r>
        <w:t xml:space="preserve">Full Rollout: November 2, 2026 — expansion to 100% of transaction volume.</w:t>
      </w:r>
    </w:p>
    <w:p>
      <w:r>
        <w:br w:type="page"/>
      </w:r>
    </w:p>
    <w:p>
      <w:pPr>
        <w:pStyle w:val="Heading1"/>
        <w:spacing w:after="200" w:before="360"/>
      </w:pPr>
      <w:r>
        <w:rPr>
          <w:b/>
          <w:bCs/>
          <w:color w:val="1F3864"/>
        </w:rPr>
        <w:t xml:space="preserve">CHAPTER V</w:t>
      </w:r>
    </w:p>
    <w:p>
      <w:pPr>
        <w:pStyle w:val="Heading1"/>
        <w:spacing w:after="200" w:before="360"/>
      </w:pPr>
      <w:r>
        <w:rPr>
          <w:b/>
          <w:bCs/>
          <w:color w:val="1F3864"/>
        </w:rPr>
        <w:t xml:space="preserve">RETIREMENT PLAN &amp; SIGNOFF</w:t>
      </w:r>
    </w:p>
    <w:p>
      <w:pPr>
        <w:pStyle w:val="Heading2"/>
        <w:spacing w:after="140" w:before="280"/>
      </w:pPr>
      <w:r>
        <w:rPr>
          <w:b/>
          <w:bCs/>
          <w:color w:val="1F3864"/>
        </w:rPr>
        <w:t xml:space="preserve">5.1 Product / Service Retirement Plan</w:t>
      </w:r>
    </w:p>
    <w:p>
      <w:pPr>
        <w:spacing w:after="160" w:line="276"/>
        <w:jc w:val="both"/>
      </w:pPr>
      <w:r>
        <w:t xml:space="preserve">The current undifferentiated, unsorted alert queue is retired effective November 2, 2026, replaced by the severity-sorted queue described in Section 3. The underlying rule-based alerts that generate the existing 200/day volume remain in place as an input to the new severity-scoring engine (BR-02) rather than being replaced outright.</w:t>
      </w:r>
    </w:p>
    <w:p>
      <w:pPr>
        <w:pStyle w:val="Heading2"/>
        <w:spacing w:after="140" w:before="280"/>
      </w:pPr>
      <w:r>
        <w:rPr>
          <w:b/>
          <w:bCs/>
          <w:color w:val="1F3864"/>
        </w:rPr>
        <w:t xml:space="preserve">5.2 Document Signoff</w:t>
      </w:r>
    </w:p>
    <w:p>
      <w:pPr>
        <w:spacing w:after="160" w:line="276"/>
        <w:jc w:val="both"/>
      </w:pPr>
      <w:r>
        <w:t xml:space="preserve">By signing this document, the stakeholders below confirm their agreement with the scope, business requirements, and workflow defined in this Business Requirements Document (BRD).</w:t>
      </w:r>
    </w:p>
    <w:p>
      <w:pPr>
        <w:spacing w:after="120" w:before="120"/>
      </w:pPr>
      <w:r>
        <w:rPr>
          <w:b/>
          <w:bCs/>
          <w:i/>
          <w:iCs/>
          <w:sz w:val="20"/>
          <w:szCs w:val="20"/>
        </w:rPr>
        <w:t xml:space="preserve">Table 5.1  Document Signoff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1600"/>
        <w:gridCol w:w="1500"/>
      </w:tblGrid>
      <w:tr>
        <w:trPr>
          <w:tblHeader/>
        </w:trPr>
        <w:tc>
          <w:tcPr>
            <w:tcW w:type="dxa" w:w="1900"/>
            <w:shd w:fill="D9E2F3" w:color="auto" w:val="clear"/>
            <w:tcMar>
              <w:top w:type="dxa" w:w="100"/>
              <w:left w:type="dxa" w:w="120"/>
              <w:bottom w:type="dxa" w:w="100"/>
              <w:right w:type="dxa" w:w="120"/>
            </w:tcMar>
          </w:tcPr>
          <w:p>
            <w:pPr>
              <w:jc w:val="center"/>
            </w:pPr>
            <w:r>
              <w:rPr>
                <w:b/>
                <w:bCs/>
                <w:sz w:val="20"/>
                <w:szCs w:val="20"/>
              </w:rPr>
              <w:t xml:space="preserve">Role</w:t>
            </w:r>
          </w:p>
        </w:tc>
        <w:tc>
          <w:tcPr>
            <w:tcW w:type="dxa" w:w="2400"/>
            <w:shd w:fill="D9E2F3" w:color="auto" w:val="clear"/>
            <w:tcMar>
              <w:top w:type="dxa" w:w="100"/>
              <w:left w:type="dxa" w:w="120"/>
              <w:bottom w:type="dxa" w:w="100"/>
              <w:right w:type="dxa" w:w="120"/>
            </w:tcMar>
          </w:tcPr>
          <w:p>
            <w:pPr>
              <w:jc w:val="center"/>
            </w:pPr>
            <w:r>
              <w:rPr>
                <w:b/>
                <w:bCs/>
                <w:sz w:val="20"/>
                <w:szCs w:val="20"/>
              </w:rPr>
              <w:t xml:space="preserve">Name</w:t>
            </w:r>
          </w:p>
        </w:tc>
        <w:tc>
          <w:tcPr>
            <w:tcW w:type="dxa" w:w="2400"/>
            <w:shd w:fill="D9E2F3" w:color="auto" w:val="clear"/>
            <w:tcMar>
              <w:top w:type="dxa" w:w="100"/>
              <w:left w:type="dxa" w:w="120"/>
              <w:bottom w:type="dxa" w:w="100"/>
              <w:right w:type="dxa" w:w="120"/>
            </w:tcMar>
          </w:tcPr>
          <w:p>
            <w:pPr>
              <w:jc w:val="center"/>
            </w:pPr>
            <w:r>
              <w:rPr>
                <w:b/>
                <w:bCs/>
                <w:sz w:val="20"/>
                <w:szCs w:val="20"/>
              </w:rPr>
              <w:t xml:space="preserve">Title</w:t>
            </w:r>
          </w:p>
        </w:tc>
        <w:tc>
          <w:tcPr>
            <w:tcW w:type="dxa" w:w="1600"/>
            <w:shd w:fill="D9E2F3" w:color="auto" w:val="clear"/>
            <w:tcMar>
              <w:top w:type="dxa" w:w="100"/>
              <w:left w:type="dxa" w:w="120"/>
              <w:bottom w:type="dxa" w:w="100"/>
              <w:right w:type="dxa" w:w="120"/>
            </w:tcMar>
          </w:tcPr>
          <w:p>
            <w:pPr>
              <w:jc w:val="center"/>
            </w:pPr>
            <w:r>
              <w:rPr>
                <w:b/>
                <w:bCs/>
                <w:sz w:val="20"/>
                <w:szCs w:val="20"/>
              </w:rPr>
              <w:t xml:space="preserve">Status</w:t>
            </w:r>
          </w:p>
        </w:tc>
        <w:tc>
          <w:tcPr>
            <w:tcW w:type="dxa" w:w="1500"/>
            <w:shd w:fill="D9E2F3" w:color="auto" w:val="clear"/>
            <w:tcMar>
              <w:top w:type="dxa" w:w="100"/>
              <w:left w:type="dxa" w:w="120"/>
              <w:bottom w:type="dxa" w:w="100"/>
              <w:right w:type="dxa" w:w="120"/>
            </w:tcMar>
          </w:tcPr>
          <w:p>
            <w:pPr>
              <w:jc w:val="center"/>
            </w:pPr>
            <w:r>
              <w:rPr>
                <w:b/>
                <w:bCs/>
                <w:sz w:val="20"/>
                <w:szCs w:val="20"/>
              </w:rPr>
              <w:t xml:space="preserve">Date</w:t>
            </w:r>
          </w:p>
        </w:tc>
      </w:tr>
      <w:tr>
        <w:tc>
          <w:tcPr>
            <w:tcW w:type="dxa" w:w="1900"/>
            <w:tcMar>
              <w:top w:type="dxa" w:w="100"/>
              <w:left w:type="dxa" w:w="120"/>
              <w:bottom w:type="dxa" w:w="100"/>
              <w:right w:type="dxa" w:w="120"/>
            </w:tcMar>
          </w:tcPr>
          <w:p>
            <w:pPr>
              <w:jc w:val="left"/>
            </w:pPr>
            <w:r>
              <w:rPr>
                <w:b w:val="false"/>
                <w:bCs w:val="false"/>
                <w:sz w:val="20"/>
                <w:szCs w:val="20"/>
              </w:rPr>
              <w:t xml:space="preserve">Business Owner</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Owner / Business Sponsor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Fraud / Risk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Fraud &amp; Risk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IT / Systems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IT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r>
        <w:tc>
          <w:tcPr>
            <w:tcW w:type="dxa" w:w="1900"/>
            <w:tcMar>
              <w:top w:type="dxa" w:w="100"/>
              <w:left w:type="dxa" w:w="120"/>
              <w:bottom w:type="dxa" w:w="100"/>
              <w:right w:type="dxa" w:w="120"/>
            </w:tcMar>
          </w:tcPr>
          <w:p>
            <w:pPr>
              <w:jc w:val="left"/>
            </w:pPr>
            <w:r>
              <w:rPr>
                <w:b w:val="false"/>
                <w:bCs w:val="false"/>
                <w:sz w:val="20"/>
                <w:szCs w:val="20"/>
              </w:rPr>
              <w:t xml:space="preserve">Customer Service Lead</w:t>
            </w:r>
          </w:p>
        </w:tc>
        <w:tc>
          <w:tcPr>
            <w:tcW w:type="dxa" w:w="2400"/>
            <w:tcMar>
              <w:top w:type="dxa" w:w="100"/>
              <w:left w:type="dxa" w:w="120"/>
              <w:bottom w:type="dxa" w:w="100"/>
              <w:right w:type="dxa" w:w="120"/>
            </w:tcMar>
          </w:tcPr>
          <w:p>
            <w:pPr>
              <w:jc w:val="center"/>
            </w:pPr>
            <w:r>
              <w:rPr>
                <w:b w:val="false"/>
                <w:bCs w:val="false"/>
                <w:sz w:val="20"/>
                <w:szCs w:val="20"/>
              </w:rPr>
              <w:t xml:space="preserve"> </w:t>
            </w:r>
          </w:p>
        </w:tc>
        <w:tc>
          <w:tcPr>
            <w:tcW w:type="dxa" w:w="2400"/>
            <w:tcMar>
              <w:top w:type="dxa" w:w="100"/>
              <w:left w:type="dxa" w:w="120"/>
              <w:bottom w:type="dxa" w:w="100"/>
              <w:right w:type="dxa" w:w="120"/>
            </w:tcMar>
          </w:tcPr>
          <w:p>
            <w:pPr>
              <w:jc w:val="center"/>
            </w:pPr>
            <w:r>
              <w:rPr>
                <w:b w:val="false"/>
                <w:bCs w:val="false"/>
                <w:sz w:val="20"/>
                <w:szCs w:val="20"/>
              </w:rPr>
              <w:t xml:space="preserve">Customer Service Manager</w:t>
            </w:r>
          </w:p>
        </w:tc>
        <w:tc>
          <w:tcPr>
            <w:tcW w:type="dxa" w:w="1600"/>
            <w:tcMar>
              <w:top w:type="dxa" w:w="100"/>
              <w:left w:type="dxa" w:w="120"/>
              <w:bottom w:type="dxa" w:w="100"/>
              <w:right w:type="dxa" w:w="120"/>
            </w:tcMar>
          </w:tcPr>
          <w:p>
            <w:pPr>
              <w:jc w:val="center"/>
            </w:pPr>
            <w:r>
              <w:rPr>
                <w:b w:val="false"/>
                <w:bCs w:val="false"/>
                <w:sz w:val="20"/>
                <w:szCs w:val="20"/>
              </w:rPr>
              <w:t xml:space="preserve">Pending Approval</w:t>
            </w:r>
          </w:p>
        </w:tc>
        <w:tc>
          <w:tcPr>
            <w:tcW w:type="dxa" w:w="1500"/>
            <w:tcMar>
              <w:top w:type="dxa" w:w="100"/>
              <w:left w:type="dxa" w:w="120"/>
              <w:bottom w:type="dxa" w:w="100"/>
              <w:right w:type="dxa" w:w="120"/>
            </w:tcMar>
          </w:tcPr>
          <w:p>
            <w:pPr>
              <w:jc w:val="center"/>
            </w:pPr>
            <w:r>
              <w:rPr>
                <w:b w:val="false"/>
                <w:bCs w:val="false"/>
                <w:sz w:val="20"/>
                <w:szCs w:val="20"/>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2026-07-30T08:34:40.849Z</dcterms:created>
  <dcterms:modified xsi:type="dcterms:W3CDTF">2026-07-30T08:34:40.850Z</dcterms:modified>
</cp:coreProperties>
</file>

<file path=docProps/custom.xml><?xml version="1.0" encoding="utf-8"?>
<Properties xmlns="http://schemas.openxmlformats.org/officeDocument/2006/custom-properties" xmlns:vt="http://schemas.openxmlformats.org/officeDocument/2006/docPropsVTypes"/>
</file>