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Requirement Document</w:t>
      </w:r>
    </w:p>
    <w:p>
      <w:r>
        <w:t>Project: Digital Asset Management System</w:t>
        <w:br/>
        <w:t>Version: 0.1 (Synthetic Test Fixture)</w:t>
        <w:br/>
        <w:t>Status: Draft</w:t>
      </w:r>
    </w:p>
    <w:p>
      <w:pPr>
        <w:pStyle w:val="Heading1"/>
      </w:pPr>
      <w:r>
        <w:t>1 Introduction</w:t>
      </w:r>
    </w:p>
    <w:p>
      <w:pPr>
        <w:pStyle w:val="Heading2"/>
      </w:pPr>
      <w:r>
        <w:t>1.1 Overview</w:t>
      </w:r>
    </w:p>
    <w:p>
      <w:pPr>
        <w:pStyle w:val="Heading3"/>
      </w:pPr>
      <w:r>
        <w:t>1.1.1 Background</w:t>
      </w:r>
    </w:p>
    <w:p>
      <w:r>
        <w:t>Artefakt Corp currently manages over 200,000 digital assets across siloed departmental drives. There is no centralised versioning, metadata tagging, or lifecycle management. This causes duplicated effort, version conflicts, and compliance exposure.</w:t>
      </w:r>
    </w:p>
    <w:p>
      <w:r>
        <w:t>A formal Digital Asset Management (DAM) platform is required to consolidate all assets, enforce role-based access controls, and provide audit-ready provenance tracking.</w:t>
      </w:r>
    </w:p>
    <w:p>
      <w:pPr>
        <w:pStyle w:val="Heading2"/>
      </w:pPr>
      <w:r>
        <w:t>1.2 Business Objective</w:t>
      </w:r>
    </w:p>
    <w:tbl>
      <w:tblPr>
        <w:tblStyle w:val="TableGrid"/>
        <w:tblW w:type="auto" w:w="0"/>
        <w:tblLook w:firstColumn="1" w:firstRow="1" w:lastColumn="0" w:lastRow="0" w:noHBand="0" w:noVBand="1" w:val="04A0"/>
      </w:tblPr>
      <w:tblGrid>
        <w:gridCol w:w="4320"/>
        <w:gridCol w:w="4320"/>
      </w:tblGrid>
      <w:tr>
        <w:tc>
          <w:tcPr>
            <w:tcW w:type="dxa" w:w="4320"/>
          </w:tcPr>
          <w:p>
            <w:r>
              <w:t>Objective</w:t>
            </w:r>
          </w:p>
        </w:tc>
        <w:tc>
          <w:tcPr>
            <w:tcW w:type="dxa" w:w="4320"/>
          </w:tcPr>
          <w:p>
            <w:r>
              <w:t>Target</w:t>
            </w:r>
          </w:p>
        </w:tc>
      </w:tr>
      <w:tr>
        <w:tc>
          <w:tcPr>
            <w:tcW w:type="dxa" w:w="4320"/>
          </w:tcPr>
          <w:p>
            <w:r>
              <w:t>Consolidate asset storage</w:t>
            </w:r>
          </w:p>
        </w:tc>
        <w:tc>
          <w:tcPr>
            <w:tcW w:type="dxa" w:w="4320"/>
          </w:tcPr>
          <w:p>
            <w:r>
              <w:t>Single platform by Q2</w:t>
            </w:r>
          </w:p>
        </w:tc>
      </w:tr>
      <w:tr>
        <w:tc>
          <w:tcPr>
            <w:tcW w:type="dxa" w:w="4320"/>
          </w:tcPr>
          <w:p>
            <w:r>
              <w:t>Reduce retrieval time</w:t>
            </w:r>
          </w:p>
        </w:tc>
        <w:tc>
          <w:tcPr>
            <w:tcW w:type="dxa" w:w="4320"/>
          </w:tcPr>
          <w:p>
            <w:r>
              <w:t>&lt; 30 seconds per asset</w:t>
            </w:r>
          </w:p>
        </w:tc>
      </w:tr>
      <w:tr>
        <w:tc>
          <w:tcPr>
            <w:tcW w:type="dxa" w:w="4320"/>
          </w:tcPr>
          <w:p>
            <w:r>
              <w:t>Enforce access control</w:t>
            </w:r>
          </w:p>
        </w:tc>
        <w:tc>
          <w:tcPr>
            <w:tcW w:type="dxa" w:w="4320"/>
          </w:tcPr>
          <w:p>
            <w:r>
              <w:t>Role-based, audited</w:t>
            </w:r>
          </w:p>
        </w:tc>
      </w:tr>
      <w:tr>
        <w:tc>
          <w:tcPr>
            <w:tcW w:type="dxa" w:w="4320"/>
          </w:tcPr>
          <w:p>
            <w:r>
              <w:t>Achieve compliance</w:t>
            </w:r>
          </w:p>
        </w:tc>
        <w:tc>
          <w:tcPr>
            <w:tcW w:type="dxa" w:w="4320"/>
          </w:tcPr>
          <w:p>
            <w:r>
              <w:t>ISO 27001 by year-end</w:t>
            </w:r>
          </w:p>
        </w:tc>
      </w:tr>
    </w:tbl>
    <w:p>
      <w:pPr>
        <w:pStyle w:val="Heading2"/>
      </w:pPr>
      <w:r>
        <w:t>1.4 Program Type</w:t>
      </w:r>
    </w:p>
    <w:p>
      <w:pPr>
        <w:pStyle w:val="Heading1"/>
      </w:pPr>
      <w:r>
        <w:t>2 Benefit Analysis</w:t>
      </w:r>
    </w:p>
    <w:p>
      <w:pPr>
        <w:pStyle w:val="Heading2"/>
      </w:pPr>
      <w:r>
        <w:t>2.1 Summary</w:t>
      </w:r>
    </w:p>
    <w:p>
      <w:r>
        <w:t>Migrating to a centralised DAM platform is projected to save Artefakt Corp approximately 1,200 person-hours per year by eliminating duplicate asset searches and manual versioning.</w:t>
      </w:r>
    </w:p>
    <w:p>
      <w:pPr>
        <w:pStyle w:val="Heading3"/>
      </w:pPr>
      <w:r>
        <w:t>99.1 Supporting Evidence</w:t>
      </w:r>
    </w:p>
    <w:p>
      <w:r>
        <w:t>Internal surveys show that 68% of staff spend more than 2 hours per week searching for previously-created assets. The proposed platform includes full-text indexing and AI-assisted tagging.</w:t>
      </w:r>
    </w:p>
    <w:tbl>
      <w:tblPr>
        <w:tblStyle w:val="TableGrid"/>
        <w:tblW w:type="auto" w:w="0"/>
        <w:tblLook w:firstColumn="1" w:firstRow="1" w:lastColumn="0" w:lastRow="0" w:noHBand="0" w:noVBand="1" w:val="04A0"/>
      </w:tblPr>
      <w:tblGrid>
        <w:gridCol w:w="2880"/>
        <w:gridCol w:w="2880"/>
        <w:gridCol w:w="2880"/>
      </w:tblGrid>
      <w:tr>
        <w:tc>
          <w:tcPr>
            <w:tcW w:type="dxa" w:w="2880"/>
          </w:tcPr>
          <w:p>
            <w:r>
              <w:t>Benefit Category</w:t>
            </w:r>
          </w:p>
        </w:tc>
        <w:tc>
          <w:tcPr>
            <w:tcW w:type="dxa" w:w="2880"/>
          </w:tcPr>
          <w:p>
            <w:r>
              <w:t>Annual Saving (IDR)</w:t>
            </w:r>
          </w:p>
        </w:tc>
        <w:tc>
          <w:tcPr>
            <w:tcW w:type="dxa" w:w="2880"/>
          </w:tcPr>
          <w:p>
            <w:r>
              <w:t>Confidence</w:t>
            </w:r>
          </w:p>
        </w:tc>
      </w:tr>
      <w:tr>
        <w:tc>
          <w:tcPr>
            <w:tcW w:type="dxa" w:w="2880"/>
          </w:tcPr>
          <w:p>
            <w:r>
              <w:t>Labour hours</w:t>
            </w:r>
          </w:p>
        </w:tc>
        <w:tc>
          <w:tcPr>
            <w:tcW w:type="dxa" w:w="2880"/>
          </w:tcPr>
          <w:p>
            <w:r>
              <w:t>Rp 480,000,000</w:t>
            </w:r>
          </w:p>
        </w:tc>
        <w:tc>
          <w:tcPr>
            <w:tcW w:type="dxa" w:w="2880"/>
          </w:tcPr>
          <w:p>
            <w:r>
              <w:t>High</w:t>
            </w:r>
          </w:p>
        </w:tc>
      </w:tr>
      <w:tr>
        <w:tc>
          <w:tcPr>
            <w:tcW w:type="dxa" w:w="2880"/>
          </w:tcPr>
          <w:p>
            <w:r>
              <w:t>Storage consolidation</w:t>
            </w:r>
          </w:p>
        </w:tc>
        <w:tc>
          <w:tcPr>
            <w:tcW w:type="dxa" w:w="2880"/>
          </w:tcPr>
          <w:p>
            <w:r>
              <w:t>Rp 120,000,000</w:t>
            </w:r>
          </w:p>
        </w:tc>
        <w:tc>
          <w:tcPr>
            <w:tcW w:type="dxa" w:w="2880"/>
          </w:tcPr>
          <w:p>
            <w:r>
              <w:t>Medium</w:t>
            </w:r>
          </w:p>
        </w:tc>
      </w:tr>
      <w:tr>
        <w:tc>
          <w:tcPr>
            <w:tcW w:type="dxa" w:w="2880"/>
          </w:tcPr>
          <w:p>
            <w:r>
              <w:t>Compliance fines avoided</w:t>
            </w:r>
          </w:p>
        </w:tc>
        <w:tc>
          <w:tcPr>
            <w:tcW w:type="dxa" w:w="2880"/>
          </w:tcPr>
          <w:p>
            <w:r>
              <w:t>Rp 200,000,000</w:t>
            </w:r>
          </w:p>
        </w:tc>
        <w:tc>
          <w:tcPr>
            <w:tcW w:type="dxa" w:w="2880"/>
          </w:tcPr>
          <w:p>
            <w:r>
              <w:t>Medium</w:t>
            </w:r>
          </w:p>
        </w:tc>
      </w:tr>
    </w:tbl>
    <w:p>
      <w:pPr>
        <w:pStyle w:val="Heading1"/>
      </w:pPr>
      <w:r>
        <w:t>3 Service Description</w:t>
      </w:r>
    </w:p>
    <w:p>
      <w:pPr>
        <w:pStyle w:val="Heading2"/>
      </w:pPr>
      <w:r>
        <w:t>3.1 General Requirement</w:t>
      </w:r>
    </w:p>
    <w:p>
      <w:r>
        <w:t>The DAM platform must support the following general requirements:</w:t>
      </w:r>
    </w:p>
    <w:p>
      <w:r>
        <w:t>GR-01: The system shall support ingestion of JPEG, PNG, PDF, DOCX, MP4, and SVG file formats.</w:t>
        <w:br/>
        <w:t>GR-02: The system shall provide a REST API compatible with OpenAPI 3.1.</w:t>
        <w:br/>
        <w:t>GR-03: Response time for asset search must not exceed 2 seconds at P95 under a load of 500 concurrent users.</w:t>
        <w:br/>
        <w:t>GR-04: All data must be encrypted at rest (AES-256) and in transit (TLS 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