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Deployment</w:t>
      </w:r>
    </w:p>
    <w:p/>
    <w:p>
      <w:pPr>
        <w:pStyle w:val="Heading1"/>
        <w:spacing w:before="300" w:after="120"/>
      </w:pPr>
      <w:r>
        <w:t xml:space="preserve">Sequence</w:t>
      </w:r>
    </w:p>
    <w:p/>
    <w:p>
      <w:pPr>
        <w:spacing w:after="120"/>
      </w:pPr>
      <w:r>
        <w:t xml:space="preserve">1. Deploy to Celo Alfajores (testnet) first: `npx hardhat run scripts/deploy.js --network celoAlfajores`.</w:t>
      </w:r>
    </w:p>
    <w:p>
      <w:pPr>
        <w:spacing w:after="120"/>
      </w:pPr>
      <w:r>
        <w:t xml:space="preserve">2. Verify the deployed contract's source on the Alfajores block explorer.</w:t>
      </w:r>
    </w:p>
    <w:p>
      <w:pPr>
        <w:spacing w:after="120"/>
      </w:pPr>
      <w:r>
        <w:t xml:space="preserve">3. Authorize FreClean's backend service account (the same account `freclean-payment`'s worker uses; see that repo's `FRECLEAN_API_WORKER_TOKEN`) via `setAuthorizedRecorder`.</w:t>
      </w:r>
    </w:p>
    <w:p>
      <w:pPr>
        <w:spacing w:after="120"/>
      </w:pPr>
      <w:r>
        <w:t xml:space="preserve">4. Run a full staging cycle: create a test agreement, record a confirmed and a missed payment, confirm the status transitions match `test/ServiceAgreementRegistry.test.js`.</w:t>
      </w:r>
    </w:p>
    <w:p>
      <w:pPr>
        <w:spacing w:after="120"/>
      </w:pPr>
      <w:r>
        <w:t xml:space="preserve">5. Only after a staging cycle is reviewed does mainnet deployment (`celoMainnet`) happen. This is a deliberate gate, not a formality.</w:t>
      </w:r>
    </w:p>
    <w:p/>
    <w:p>
      <w:pPr>
        <w:pStyle w:val="Heading1"/>
        <w:spacing w:before="300" w:after="120"/>
      </w:pPr>
      <w:r>
        <w:t xml:space="preserve">Key management</w:t>
      </w:r>
    </w:p>
    <w:p/>
    <w:p>
      <w:pPr>
        <w:spacing w:after="120"/>
      </w:pPr>
      <w:r>
        <w:t xml:space="preserve">The deployer key and the authorized recorder key are </w:t>
      </w:r>
      <w:r>
        <w:rPr>
          <w:b/>
          <w:bCs/>
        </w:rPr>
        <w:t xml:space="preserve">not</w:t>
      </w:r>
      <w:r>
        <w:t xml:space="preserve"> the FreClean treasury key (see `freclean-payment/SECURITY.md`). This contract never touches funds, so it does not need treasury-level custody. It still needs its own careful key management: whoever holds the recorder key can write (but never falsify existing history, since events are immutable) agreement and payment records.</w:t>
      </w:r>
    </w:p>
    <w:p/>
    <w:p>
      <w:pPr>
        <w:pStyle w:val="Heading1"/>
        <w:spacing w:before="300" w:after="120"/>
      </w:pPr>
      <w:r>
        <w:t xml:space="preserve">What is NOT yet done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Not deployed anywhere yet. This repo ships the contract, tests, and deployment tooling, not a live address.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third-party audit yet. Given the contract holds no funds and has a narrow, well-tested surface, a full paid audit is a reasonable thing to defer until real agreement volume justifies the cost, but this should be revisited before mainnet deployment, not skipped permanently.</w:t>
      </w:r>
    </w:p>
    <w:p/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FreClean · Léogâne, Ouest, Haiti, template pending legal review</w:t>
    </w:r>
    <w:r>
      <w:t xml:space="preserve">	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72B9" w:sz="8" w:space="4"/>
      </w:pBdr>
    </w:pPr>
    <w:r>
      <w:rPr>
        <w:b/>
        <w:bCs/>
        <w:color w:val="084F80"/>
      </w:rPr>
      <w:t xml:space="preserve">FreClean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2026-08-18T15:29:03.916Z</dcterms:created>
  <dcterms:modified xsi:type="dcterms:W3CDTF">2026-08-18T15:29:03.916Z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