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Why This Repo Exists Now</w:t>
      </w:r>
    </w:p>
    <w:p/>
    <w:p>
      <w:pPr>
        <w:spacing w:after="120"/>
      </w:pPr>
      <w:r>
        <w:t xml:space="preserve">FreClean's build standard is explicit: </w:t>
      </w:r>
      <w:r>
        <w:rPr>
          <w:b/>
          <w:bCs/>
        </w:rPr>
        <w:t xml:space="preserve">do not create unnecessary smart contracts; `freclean-contracts` should only be implemented if a genuine technical requirement exists.</w:t>
      </w:r>
      <w:r>
        <w:t xml:space="preserve"> This document is that justification, written before any code, so the reasoning is checkable rather than assumed.</w:t>
      </w:r>
    </w:p>
    <w:p/>
    <w:p>
      <w:pPr>
        <w:pStyle w:val="Heading1"/>
        <w:spacing w:before="300" w:after="120"/>
      </w:pPr>
      <w:r>
        <w:t xml:space="preserve">The genuine requirement</w:t>
      </w:r>
    </w:p>
    <w:p/>
    <w:p>
      <w:pPr>
        <w:spacing w:after="120"/>
      </w:pPr>
      <w:r>
        <w:t xml:space="preserve">FreClean is moving from single-visit bookings toward </w:t>
      </w:r>
      <w:r>
        <w:rPr>
          <w:b/>
          <w:bCs/>
        </w:rPr>
        <w:t xml:space="preserve">multi-year B2B agreements</w:t>
      </w:r>
      <w:r>
        <w:t xml:space="preserve">: hotel cleaning contracts, Airbnb/property-management cleaning contracts, office cleaning contracts (2–4 year terms), and recurring product-supply agreements for businesses that buy FreClean products on a standing basis. These are real commercial contracts (see `legal-templates/`), and most of the value here is legal document work, not blockchain work.</w:t>
      </w:r>
    </w:p>
    <w:p/>
    <w:p>
      <w:pPr>
        <w:spacing w:after="120"/>
      </w:pPr>
      <w:r>
        <w:t xml:space="preserve">The specific piece that *does* warrant a smart contract: for a B2B client paying via Celo (FreClean's existing Web3 rail; see `freclean-payment`), a multi-year agreement benefits from a </w:t>
      </w:r>
      <w:r>
        <w:rPr>
          <w:b/>
          <w:bCs/>
        </w:rPr>
        <w:t xml:space="preserve">tamper-evident, independently checkable record of the agreement's existence and payment compliance</w:t>
      </w:r>
      <w:r>
        <w:t xml:space="preserve">. That record is something neither party can quietly alter after the fact, and something a hotel's or office's own finance team can verify on-chain without trusting FreClean's own database.</w:t>
      </w:r>
    </w:p>
    <w:p/>
    <w:p>
      <w:pPr>
        <w:pStyle w:val="Heading1"/>
        <w:spacing w:before="300" w:after="120"/>
      </w:pPr>
      <w:r>
        <w:t xml:space="preserve">What was deliberately NOT built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 token.</w:t>
      </w:r>
      <w:r>
        <w:t xml:space="preserve"> Nothing here is a currency, a share, or a speculative asset.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 escrow or custody.</w:t>
      </w:r>
      <w:r>
        <w:t xml:space="preserve"> The contract never holds funds. Money still moves exactly as it does today: cash, card, or a direct USDm payment verified by `freclean-payment`. This contract only *records* that an agreement and its payment schedule exist and whether payments are on track.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 automated enforcement.</w:t>
      </w:r>
      <w:r>
        <w:t xml:space="preserve"> The contract does not cancel a booking, withhold service, or take any action. It is a registry, not a controller. Real-world consequences of a missed payment are handled by FreClean's operations and legal process, not by code.</w:t>
      </w:r>
    </w:p>
    <w:p/>
    <w:p>
      <w:pPr>
        <w:pStyle w:val="Heading1"/>
        <w:spacing w:before="300" w:after="120"/>
      </w:pPr>
      <w:r>
        <w:t xml:space="preserve">Scope</w:t>
      </w:r>
    </w:p>
    <w:p/>
    <w:p>
      <w:pPr>
        <w:spacing w:after="120"/>
      </w:pPr>
      <w:r>
        <w:t xml:space="preserve">One contract: `ServiceAgreementRegistry.sol`. It stores, per agreement: a hash of the signed legal document (not the document itself; contract terms are private), the client's identifier, the term length, the expected payment interval, and a status that FreClean's backend updates as payments are confirmed (via `freclean-payment`) or missed. Anyone can verify an agreement's payment-compliance history on-chain; no one but FreClean's authorized backend can write to it.</w:t>
      </w:r>
    </w:p>
    <w:p/>
    <w:p>
      <w:pPr>
        <w:spacing w:after="120"/>
      </w:pPr>
      <w:r>
        <w:t xml:space="preserve">If this repo starts growing beyond that one, narrow purpose, such as token logic, escrow, or automated penalties, that would be a strategy change requiring its own justification, not an extension of this one.</w:t>
      </w:r>
    </w:p>
    <w:p/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FreClean · Léogâne, Ouest, Haiti, template pending legal review</w:t>
    </w:r>
    <w:r>
      <w:t xml:space="preserve">	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72B9" w:sz="8" w:space="4"/>
      </w:pBdr>
    </w:pPr>
    <w:r>
      <w:rPr>
        <w:b/>
        <w:bCs/>
        <w:color w:val="084F80"/>
      </w:rPr>
      <w:t xml:space="preserve">FreClean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2026-08-18T15:29:03.967Z</dcterms:created>
  <dcterms:modified xsi:type="dcterms:W3CDTF">2026-08-18T15:29:03.967Z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