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FreClean Contracts</w:t>
      </w:r>
    </w:p>
    <w:p/>
    <w:p>
      <w:pPr>
        <w:spacing w:after="120"/>
      </w:pPr>
      <w:r>
        <w:t xml:space="preserve">Two things live here, both serving FreClean's move into multi-year B2B relationships:</w:t>
      </w:r>
    </w:p>
    <w:p/>
    <w:p>
      <w:pPr>
        <w:spacing w:after="120"/>
      </w:pPr>
      <w:r>
        <w:t xml:space="preserve">1. </w:t>
      </w:r>
      <w:r>
        <w:rPr>
          <w:b/>
          <w:bCs/>
        </w:rPr>
        <w:t xml:space="preserve">Markdown contract templates</w:t>
      </w:r>
      <w:r>
        <w:t xml:space="preserve"> in the repo root provide four real contract templates (hotel cleaning, Airbnb/property management cleaning, office cleaning, and product supply agreements), each supporting 2–4 year terms. Polished `.docx` versions are generated alongside the source files.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`ServiceAgreementRegistry.sol`</w:t>
      </w:r>
      <w:r>
        <w:t xml:space="preserve"> is FreClean's one smart contract: a Celo registry that records the existence and payment-compliance status of these agreements. No token, no fund custody, no automated enforcement.</w:t>
      </w:r>
    </w:p>
    <w:p/>
    <w:p>
      <w:pPr>
        <w:pStyle w:val="Heading1"/>
        <w:spacing w:before="300" w:after="120"/>
      </w:pPr>
      <w:r>
        <w:t xml:space="preserve">Why this repo exists now</w:t>
      </w:r>
    </w:p>
    <w:p/>
    <w:p>
      <w:pPr>
        <w:spacing w:after="120"/>
      </w:pPr>
      <w:r>
        <w:t xml:space="preserve">FreClean's build standard is explicit that smart contracts are only added when a genuine technical requirement exists. </w:t>
      </w:r>
      <w:r>
        <w:rPr>
          <w:b/>
          <w:bCs/>
        </w:rPr>
        <w:t xml:space="preserve">Read `JUSTIFICATION.md` first</w:t>
      </w:r>
      <w:r>
        <w:t xml:space="preserve">. It lays out exactly what that requirement is: a tamper-evident, independently checkable payment-compliance record for multi-year B2B clients. It also explains what was deliberately left out: a token, escrow, and automated penalties.</w:t>
      </w:r>
    </w:p>
    <w:p/>
    <w:p>
      <w:pPr>
        <w:pStyle w:val="Heading1"/>
        <w:spacing w:before="300" w:after="120"/>
      </w:pPr>
      <w:r>
        <w:t xml:space="preserve">Legal templates</w:t>
      </w:r>
    </w:p>
    <w:p/>
    <w:p>
      <w:pPr>
        <w:spacing w:after="120"/>
      </w:pPr>
      <w:r>
        <w:t xml:space="preserve">| Template | Use case | Word doc |</w:t>
      </w:r>
    </w:p>
    <w:p>
      <w:pPr>
        <w:spacing w:after="120"/>
      </w:pPr>
      <w:r>
        <w:t xml:space="preserve">|---|---|---|</w:t>
      </w:r>
    </w:p>
    <w:p>
      <w:pPr>
        <w:spacing w:after="120"/>
      </w:pPr>
      <w:r>
        <w:t xml:space="preserve">| Hotel Cleaning Services Agreement | 2–4 year hotel room-turnover and common-area cleaning contracts | `hotel-cleaning-services-agreement.docx` |</w:t>
      </w:r>
    </w:p>
    <w:p>
      <w:pPr>
        <w:spacing w:after="120"/>
      </w:pPr>
      <w:r>
        <w:t xml:space="preserve">| Airbnb / Property Management Cleaning Agreement | Standing turnover-cleaning relationships with property owners/managers | `airbnb-property-management-agreement.docx` |</w:t>
      </w:r>
    </w:p>
    <w:p>
      <w:pPr>
        <w:spacing w:after="120"/>
      </w:pPr>
      <w:r>
        <w:t xml:space="preserve">| Office Cleaning Services Agreement | 2–4 year recurring office cleaning contracts | `office-cleaning-services-agreement.docx` |</w:t>
      </w:r>
    </w:p>
    <w:p>
      <w:pPr>
        <w:spacing w:after="120"/>
      </w:pPr>
      <w:r>
        <w:t xml:space="preserve">| Product Supply Agreement | Recurring wholesale product delivery to a business (retailer, distributor, or an Entrepreneur Program participant's registered business) | `product-supply-agreement.docx` |</w:t>
      </w:r>
    </w:p>
    <w:p/>
    <w:p>
      <w:pPr>
        <w:spacing w:after="120"/>
      </w:pPr>
      <w:r>
        <w:t xml:space="preserve">Every template is marked </w:t>
      </w:r>
      <w:r>
        <w:rPr>
          <w:b/>
          <w:bCs/>
        </w:rPr>
        <w:t xml:space="preserve">"requires legal review before use"</w:t>
      </w:r>
      <w:r>
        <w:t xml:space="preserve"> and leaves governing law, insurance specifics, and exact rates blank instead of inventing placeholder figures, consistent with FreClean's realism principle. Regenerate the Word versions after editing a template's markdown source:</w:t>
      </w:r>
    </w:p>
    <w:p/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npm install</w:t>
      </w:r>
    </w:p>
    <w:p>
      <w:pPr>
        <w:spacing w:after="120"/>
      </w:pPr>
      <w:r>
        <w:t xml:space="preserve">npm run gen:contracts-docx    # *.md → *.docx beside their markdown sources</w:t>
      </w:r>
    </w:p>
    <w:p>
      <w:pPr>
        <w:spacing w:after="120"/>
      </w:pPr>
      <w:r>
        <w:t xml:space="preserve">```</w:t>
      </w:r>
    </w:p>
    <w:p/>
    <w:p>
      <w:pPr>
        <w:pStyle w:val="Heading1"/>
        <w:spacing w:before="300" w:after="120"/>
      </w:pPr>
      <w:r>
        <w:t xml:space="preserve">Smart contract</w:t>
      </w:r>
    </w:p>
    <w:p/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npm install</w:t>
      </w:r>
    </w:p>
    <w:p>
      <w:pPr>
        <w:spacing w:after="120"/>
      </w:pPr>
      <w:r>
        <w:t xml:space="preserve">npm test              # Hardhat test suite</w:t>
      </w:r>
    </w:p>
    <w:p>
      <w:pPr>
        <w:spacing w:after="120"/>
      </w:pPr>
      <w:r>
        <w:t xml:space="preserve">npm run compile</w:t>
      </w:r>
    </w:p>
    <w:p>
      <w:pPr>
        <w:spacing w:after="120"/>
      </w:pPr>
      <w:r>
        <w:t xml:space="preserve">npm run deploy:alfajores   # testnet first; see DEPLOYMENT.md</w:t>
      </w:r>
    </w:p>
    <w:p>
      <w:pPr>
        <w:spacing w:after="120"/>
      </w:pPr>
      <w:r>
        <w:t xml:space="preserve">```</w:t>
      </w:r>
    </w:p>
    <w:p/>
    <w:p>
      <w:pPr>
        <w:spacing w:after="120"/>
      </w:pPr>
      <w:r>
        <w:t xml:space="preserve">`contracts/ServiceAgreementRegistry.sol` stores, per agreement: a hash of the signed document (never the document itself), the agreement type, term length, payment interval, and a status FreClean's backend updates as `freclean-payment` confirms or misses a payment. Fully tested; see `test/ServiceAgreementRegistry.test.js`, including an explicit test asserting the contract exposes no fund-custody function at all.</w:t>
      </w:r>
    </w:p>
    <w:p/>
    <w:p>
      <w:pPr>
        <w:pStyle w:val="Heading1"/>
        <w:spacing w:before="300" w:after="120"/>
      </w:pPr>
      <w:r>
        <w:t xml:space="preserve">Status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Legal templates: drafted, </w:t>
      </w:r>
      <w:r>
        <w:rPr>
          <w:b/>
          <w:bCs/>
        </w:rPr>
        <w:t xml:space="preserve">not yet reviewed by counsel</w:t>
      </w:r>
      <w:r>
        <w:t xml:space="preserve">. Do not send to a real client as final.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 contract: written and tested, </w:t>
      </w:r>
      <w:r>
        <w:rPr>
          <w:b/>
          <w:bCs/>
        </w:rPr>
        <w:t xml:space="preserve">not yet deployed anywhere</w:t>
      </w:r>
      <w:r>
        <w:t xml:space="preserve">. See `DEPLOYMENT.md` for the required staging sequence before any mainnet use.</w:t>
      </w:r>
    </w:p>
    <w:p/>
    <w:p>
      <w:pPr>
        <w:pStyle w:val="Heading1"/>
        <w:spacing w:before="300" w:after="120"/>
      </w:pPr>
      <w:r>
        <w:t xml:space="preserve">How this connects to the rest of the ecosystem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Payment confirmation that would be recorded on-chain comes from `freclean-payment`'s existing verification worker. This repo does not duplicate or reimplement that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Wholesale pricing referenced in the Product Supply Agreement template pulls from `freclean-entrepreneurship/docs/05-pricing-guidance.md` once finalized, not invented here.</w:t>
      </w:r>
    </w:p>
    <w:p/>
    <w:p>
      <w:pPr>
        <w:pStyle w:val="Heading1"/>
        <w:spacing w:before="300" w:after="120"/>
      </w:pPr>
      <w:r>
        <w:t xml:space="preserve">License</w:t>
      </w:r>
    </w:p>
    <w:p/>
    <w:p>
      <w:pPr>
        <w:spacing w:after="120"/>
      </w:pPr>
      <w:r>
        <w:t xml:space="preserve">Not provided.</w:t>
      </w:r>
    </w:p>
    <w:p/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FreClean · Léogâne, Ouest, Haiti, template pending legal review</w:t>
    </w:r>
    <w:r>
      <w:t xml:space="preserve">	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B9" w:sz="8" w:space="4"/>
      </w:pBdr>
    </w:pPr>
    <w:r>
      <w:rPr>
        <w:b/>
        <w:bCs/>
        <w:color w:val="084F80"/>
      </w:rPr>
      <w:t xml:space="preserve">FreClean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2026-08-18T15:29:03.988Z</dcterms:created>
  <dcterms:modified xsi:type="dcterms:W3CDTF">2026-08-18T15:29:03.988Z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