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2E5090"/>
          <w:sz w:val="56"/>
          <w:szCs w:val="56"/>
        </w:rPr>
        <w:t xml:space="preserve">AI Legal Intent Rewriter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32"/>
          <w:szCs w:val="32"/>
        </w:rPr>
        <w:t xml:space="preserve">Internal Planning Document</w:t>
      </w:r>
    </w:p>
    <w:p>
      <w:pPr>
        <w:spacing w:after="200"/>
        <w:jc w:val="center"/>
      </w:pPr>
      <w:r>
        <w:rPr>
          <w:color w:val="CCCCCC"/>
          <w:sz w:val="32"/>
          <w:szCs w:val="32"/>
        </w:rPr>
        <w:t xml:space="preserve">—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BTech CSE (AIML) – 8th Semester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Final Year Research Project – 4-Member Team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February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Project Idea</w:t>
      </w:r>
    </w:p>
    <w:p>
      <w:pPr>
        <w:pStyle w:val="Heading2"/>
      </w:pPr>
      <w:r>
        <w:t xml:space="preserve">1.1 The Problem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Legal documents — tenancy agreements, employment contracts, software terms of service, insurance policies — are written in dense, archaic language inaccessible to non-experts.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overwhelming majority of people do not read these documents, and those who try are often left confused by nested clauses, domain-specific jargon, and ambiguous phrasing.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This creates a genuine barrier to informed consent, leaving individuals exposed to unfavourable terms they never understood.</w:t>
      </w:r>
    </w:p>
    <w:p>
      <w:pPr>
        <w:pStyle w:val="Heading2"/>
      </w:pPr>
      <w:r>
        <w:t xml:space="preserve">1.2 Our Proposed Solution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multi-stage NLP pipeline — the AI Legal Intent Rewriter — that ingests legal documents, breaks them into individual clauses, classifies each clause by type, extracts key entities, rewrites complex clauses into plain language, and flags potentially risky terms.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Results are presented through a clean web-based dashboard where users upload documents and receive a structured, simplified breakdown.</w:t>
      </w:r>
    </w:p>
    <w:p>
      <w:pPr>
        <w:pStyle w:val="Heading2"/>
      </w:pPr>
      <w:r>
        <w:t xml:space="preserve">1.3 Why It Matters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Digital contracts are ubiquitous — people sign dozens of agreements each year, often on mobile devices, with no realistic opportunity to consult a solicitor.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Our system acts as an automated first-pass interpreter that highlights what users need to pay attention to.</w:t>
      </w:r>
    </w:p>
    <w:p>
      <w:pPr>
        <w:pStyle w:val="Heading2"/>
      </w:pPr>
      <w:r>
        <w:t xml:space="preserve">1.4 What Makes This Different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Most existing tools offer surface-level summarisation or keyword extraction.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Our pipeline goes further: it classifies the purpose of each clause, rewrites it in accessible language, and actively flags clauses that carry elevated risk (automatic renewal, liability waivers, penalty clauses).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This layered approach provides genuine understanding, not just a shorter version of text users still cannot interpret.</w:t>
      </w:r>
    </w:p>
    <w:p>
      <w:pPr>
        <w:pStyle w:val="Heading1"/>
      </w:pPr>
      <w:r>
        <w:t xml:space="preserve">2. Research Objectives</w:t>
      </w:r>
    </w:p>
    <w:p>
      <w:pPr>
        <w:spacing w:after="200"/>
      </w:pPr>
      <w:r>
        <w:t xml:space="preserve">The following objectives define the concrete technical goals our team will achieve, arranged in pipeline order: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Document Ingestion Module — </w:t>
      </w:r>
      <w:r>
        <w:t xml:space="preserve">Build a module that accepts PDF and plain-text legal documents, incorporates OCR (Tesseract) for scanned inputs, and produces clean text output for downstream processing.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Clause Segmentation — </w:t>
      </w:r>
      <w:r>
        <w:t xml:space="preserve">Develop a segmentation module that splits legal documents into individual clauses with at least 85% boundary-detection accuracy.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Clause Classification — </w:t>
      </w:r>
      <w:r>
        <w:t xml:space="preserve">Implement a transformer-based classifier to categorise clauses (liability, termination, payment, confidentiality, indemnification, etc.) with a target F1-score ≥ 0.80.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Named Entity Recognition — </w:t>
      </w:r>
      <w:r>
        <w:t xml:space="preserve">Train or fine-tune an NER model to extract dates, monetary amounts, party names, rights, and obligations with entity-level F1-score ≥ 0.75.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Intent Rewriting — </w:t>
      </w:r>
      <w:r>
        <w:t xml:space="preserve">Develop a seq2seq rewriting module that generates plain-language clause interpretations, evaluated via BLEU, ROUGE, and human readability scores.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Risk-Flagging System — </w:t>
      </w:r>
      <w:r>
        <w:t xml:space="preserve">Design a rule-based system that identifies and highlights critical or disadvantageous clauses using keyword matching, regex patterns, and heuristic scoring.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Web Dashboard — </w:t>
      </w:r>
      <w:r>
        <w:t xml:space="preserve">Build a responsive Next.js interface for document upload, clause-by-clause analysis viewing, and risk-flag exploration.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Systematic Evaluation — </w:t>
      </w:r>
      <w:r>
        <w:t xml:space="preserve">Validate all pipeline components using quantitative metrics and qualitative user feedback.</w:t>
      </w:r>
    </w:p>
    <w:p>
      <w:pPr>
        <w:pStyle w:val="Heading1"/>
      </w:pPr>
      <w:r>
        <w:t xml:space="preserve">3. Technology Stack</w:t>
      </w:r>
    </w:p>
    <w:p>
      <w:pPr>
        <w:spacing w:after="200"/>
      </w:pPr>
      <w:r>
        <w:t xml:space="preserve">All tools and technologies listed below are free and open-source. No paid services or commercial APIs are used.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13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13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Programming Languages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Core pipeline, model training, back-end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JavaScript / TypeScript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Front-end web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ML / NLP Frameworks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TensorFlow 2.x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Model training and inference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Hugging Face Transformers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Pre-trained models (BERT, T5, BART), tokenisers, training utilities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spaCy 3.x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NER, sentence segmentation, text 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Pre-trained Models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nlpaueb/legal-bert-base-uncased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Clause classification (domain-specific BERT)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bert-base-uncased / distilbert-base-uncased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Fallback classification and 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google/flan-t5-small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 simplification / rewriting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facebook/bart-base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Alternative seq2seq rewriting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en_core_web_trf / en_core_web_lg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spaCy NER base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OCR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Tesseract OCR (pytesseract)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 extraction from scanned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PDF Processing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PyMuPDF (fitz) / pdfplumber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Text extraction from digital PDFs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Front-end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Next.js 14+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React-based web application framework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Utility-first CSS styling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Type-safe front-end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Back-end API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FastAPI / Flask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REST API for pipeline orchestration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Persistent storage for documents and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Redis / MongoDB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Caching intermediate processing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Annotation Tools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doccano / Label Studio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Manual NER and classification annotation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Training Infrastructure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Google Colab / Kaggle (free tier)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Cloud GPU access for model training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Docker (optional)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Reproducible development environment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Source code management and collaboration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Methodology</w:t>
      </w:r>
    </w:p>
    <w:p>
      <w:pPr>
        <w:spacing w:after="200"/>
      </w:pPr>
      <w:r>
        <w:t xml:space="preserve">This section details the end-to-end pipeline architecture with sufficient technical depth to serve as a working reference for the lead developer.</w:t>
      </w:r>
    </w:p>
    <w:p>
      <w:pPr>
        <w:pStyle w:val="Heading2"/>
      </w:pPr>
      <w:r>
        <w:t xml:space="preserve">4.1 Pipeline Overview</w:t>
      </w:r>
    </w:p>
    <w:p>
      <w:pPr>
        <w:spacing w:after="200"/>
      </w:pPr>
      <w:r>
        <w:t xml:space="preserve">The system follows an eight-stage sequential pipeline:</w:t>
      </w:r>
    </w:p>
    <w:p>
      <w:pPr>
        <w:spacing w:after="100" w:before="200"/>
        <w:jc w:val="center"/>
      </w:pPr>
      <w:r>
        <w:drawing>
          <wp:inline distT="0" distB="0" distL="0" distR="0">
            <wp:extent cx="2095500" cy="4981575"/>
            <wp:effectExtent t="0" r="0" b="0" l="0"/>
            <wp:docPr id="1" name="End-to-end pipeline flowchart" descr="End-to-end pipeline flowchart" title="End-to-end pipeline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Figure 1: End-to-End Pipeline Architecture</w:t>
      </w:r>
    </w:p>
    <w:p>
      <w:pPr>
        <w:pStyle w:val="Heading2"/>
      </w:pPr>
      <w:r>
        <w:t xml:space="preserve">4.2 Document Ingestion and Preprocessing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Input formats: </w:t>
      </w:r>
      <w:r>
        <w:t xml:space="preserve">PDF (digital and scanned) and plain text.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Digital PDFs: </w:t>
      </w:r>
      <w:r>
        <w:t xml:space="preserve">PyMuPDF (fitz) or pdfplumber for text extraction with structural metadata.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Scanned PDFs: </w:t>
      </w:r>
      <w:r>
        <w:t xml:space="preserve">Tesseract OCR via pytesseract wrapper.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Preprocessing steps: </w:t>
      </w:r>
      <w:r>
        <w:t xml:space="preserve">whitespace normalisation, header/footer/page-number removal, OCR artefact cleaning.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Output: </w:t>
      </w:r>
      <w:r>
        <w:t xml:space="preserve">clean structured text ready for segmentation.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Resource impact: </w:t>
      </w:r>
      <w:r>
        <w:t xml:space="preserve">lightweight; runs on any standard laptop.</w:t>
      </w:r>
    </w:p>
    <w:p>
      <w:pPr>
        <w:pStyle w:val="Heading2"/>
      </w:pPr>
      <w:r>
        <w:t xml:space="preserve">4.3 Clause Segmentation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Approach: </w:t>
      </w:r>
      <w:r>
        <w:t xml:space="preserve">hybrid of rule-based heuristics and NLP sentence detection.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Rule-based layer: </w:t>
      </w:r>
      <w:r>
        <w:t xml:space="preserve">regex patterns targeting numbered sections, lettered sub-clauses, paragraph breaks, and indentation patterns.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NLP layer: </w:t>
      </w:r>
      <w:r>
        <w:t xml:space="preserve">spaCy’s sentenciser as a foundation, augmented with custom legal-formatting rules.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Fallback: </w:t>
      </w:r>
      <w:r>
        <w:t xml:space="preserve">sliding-window approach for irregularly structured documents, identifying boundaries based on content transitions.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Target: </w:t>
      </w:r>
      <w:r>
        <w:t xml:space="preserve">≥ 85% boundary-detection accuracy on manually annotated test documents.</w:t>
      </w:r>
    </w:p>
    <w:p>
      <w:pPr>
        <w:pStyle w:val="Heading2"/>
      </w:pPr>
      <w:r>
        <w:t xml:space="preserve">4.4 Clause Classification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Task: </w:t>
      </w:r>
      <w:r>
        <w:t xml:space="preserve">classify each clause into predefined categories (liability, termination, payment, confidentiality, indemnification, etc.).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Primary model: </w:t>
      </w:r>
      <w:r>
        <w:t xml:space="preserve">nlpaueb/legal-bert-base-uncased with a linear classification head on the [CLS] token.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Fallback model: </w:t>
      </w:r>
      <w:r>
        <w:t xml:space="preserve">distilbert-base-uncased (40% fewer parameters) or TF-IDF + SVM baseline.</w:t>
      </w:r>
    </w:p>
    <w:p>
      <w:pPr>
        <w:spacing w:after="200"/>
      </w:pPr>
      <w:r>
        <w:t xml:space="preserve">Fine-tuning parameters: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Optimiser: </w:t>
      </w:r>
      <w:r>
        <w:t xml:space="preserve">AdamW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Learning rate: </w:t>
      </w:r>
      <w:r>
        <w:t xml:space="preserve">2e-5 to 5e-5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Batch size: </w:t>
      </w:r>
      <w:r>
        <w:t xml:space="preserve">8–16 (with gradient accumulation if GPU memory limited)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Epochs: </w:t>
      </w:r>
      <w:r>
        <w:t xml:space="preserve">3–5 with early stopping on validation loss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Sequence length: </w:t>
      </w:r>
      <w:r>
        <w:t xml:space="preserve">512 tokens (post-segmentation clauses are typically within this limit; sliding-window with majority voting for longer clauses)</w:t>
      </w:r>
    </w:p>
    <w:p>
      <w:pPr>
        <w:spacing w:after="200"/>
      </w:pPr>
      <w:r>
        <w:t xml:space="preserve">Handling class imbalance: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Stratified sampling during train/validation splits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Class-weighted cross-entropy loss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Optional oversampling via random duplication or paraphrase augmentation</w:t>
      </w:r>
    </w:p>
    <w:p>
      <w:pPr>
        <w:spacing w:after="200"/>
      </w:pPr>
      <w:r>
        <w:t xml:space="preserve">Evaluation: accuracy, macro-averaged precision, recall, and F1-score.</w:t>
      </w:r>
    </w:p>
    <w:p>
      <w:pPr>
        <w:pStyle w:val="Heading2"/>
      </w:pPr>
      <w:r>
        <w:t xml:space="preserve">4.5 Named Entity Recognition (NER)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Entity types: </w:t>
      </w:r>
      <w:r>
        <w:t xml:space="preserve">DATE, AMOUNT, PARTY, RIGHT, OBLIGATION, CONDITION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Tag scheme: </w:t>
      </w:r>
      <w:r>
        <w:t xml:space="preserve">BIO (Beginning, Inside, Outside)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Primary approach: </w:t>
      </w:r>
      <w:r>
        <w:t xml:space="preserve">adapt spaCy’s pre-trained pipeline (en_core_web_trf / en_core_web_lg) by adding custom entity types via the entity ruler and updating with annotated legal examples.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Alternative: </w:t>
      </w:r>
      <w:r>
        <w:t xml:space="preserve">fine-tune Legal-BERT with a token classification head via Hugging Face (AdamW, LR 2e-5–5e-5, batch 8–16, 5–10 epochs).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Annotation: </w:t>
      </w:r>
      <w:r>
        <w:t xml:space="preserve">300–500 clauses annotated using doccano or Label Studio.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Evaluation: </w:t>
      </w:r>
      <w:r>
        <w:t xml:space="preserve">entity-level F1-score (strict match), target ≥ 0.75.</w:t>
      </w:r>
    </w:p>
    <w:p>
      <w:pPr>
        <w:pStyle w:val="Heading2"/>
      </w:pPr>
      <w:r>
        <w:t xml:space="preserve">4.6 Intent Rewriting Module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Task: </w:t>
      </w:r>
      <w:r>
        <w:t xml:space="preserve">generate simplified, plain-language interpretations of legal clauses that preserve the original intent.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Architecture: </w:t>
      </w:r>
      <w:r>
        <w:t xml:space="preserve">sequence-to-sequence (encoder–decoder).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Primary model: </w:t>
      </w:r>
      <w:r>
        <w:t xml:space="preserve">google/flan-t5-small (~80M parameters) — instruction-tuned, compact, laptop-friendly.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Alternative: </w:t>
      </w:r>
      <w:r>
        <w:t xml:space="preserve">facebook/bart-base if T5 presents compatibility issues.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Conditioning method: </w:t>
      </w:r>
      <w:r>
        <w:t xml:space="preserve">prefix-based instruction tuning — inputs formatted as “Simplify this legal clause: [clause text]”.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Fallback: </w:t>
      </w:r>
      <w:r>
        <w:t xml:space="preserve">template-based rewriting using clause category + extracted NER entities in predefined sentence structures.</w:t>
      </w:r>
    </w:p>
    <w:p>
      <w:pPr>
        <w:spacing w:after="200"/>
      </w:pPr>
      <w:r>
        <w:t xml:space="preserve">Fine-tuning parameters (FLAN-T5-small):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Optimiser: </w:t>
      </w:r>
      <w:r>
        <w:t xml:space="preserve">AdamW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Learning rate: </w:t>
      </w:r>
      <w:r>
        <w:t xml:space="preserve">1e-4 to 3e-4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Batch size: </w:t>
      </w:r>
      <w:r>
        <w:t xml:space="preserve">4–8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Max input length: </w:t>
      </w:r>
      <w:r>
        <w:t xml:space="preserve">512 tokens; max output length: 256 tokens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Epochs: </w:t>
      </w:r>
      <w:r>
        <w:t xml:space="preserve">5–10 with teacher forcing and label smoothing (0.1)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Training infra: </w:t>
      </w:r>
      <w:r>
        <w:t xml:space="preserve">Google Colab / Kaggle free-tier GPUs if local resources insufficient</w:t>
      </w:r>
    </w:p>
    <w:p>
      <w:pPr>
        <w:spacing w:after="200"/>
      </w:pPr>
      <w:r>
        <w:t xml:space="preserve">Evaluation: BLEU, ROUGE-L (automated); human readability scoring on a 1–5 Likert scale (clarity, completeness, faithfulness) by 3–5 evaluators.</w:t>
      </w:r>
    </w:p>
    <w:p>
      <w:pPr>
        <w:pStyle w:val="Heading2"/>
      </w:pPr>
      <w:r>
        <w:t xml:space="preserve">4.7 Risk-Flagging Module</w:t>
      </w:r>
    </w:p>
    <w:p>
      <w:pPr>
        <w:spacing w:after="200"/>
      </w:pPr>
      <w:r>
        <w:t xml:space="preserve">This module uses a deterministic, rule-based approach for transparency and interpretability:</w:t>
      </w:r>
    </w:p>
    <w:p>
      <w:pPr>
        <w:spacing w:after="100" w:before="200"/>
        <w:jc w:val="center"/>
      </w:pPr>
      <w:r>
        <w:drawing>
          <wp:inline distT="0" distB="0" distL="0" distR="0">
            <wp:extent cx="2190750" cy="3962400"/>
            <wp:effectExtent t="0" r="0" b="0" l="0"/>
            <wp:docPr id="1" name="Risk flagging logic flowchart" descr="Risk flagging logic flowchart" title="Risk flagging logic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Figure 2: Risk-Flagging Logic Flow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Layer 1 — Keyword matching: </w:t>
      </w:r>
      <w:r>
        <w:t xml:space="preserve">curated dictionary of risk terms (e.g., “irrevocable”, “sole discretion”, “automatic renewal”, “waive any right”, “liquidated damages”, “non-refundable”).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Layer 2 — Regex patterns: </w:t>
      </w:r>
      <w:r>
        <w:t xml:space="preserve">structural risk indicators such as unusually short notice periods, uncapped liability, one-sided termination rights.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Layer 3 — Heuristic scoring: </w:t>
      </w:r>
      <w:r>
        <w:t xml:space="preserve">combines keyword density, clause category (from classifier), and entity values (from NER) to assign risk levels (low, medium, high).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Example: </w:t>
      </w:r>
      <w:r>
        <w:t xml:space="preserve">a termination clause with notice &lt; 7 days + “without cause” = high risk.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Iteration: </w:t>
      </w:r>
      <w:r>
        <w:t xml:space="preserve">keyword dictionary and patterns expanded iteratively based on testing against real documents.</w:t>
      </w:r>
    </w:p>
    <w:p>
      <w:pPr>
        <w:pStyle w:val="Heading2"/>
      </w:pPr>
      <w:r>
        <w:t xml:space="preserve">4.8 Model Selection Decision Framework</w:t>
      </w:r>
    </w:p>
    <w:p>
      <w:pPr>
        <w:spacing w:after="200"/>
      </w:pPr>
      <w:r>
        <w:t xml:space="preserve">The team will decide between fine-tuning and lighter alternatives during development. The following decision flow guides the choice:</w:t>
      </w:r>
    </w:p>
    <w:p>
      <w:pPr>
        <w:spacing w:after="100" w:before="200"/>
        <w:jc w:val="center"/>
      </w:pPr>
      <w:r>
        <w:drawing>
          <wp:inline distT="0" distB="0" distL="0" distR="0">
            <wp:extent cx="3048000" cy="4476750"/>
            <wp:effectExtent t="0" r="0" b="0" l="0"/>
            <wp:docPr id="1" name="Model decision flowchart" descr="Model decision flowchart" title="Model decision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Figure 3: Model Selection Decision Framework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Path A — Fine-tuning: </w:t>
      </w:r>
      <w:r>
        <w:t xml:space="preserve">preferred when GPU access (local or Colab/Kaggle) is available and models converge within acceptable 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Path B — Smaller variants: </w:t>
      </w:r>
      <w:r>
        <w:t xml:space="preserve">DistilBERT for classification/NER; FLAN-T5-small remains compact for rewriting.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Path C — Traditional ML: </w:t>
      </w:r>
      <w:r>
        <w:t xml:space="preserve">TF-IDF + SVM/logistic regression for classification; template-based rewriting. Used only if neural approaches prove infeasible.</w:t>
      </w:r>
    </w:p>
    <w:p>
      <w:pPr>
        <w:pStyle w:val="Heading2"/>
      </w:pPr>
      <w:r>
        <w:t xml:space="preserve">4.9 Web-Based Dashboard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Front-end: </w:t>
      </w:r>
      <w:r>
        <w:t xml:space="preserve">Next.js + TypeScript + Tailwind CSS.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Features: </w:t>
      </w:r>
      <w:r>
        <w:t xml:space="preserve">drag-and-drop upload (with file type validation), processing status indicator, clause-by-clause results view.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Results display: </w:t>
      </w:r>
      <w:r>
        <w:t xml:space="preserve">colour-coded risk flags, clause category labels, extracted entities, simplified rewrite alongside original text (side-by-side or accordion layout).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Back-end: </w:t>
      </w:r>
      <w:r>
        <w:t xml:space="preserve">Python (FastAPI or Flask) exposing REST endpoints for upload, processing status, and results retrieval.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Storage: </w:t>
      </w:r>
      <w:r>
        <w:t xml:space="preserve">PostgreSQL for documents and clause data; Redis/MongoDB for caching.</w:t>
      </w:r>
    </w:p>
    <w:p>
      <w:pPr>
        <w:pStyle w:val="Heading2"/>
      </w:pPr>
      <w:r>
        <w:t xml:space="preserve">4.10 Evaluation Strategy</w:t>
      </w:r>
    </w:p>
    <w:p>
      <w:pPr>
        <w:spacing w:after="200"/>
      </w:pPr>
      <w:r>
        <w:t xml:space="preserve">Component-level metrics: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Classification &amp; NER: </w:t>
      </w:r>
      <w:r>
        <w:t xml:space="preserve">accuracy, precision, recall, F1-score on held-out test sets.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Rewriting: </w:t>
      </w:r>
      <w:r>
        <w:t xml:space="preserve">BLEU, ROUGE-L (automated) + human readability scoring (1–5 Likert).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Risk flagging: </w:t>
      </w:r>
      <w:r>
        <w:t xml:space="preserve">precision and recall against manually annotated risky clauses.</w:t>
      </w:r>
    </w:p>
    <w:p>
      <w:pPr>
        <w:spacing w:after="200"/>
      </w:pPr>
      <w:r>
        <w:t xml:space="preserve">System-level evaluation: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End-to-end testing with real legal documents across multiple types.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Small user study: participants interact with the dashboard and provide structured feedback on usability, clarity, and trust.</w:t>
      </w:r>
    </w:p>
    <w:p>
      <w:pPr>
        <w:pStyle w:val="Heading1"/>
      </w:pPr>
      <w:r>
        <w:t xml:space="preserve">5. Implementation Plan</w:t>
      </w:r>
    </w:p>
    <w:p>
      <w:pPr>
        <w:spacing w:after="200"/>
      </w:pPr>
      <w:r>
        <w:t xml:space="preserve">Development is structured across five phases over 16–18 weeks:</w:t>
      </w:r>
    </w:p>
    <w:p>
      <w:pPr>
        <w:spacing w:after="100" w:before="200"/>
        <w:jc w:val="center"/>
      </w:pPr>
      <w:r>
        <w:drawing>
          <wp:inline distT="0" distB="0" distL="0" distR="0">
            <wp:extent cx="4953000" cy="619125"/>
            <wp:effectExtent t="0" r="0" b="0" l="0"/>
            <wp:docPr id="1" name="Implementation timeline" descr="Implementation timeline" title="Implementation 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iCs/>
          <w:color w:val="666666"/>
          <w:sz w:val="18"/>
          <w:szCs w:val="18"/>
        </w:rPr>
        <w:t xml:space="preserve">Figure 4: Phase Timeline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426"/>
        <w:gridCol w:w="2400"/>
      </w:tblGrid>
      <w:tr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42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Tasks &amp; Deliverables</w:t>
            </w:r>
          </w:p>
        </w:tc>
        <w:tc>
          <w:tcPr>
            <w:tcW w:type="dxa" w:w="2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Team Responsibility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Weeks 1–3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Literature review (legal NLP, text simplification, clause classification)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Dataset identification and collection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Environment setup (Python, TensorFlow, HF, spaCy, Tesseract, PostgreSQL)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Initial data exploration and quality assessment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Deliverables: Annotated bibliography, raw datasets, configured environments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Lead dev: environment setup, model research, code scaffolding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Team: literature review, dataset sourcing, annotation tool setup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Weeks 4–6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Data preprocessing and cleaning pipeline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Clause segmentation module development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Baseline model experiments (TF-IDF + SVM)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First fine-tuning runs and benchmark establishment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Deliverables: Working segmentation module, preprocessed data, baseline benchmarks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Lead dev: segmentation module, baseline experiments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Team: data preprocessing, annotation, front-end scaffolding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Weeks 7–11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Classification model training (Legal-BERT / DistilBERT)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NER model adaptation (spaCy / BERT token classifier)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Rewriting module fine-tuning (FLAN-T5-small)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Hyperparameter tuning, data augmentation, error analysis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Deliverables: Trained models, training logs, performance 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Lead dev: all model training, fine-tuning, experimentation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Team: continued annotation, data augmentation, front-end components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Weeks 12–15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Pipeline integration (all modules end-to-end)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Risk-flagging module implementation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Full front-end + back-end integration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End-to-end testing and optimisation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Deliverables: Integrated pipeline, working dashboard, test results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Lead dev: pipeline integration, API, risk-flagging logic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Team: front-end completion, testing, user feedback collection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Weeks 16–18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Systematic evaluation (metrics + user study)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Final bug fixes and polish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Documentation (technical report, user guide, code docs)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• Final presentation preparation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Deliverables: Evaluation report, documentation, presentation, deployable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Lead dev: final optimisations, code documentation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Team: evaluation execution, documentation, presentation design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Expected Outcomes</w:t>
      </w:r>
    </w:p>
    <w:p>
      <w:pPr>
        <w:pStyle w:val="Heading2"/>
      </w:pPr>
      <w:r>
        <w:t xml:space="preserve">6.1 Tangible Deliverables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Working end-to-end NLP pipeline </w:t>
      </w:r>
      <w:r>
        <w:t xml:space="preserve">that ingests legal documents and produces clause-level analysis (classification, entity extraction, simplified rewrites, risk flags).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Trained / fine-tuned models </w:t>
      </w:r>
      <w:r>
        <w:t xml:space="preserve">for clause classification, NER, and text simplification, with documented performance benchmarks.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Responsive web dashboard </w:t>
      </w:r>
      <w:r>
        <w:t xml:space="preserve">providing an intuitive interface for document upload, analysis viewing, and risk-flag exploration.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Comprehensive project documentation: </w:t>
      </w:r>
      <w:r>
        <w:t xml:space="preserve">technical report, codebase documentation, and user guide.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Evaluation report </w:t>
      </w:r>
      <w:r>
        <w:t xml:space="preserve">presenting quantitative metrics and qualitative user feedback.</w:t>
      </w:r>
    </w:p>
    <w:p>
      <w:pPr>
        <w:pStyle w:val="Heading2"/>
      </w:pPr>
      <w:r>
        <w:t xml:space="preserve">6.2 Definition of Success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user with no legal training can upload a rental agreement, employment contract, or ToS and receive a clear, clause-by-clause explanation with risky terms prominently highlighted.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system does not replace legal advice but empowers users to ask better questions and make more informed decisions.</w:t>
      </w:r>
    </w:p>
    <w:p>
      <w:pPr>
        <w:pStyle w:val="Heading2"/>
      </w:pPr>
      <w:r>
        <w:t xml:space="preserve">6.3 Broader Impact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Democratises access to legal comprehension for individuals and small businesses who cannot afford routine legal consultation.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Contributes to more equitable participation in contractual relationships.</w:t>
      </w:r>
    </w:p>
    <w:p>
      <w:pPr>
        <w:pStyle w:val="Heading2"/>
      </w:pPr>
      <w:r>
        <w:t xml:space="preserve">6.4 Future Scope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Multilingual support: </w:t>
      </w:r>
      <w:r>
        <w:t xml:space="preserve">starting with Hindi and other widely spoken Indian languages.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Mobile application: </w:t>
      </w:r>
      <w:r>
        <w:t xml:space="preserve">on-the-go document analysis.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Domain adaptation: </w:t>
      </w:r>
      <w:r>
        <w:t xml:space="preserve">medical consent forms, financial disclosures, government regulatory documents.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Feedback loop: </w:t>
      </w:r>
      <w:r>
        <w:t xml:space="preserve">user corrections improve model performance over time.</w:t>
      </w:r>
    </w:p>
    <w:p>
      <w:pPr>
        <w:pStyle w:val="Heading1"/>
      </w:pPr>
      <w:r>
        <w:t xml:space="preserve">7. Key Risks and Mitigations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6013"/>
      </w:tblGrid>
      <w:tr>
        <w:tc>
          <w:tcPr>
            <w:tcW w:type="dxa" w:w="3013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013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Limited GPU access for model training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 free-tier cloud GPUs (Google Colab, Kaggle). Prefer smaller models (DistilBERT, FLAN-T5-small). Gradient accumulation for larger effective batch sizes. Fall back to non-neural baselines if needed.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Legal text complexity and variability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Focus on common document types during development (rental, employment, ToS). Use domain-specific pre-trained models (Legal-BERT) for stronger out-of-the-box performance.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Class imbalance in training datasets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Stratified sampling, class-weighted loss functions, and data augmentation (paraphrase generation, synonym replacement) to balance training distribution.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Insufficient annotated training data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Supplement public datasets with team-annotated examples. Use active learning to prioritise annotation of the most informative samples. Start with a smaller label set and expand incrementally.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Time constraints (16–18 week timeline)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Strict phase discipline with weekly check-ins. Define a minimum viable product (MVP) scope and treat additional features as stretch goals.</w:t>
            </w:r>
          </w:p>
        </w:tc>
      </w:tr>
      <w:tr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Integration complexity across pipeline stages</w:t>
            </w:r>
          </w:p>
        </w:tc>
        <w:tc>
          <w:tcPr>
            <w:tcW w:type="dxa" w:w="6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Define clear input/output contracts between modules from the outset. Standardised JSON data formats for inter-module communication. Begin integration testing early in Phase 4.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8. References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Devlin, J., Chang, M.-W., Lee, K. and Toutanova, K. (2019) ‘BERT: Pre-training of Deep Bidirectional Transformers for Language Understanding’, </w:t>
      </w:r>
      <w:r>
        <w:rPr>
          <w:i/>
          <w:iCs/>
        </w:rPr>
        <w:t xml:space="preserve">Proceedings of NAACL-HLT 2019</w:t>
      </w:r>
      <w:r>
        <w:t xml:space="preserve">, pp. 4171–4186.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Chalkidis, I., Fergadiotis, M., Malakasiotis, P., Aletras, N. and Androutsopoulos, I. (2020) ‘LEGAL-BERT: The Muppets Straight Out of Law School’, </w:t>
      </w:r>
      <w:r>
        <w:rPr>
          <w:i/>
          <w:iCs/>
        </w:rPr>
        <w:t xml:space="preserve">Findings of EMNLP 2020</w:t>
      </w:r>
      <w:r>
        <w:t xml:space="preserve">, pp. 2898–2904.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Raffel, C., Shazeer, N., Roberts, A. et al. (2020) ‘Exploring the Limits of Transfer Learning with a Unified Text-to-Text Transformer’, </w:t>
      </w:r>
      <w:r>
        <w:rPr>
          <w:i/>
          <w:iCs/>
        </w:rPr>
        <w:t xml:space="preserve">Journal of Machine Learning Research</w:t>
      </w:r>
      <w:r>
        <w:t xml:space="preserve">, 21(140), pp. 1–67.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Chung, H.W., Hou, L., Longpre, S. et al. (2022) ‘Scaling Instruction-Finetuned Language Models’, </w:t>
      </w:r>
      <w:r>
        <w:rPr>
          <w:i/>
          <w:iCs/>
        </w:rPr>
        <w:t xml:space="preserve">arXiv preprint arXiv:2210.11416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Lewis, M., Liu, Y., Goyal, N. et al. (2020) ‘BART: Denoising Sequence-to-Sequence Pre-training for Natural Language Generation, Translation, and Comprehension’, </w:t>
      </w:r>
      <w:r>
        <w:rPr>
          <w:i/>
          <w:iCs/>
        </w:rPr>
        <w:t xml:space="preserve">Proceedings of ACL 2020</w:t>
      </w:r>
      <w:r>
        <w:t xml:space="preserve">, pp. 7871–7880.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Sanh, V., Debut, L., Chaumond, J. and Wolf, T. (2019) ‘DistilBERT, a Distilled Version of BERT: Smaller, Faster, Cheaper and Lighter’, </w:t>
      </w:r>
      <w:r>
        <w:rPr>
          <w:i/>
          <w:iCs/>
        </w:rPr>
        <w:t xml:space="preserve">arXiv preprint arXiv:1910.01108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Honnibal, M. and Montani, I. (2017) ‘spaCy 2: Natural Language Understanding with Bloom Embeddings, Convolutional Neural Networks and Incremental Parsing’. Available at: </w:t>
      </w:r>
      <w:r>
        <w:rPr>
          <w:i/>
          <w:iCs/>
        </w:rPr>
        <w:t xml:space="preserve">https://spacy.io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Smith, R. (2007) ‘An Overview of the Tesseract OCR Engine’, </w:t>
      </w:r>
      <w:r>
        <w:rPr>
          <w:i/>
          <w:iCs/>
        </w:rPr>
        <w:t xml:space="preserve">Proceedings of the 9th International Conference on Document Analysis and Recognition</w:t>
      </w:r>
      <w:r>
        <w:t xml:space="preserve">, pp. 629–633.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Wolf, T., Debut, L., Sanh, V. et al. (2020) ‘Transformers: State-of-the-Art Natural Language Processing’, </w:t>
      </w:r>
      <w:r>
        <w:rPr>
          <w:i/>
          <w:iCs/>
        </w:rPr>
        <w:t xml:space="preserve">Proceedings of EMNLP 2020: System Demonstrations</w:t>
      </w:r>
      <w:r>
        <w:t xml:space="preserve">, pp. 38–45.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Loshchilov, I. and Hutter, F. (2019) ‘Decoupled Weight Decay Regularization’, </w:t>
      </w:r>
      <w:r>
        <w:rPr>
          <w:i/>
          <w:iCs/>
        </w:rPr>
        <w:t xml:space="preserve">Proceedings of ICLR 2019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Papineni, K., Roukos, S., Ward, T. and Zhu, W.-J. (2002) ‘BLEU: A Method for Automatic Evaluation of Machine Translation’, </w:t>
      </w:r>
      <w:r>
        <w:rPr>
          <w:i/>
          <w:iCs/>
        </w:rPr>
        <w:t xml:space="preserve">Proceedings of ACL 2002</w:t>
      </w:r>
      <w:r>
        <w:t xml:space="preserve">, pp. 311–318.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Lin, C.-Y. (2004) ‘ROUGE: A Package for Automatic Evaluation of Summaries’, </w:t>
      </w:r>
      <w:r>
        <w:rPr>
          <w:i/>
          <w:iCs/>
        </w:rPr>
        <w:t xml:space="preserve">Text Summarization Branches Out</w:t>
      </w:r>
      <w:r>
        <w:t xml:space="preserve">, pp. 74–81.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Hendrycks, D., Burns, C., Chen, A. and Ball, S. (2021) ‘CUAD: An Expert-Annotated NLP Dataset for Legal Contract Review’, </w:t>
      </w:r>
      <w:r>
        <w:rPr>
          <w:i/>
          <w:iCs/>
        </w:rPr>
        <w:t xml:space="preserve">Proceedings of NeurIPS 2021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Manor, L. and Li, J.J. (2019) ‘Plain English Summarization of Contracts’, </w:t>
      </w:r>
      <w:r>
        <w:rPr>
          <w:i/>
          <w:iCs/>
        </w:rPr>
        <w:t xml:space="preserve">Proceedings of the Natural Legal Language Processing Workshop 2019</w:t>
      </w:r>
      <w:r>
        <w:t xml:space="preserve">, pp. 1–11.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Abadi, M. et al. (2015) ‘TensorFlow: Large-Scale Machine Learning on Heterogeneous Systems’. Available at: </w:t>
      </w:r>
      <w:r>
        <w:rPr>
          <w:i/>
          <w:iCs/>
        </w:rPr>
        <w:t xml:space="preserve">https://www.tensorflow.org</w:t>
      </w:r>
      <w:r>
        <w:t xml:space="preserve">.</w:t>
      </w:r>
    </w:p>
    <w:p>
      <w:pPr>
        <w:spacing w:after="400"/>
      </w:pPr>
    </w:p>
    <w:p>
      <w:pPr>
        <w:spacing w:before="200"/>
        <w:jc w:val="center"/>
      </w:pPr>
      <w:r>
        <w:rPr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AI Legal Intent Rewriter</w:t>
    </w:r>
    <w:r>
      <w:rPr>
        <w:i/>
        <w:iCs/>
        <w:color w:val="999999"/>
        <w:sz w:val="18"/>
        <w:szCs w:val="18"/>
      </w:rPr>
      <w:t xml:space="preserve">	Internal Planning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3B6C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cd8a3783df42b34f40b55ffc70de662e024be38.png"/><Relationship Id="rId10" Type="http://schemas.openxmlformats.org/officeDocument/2006/relationships/image" Target="media/8b0102f4ea6d9755b13d6682dbf7ff44b4602bad.png"/><Relationship Id="rId11" Type="http://schemas.openxmlformats.org/officeDocument/2006/relationships/image" Target="media/f555f84ab16b1e84fb271b5f9aa845e7a7d6c74d.png"/><Relationship Id="rId12" Type="http://schemas.openxmlformats.org/officeDocument/2006/relationships/image" Target="media/fc6805611d9315c2099ebe821f747993745dc8f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2026-02-24T06:38:48.597Z</dcterms:created>
  <dcterms:modified xsi:type="dcterms:W3CDTF">2026-02-24T06:38:48.597Z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