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022FC" w14:textId="00C9F4E2" w:rsidR="00665E83" w:rsidRDefault="0074239B">
      <w:pPr>
        <w:spacing w:after="160" w:line="259" w:lineRule="auto"/>
        <w:rPr>
          <w:rFonts w:ascii="Arial" w:hAnsi="Arial" w:cs="Arial"/>
          <w:b/>
          <w:color w:val="000000" w:themeColor="text1"/>
          <w:sz w:val="36"/>
          <w:szCs w:val="36"/>
          <w:lang w:val="en-GB"/>
        </w:rPr>
      </w:pPr>
      <w:bookmarkStart w:id="0" w:name="_GoBack"/>
      <w:bookmarkEnd w:id="0"/>
      <w:r w:rsidRPr="0074239B">
        <w:rPr>
          <w:rStyle w:val="Overskrift1Tegn"/>
          <w:lang w:val="en-GB"/>
        </w:rPr>
        <w:t>GSR</w:t>
      </w:r>
    </w:p>
    <w:p w14:paraId="7EB2F007" w14:textId="1E9C4999" w:rsidR="001078C3" w:rsidRPr="009A6A11" w:rsidRDefault="006F034F" w:rsidP="001078C3">
      <w:pPr>
        <w:pStyle w:val="Overskrift1"/>
        <w:rPr>
          <w:lang w:val="en-GB"/>
        </w:rPr>
      </w:pPr>
      <w:bookmarkStart w:id="1" w:name="_Toc20330527"/>
      <w:r w:rsidRPr="009A6A11">
        <w:rPr>
          <w:lang w:val="en-GB"/>
        </w:rPr>
        <w:t>Introduction</w:t>
      </w:r>
      <w:bookmarkEnd w:id="1"/>
    </w:p>
    <w:p w14:paraId="3B7E968F" w14:textId="61CC80BE" w:rsidR="006F034F" w:rsidRDefault="00AF65C8" w:rsidP="2843C295">
      <w:pPr>
        <w:rPr>
          <w:lang w:val="en-GB"/>
        </w:rPr>
      </w:pPr>
      <w:r>
        <w:rPr>
          <w:lang w:val="en-GB"/>
        </w:rPr>
        <w:t>T</w:t>
      </w:r>
      <w:r w:rsidR="2843C295" w:rsidRPr="2843C295">
        <w:rPr>
          <w:lang w:val="en-GB"/>
        </w:rPr>
        <w:t>his paper examine</w:t>
      </w:r>
      <w:r>
        <w:rPr>
          <w:lang w:val="en-GB"/>
        </w:rPr>
        <w:t>s</w:t>
      </w:r>
      <w:r w:rsidR="2843C295" w:rsidRPr="2843C295">
        <w:rPr>
          <w:lang w:val="en-GB"/>
        </w:rPr>
        <w:t xml:space="preserve"> the skin conductance responses </w:t>
      </w:r>
      <w:r w:rsidR="45F3BB45" w:rsidRPr="45F3BB45">
        <w:rPr>
          <w:lang w:val="en-GB"/>
        </w:rPr>
        <w:t>to</w:t>
      </w:r>
      <w:r w:rsidR="2843C295" w:rsidRPr="2843C295">
        <w:rPr>
          <w:lang w:val="en-GB"/>
        </w:rPr>
        <w:t xml:space="preserve"> different words (</w:t>
      </w:r>
      <w:r w:rsidR="1E24A5A8" w:rsidRPr="1E24A5A8">
        <w:rPr>
          <w:lang w:val="en-GB"/>
        </w:rPr>
        <w:t xml:space="preserve">categorized as </w:t>
      </w:r>
      <w:r w:rsidR="501C393C" w:rsidRPr="501C393C">
        <w:rPr>
          <w:lang w:val="en-GB"/>
        </w:rPr>
        <w:t xml:space="preserve">either </w:t>
      </w:r>
      <w:r w:rsidR="2843C295" w:rsidRPr="2843C295">
        <w:rPr>
          <w:lang w:val="en-GB"/>
        </w:rPr>
        <w:t>neutral, emotional or sexual), also referred to as galvanic skin response (GSR</w:t>
      </w:r>
      <w:r w:rsidR="6413471C" w:rsidRPr="6413471C">
        <w:rPr>
          <w:lang w:val="en-GB"/>
        </w:rPr>
        <w:t>) (Critchley, 2002</w:t>
      </w:r>
      <w:r w:rsidR="2843C295" w:rsidRPr="2843C295">
        <w:rPr>
          <w:lang w:val="en-GB"/>
        </w:rPr>
        <w:t>).</w:t>
      </w:r>
    </w:p>
    <w:p w14:paraId="536336E2" w14:textId="24EC0B52" w:rsidR="2843C295" w:rsidRDefault="2843C295" w:rsidP="00DB1134">
      <w:pPr>
        <w:ind w:firstLine="567"/>
        <w:rPr>
          <w:lang w:val="en-GB"/>
        </w:rPr>
      </w:pPr>
      <w:r w:rsidRPr="2843C295">
        <w:rPr>
          <w:lang w:val="en-GB"/>
        </w:rPr>
        <w:t>Emotions can be examined physiological</w:t>
      </w:r>
      <w:r w:rsidR="009B5116">
        <w:rPr>
          <w:lang w:val="en-GB"/>
        </w:rPr>
        <w:t>ly</w:t>
      </w:r>
      <w:r w:rsidRPr="2843C295">
        <w:rPr>
          <w:lang w:val="en-GB"/>
        </w:rPr>
        <w:t xml:space="preserve"> because they are closely linked to sympathetic </w:t>
      </w:r>
      <w:r w:rsidR="00A041DF">
        <w:rPr>
          <w:lang w:val="en-GB"/>
        </w:rPr>
        <w:t xml:space="preserve">nervous </w:t>
      </w:r>
      <w:r w:rsidRPr="2843C295">
        <w:rPr>
          <w:lang w:val="en-GB"/>
        </w:rPr>
        <w:t>activity (Purves et al., 2013). When sympathetic drive increases</w:t>
      </w:r>
      <w:r w:rsidR="006E6D6A">
        <w:rPr>
          <w:lang w:val="en-GB"/>
        </w:rPr>
        <w:t>,</w:t>
      </w:r>
      <w:r w:rsidRPr="2843C295">
        <w:rPr>
          <w:lang w:val="en-GB"/>
        </w:rPr>
        <w:t xml:space="preserve"> autonomic arousal occur. Such responses are for instance expressed through blood pressure, heart rate and sweat (Critchley, 2002). GSR measures sweat gland activity through mechanical friction. A strong emotion will be manifested in the sweat glands and therefore </w:t>
      </w:r>
      <w:r w:rsidR="006E6D6A">
        <w:rPr>
          <w:lang w:val="en-GB"/>
        </w:rPr>
        <w:t>be</w:t>
      </w:r>
      <w:r w:rsidRPr="2843C295">
        <w:rPr>
          <w:lang w:val="en-GB"/>
        </w:rPr>
        <w:t xml:space="preserve"> measurable in the electrodermal activity (Critchley, 2002).</w:t>
      </w:r>
    </w:p>
    <w:p w14:paraId="3516A8D9" w14:textId="1CF22B22" w:rsidR="2843C295" w:rsidRDefault="003A515D" w:rsidP="00BF53B8">
      <w:pPr>
        <w:ind w:firstLine="567"/>
        <w:rPr>
          <w:lang w:val="en-GB"/>
        </w:rPr>
      </w:pPr>
      <w:r>
        <w:rPr>
          <w:lang w:val="en-GB"/>
        </w:rPr>
        <w:t xml:space="preserve">We expect </w:t>
      </w:r>
      <w:r w:rsidR="00025CC2">
        <w:rPr>
          <w:lang w:val="en-GB"/>
        </w:rPr>
        <w:t xml:space="preserve">sexual and emotional </w:t>
      </w:r>
      <w:r w:rsidR="00A33A82">
        <w:rPr>
          <w:lang w:val="en-GB"/>
        </w:rPr>
        <w:t>words to elicit stronger emotional responses</w:t>
      </w:r>
      <w:r w:rsidR="00644A9E">
        <w:rPr>
          <w:lang w:val="en-GB"/>
        </w:rPr>
        <w:t xml:space="preserve"> than neutral words</w:t>
      </w:r>
      <w:r w:rsidR="00CB47AF">
        <w:rPr>
          <w:lang w:val="en-GB"/>
        </w:rPr>
        <w:t>, therefore showing increased GSR scores</w:t>
      </w:r>
      <w:r w:rsidR="00610D15">
        <w:rPr>
          <w:lang w:val="en-GB"/>
        </w:rPr>
        <w:t>, with sexual words displaying the highest scores</w:t>
      </w:r>
      <w:r w:rsidR="2843C295" w:rsidRPr="2843C295">
        <w:rPr>
          <w:lang w:val="en-GB"/>
        </w:rPr>
        <w:t xml:space="preserve">. Further, we expect </w:t>
      </w:r>
      <w:r w:rsidR="00BF53B8">
        <w:rPr>
          <w:lang w:val="en-GB"/>
        </w:rPr>
        <w:t xml:space="preserve">longer </w:t>
      </w:r>
      <w:r w:rsidR="2843C295" w:rsidRPr="2843C295">
        <w:rPr>
          <w:lang w:val="en-GB"/>
        </w:rPr>
        <w:t>reaction time</w:t>
      </w:r>
      <w:r w:rsidR="00BF53B8">
        <w:rPr>
          <w:lang w:val="en-GB"/>
        </w:rPr>
        <w:t>s</w:t>
      </w:r>
      <w:r w:rsidR="2843C295" w:rsidRPr="2843C295">
        <w:rPr>
          <w:lang w:val="en-GB"/>
        </w:rPr>
        <w:t xml:space="preserve"> (RT) for emotional </w:t>
      </w:r>
      <w:r w:rsidR="00BF53B8">
        <w:rPr>
          <w:lang w:val="en-GB"/>
        </w:rPr>
        <w:t xml:space="preserve">words, and longest RT for sexual </w:t>
      </w:r>
      <w:r w:rsidR="2843C295" w:rsidRPr="2843C295">
        <w:rPr>
          <w:lang w:val="en-GB"/>
        </w:rPr>
        <w:t>words</w:t>
      </w:r>
      <w:r w:rsidR="00644A9E">
        <w:rPr>
          <w:lang w:val="en-GB"/>
        </w:rPr>
        <w:t>, compared to neutral words</w:t>
      </w:r>
      <w:r w:rsidR="2843C295" w:rsidRPr="2843C295">
        <w:rPr>
          <w:lang w:val="en-GB"/>
        </w:rPr>
        <w:t xml:space="preserve">. </w:t>
      </w:r>
      <w:r w:rsidR="00610D15">
        <w:rPr>
          <w:lang w:val="en-GB"/>
        </w:rPr>
        <w:t xml:space="preserve">Lastly, </w:t>
      </w:r>
      <w:r w:rsidR="00E94F16">
        <w:rPr>
          <w:lang w:val="en-GB"/>
        </w:rPr>
        <w:t>we thus expe</w:t>
      </w:r>
      <w:r w:rsidR="005C21BA">
        <w:rPr>
          <w:lang w:val="en-GB"/>
        </w:rPr>
        <w:t xml:space="preserve">ct GSR scores and RT scores </w:t>
      </w:r>
      <w:r w:rsidR="00715B59">
        <w:rPr>
          <w:lang w:val="en-GB"/>
        </w:rPr>
        <w:t>to be coherent.</w:t>
      </w:r>
    </w:p>
    <w:p w14:paraId="33F0F61A" w14:textId="3838A956" w:rsidR="001078C3" w:rsidRPr="009A6A11" w:rsidRDefault="006F034F" w:rsidP="001078C3">
      <w:pPr>
        <w:pStyle w:val="Overskrift1"/>
        <w:rPr>
          <w:lang w:val="en-GB"/>
        </w:rPr>
      </w:pPr>
      <w:bookmarkStart w:id="2" w:name="_Toc20330528"/>
      <w:r w:rsidRPr="009A6A11">
        <w:rPr>
          <w:lang w:val="en-GB"/>
        </w:rPr>
        <w:t>Method</w:t>
      </w:r>
      <w:bookmarkEnd w:id="2"/>
    </w:p>
    <w:p w14:paraId="22DE8978" w14:textId="7741B2B7" w:rsidR="00DF752B" w:rsidRDefault="00DF752B" w:rsidP="00DF752B">
      <w:pPr>
        <w:rPr>
          <w:lang w:val="en-GB"/>
        </w:rPr>
      </w:pPr>
      <w:r w:rsidRPr="00421A56">
        <w:rPr>
          <w:lang w:val="en-GB"/>
        </w:rPr>
        <w:t xml:space="preserve">This experiment </w:t>
      </w:r>
      <w:r>
        <w:rPr>
          <w:lang w:val="en-GB"/>
        </w:rPr>
        <w:t>included</w:t>
      </w:r>
      <w:r w:rsidRPr="00421A56">
        <w:rPr>
          <w:lang w:val="en-GB"/>
        </w:rPr>
        <w:t xml:space="preserve"> </w:t>
      </w:r>
      <w:r w:rsidRPr="00421A56">
        <w:rPr>
          <w:i/>
          <w:iCs/>
          <w:lang w:val="en-GB"/>
        </w:rPr>
        <w:t>N</w:t>
      </w:r>
      <w:r w:rsidRPr="00421A56">
        <w:rPr>
          <w:lang w:val="en-GB"/>
        </w:rPr>
        <w:t xml:space="preserve"> = </w:t>
      </w:r>
      <w:r w:rsidR="00C85413">
        <w:rPr>
          <w:lang w:val="en-GB"/>
        </w:rPr>
        <w:t>285</w:t>
      </w:r>
      <w:r w:rsidRPr="00421A56">
        <w:rPr>
          <w:lang w:val="en-GB"/>
        </w:rPr>
        <w:t xml:space="preserve"> participants</w:t>
      </w:r>
      <w:r w:rsidR="002C1373">
        <w:rPr>
          <w:lang w:val="en-GB"/>
        </w:rPr>
        <w:t xml:space="preserve"> (</w:t>
      </w:r>
      <w:r w:rsidR="00362BFF">
        <w:rPr>
          <w:lang w:val="en-GB"/>
        </w:rPr>
        <w:t xml:space="preserve">List 1: </w:t>
      </w:r>
      <w:r w:rsidR="00362BFF">
        <w:rPr>
          <w:i/>
          <w:iCs/>
          <w:lang w:val="en-GB"/>
        </w:rPr>
        <w:t>n</w:t>
      </w:r>
      <w:r w:rsidR="00362BFF">
        <w:rPr>
          <w:lang w:val="en-GB"/>
        </w:rPr>
        <w:t xml:space="preserve"> = 157, List 2: </w:t>
      </w:r>
      <w:r w:rsidR="00362BFF">
        <w:rPr>
          <w:i/>
          <w:iCs/>
          <w:lang w:val="en-GB"/>
        </w:rPr>
        <w:t>n</w:t>
      </w:r>
      <w:r w:rsidR="00362BFF">
        <w:rPr>
          <w:lang w:val="en-GB"/>
        </w:rPr>
        <w:t xml:space="preserve"> = 128)</w:t>
      </w:r>
      <w:r w:rsidRPr="00421A56">
        <w:rPr>
          <w:lang w:val="en-GB"/>
        </w:rPr>
        <w:t xml:space="preserve">, all psychology students </w:t>
      </w:r>
      <w:r>
        <w:rPr>
          <w:lang w:val="en-GB"/>
        </w:rPr>
        <w:t>at UCPH</w:t>
      </w:r>
      <w:r w:rsidRPr="00421A56">
        <w:rPr>
          <w:lang w:val="en-GB"/>
        </w:rPr>
        <w:t>. Age and sex differences were not considered.</w:t>
      </w:r>
      <w:r w:rsidR="00EA1DB2">
        <w:rPr>
          <w:lang w:val="en-GB"/>
        </w:rPr>
        <w:t xml:space="preserve"> </w:t>
      </w:r>
      <w:r w:rsidR="0068455D">
        <w:rPr>
          <w:lang w:val="en-GB"/>
        </w:rPr>
        <w:t xml:space="preserve">Results were obtained from experiments conducted in years </w:t>
      </w:r>
      <w:r w:rsidR="00966F40">
        <w:rPr>
          <w:lang w:val="en-GB"/>
        </w:rPr>
        <w:t>2016-2019</w:t>
      </w:r>
      <w:r w:rsidR="00974B4E">
        <w:rPr>
          <w:lang w:val="en-GB"/>
        </w:rPr>
        <w:t>.</w:t>
      </w:r>
    </w:p>
    <w:p w14:paraId="17BACC4F" w14:textId="2B2C5B11" w:rsidR="00BD0986" w:rsidRDefault="00BD0986" w:rsidP="00BD0986">
      <w:pPr>
        <w:pStyle w:val="Overskrift2"/>
        <w:rPr>
          <w:lang w:val="en-GB"/>
        </w:rPr>
      </w:pPr>
      <w:bookmarkStart w:id="3" w:name="_Toc20330529"/>
      <w:r>
        <w:rPr>
          <w:lang w:val="en-GB"/>
        </w:rPr>
        <w:t>Materials</w:t>
      </w:r>
      <w:bookmarkEnd w:id="3"/>
    </w:p>
    <w:p w14:paraId="3DBB8674" w14:textId="6155DE53" w:rsidR="003048BF" w:rsidRDefault="00AD2F4C" w:rsidP="003048BF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GSR </w:t>
      </w:r>
      <w:r w:rsidR="00453B7E">
        <w:rPr>
          <w:lang w:val="en-GB"/>
        </w:rPr>
        <w:t>a</w:t>
      </w:r>
      <w:r>
        <w:rPr>
          <w:lang w:val="en-GB"/>
        </w:rPr>
        <w:t>pparatus</w:t>
      </w:r>
    </w:p>
    <w:p w14:paraId="289DA888" w14:textId="17E0D222" w:rsidR="00453B7E" w:rsidRPr="003048BF" w:rsidRDefault="00453B7E" w:rsidP="003048BF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Electrodes</w:t>
      </w:r>
    </w:p>
    <w:p w14:paraId="58FB935A" w14:textId="45A1AD04" w:rsidR="0090462D" w:rsidRPr="0090462D" w:rsidRDefault="00A9122D" w:rsidP="0090462D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Tape</w:t>
      </w:r>
    </w:p>
    <w:p w14:paraId="0812FDCE" w14:textId="328E13A6" w:rsidR="00A9122D" w:rsidRDefault="00A9122D" w:rsidP="009530A7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Stopwatch</w:t>
      </w:r>
    </w:p>
    <w:p w14:paraId="4FE648EE" w14:textId="457F793B" w:rsidR="00A9122D" w:rsidRPr="009530A7" w:rsidRDefault="0072365B" w:rsidP="009530A7">
      <w:pPr>
        <w:pStyle w:val="Listeafsnit"/>
        <w:numPr>
          <w:ilvl w:val="0"/>
          <w:numId w:val="2"/>
        </w:numPr>
        <w:rPr>
          <w:lang w:val="en-GB"/>
        </w:rPr>
      </w:pPr>
      <w:r>
        <w:rPr>
          <w:lang w:val="en-GB"/>
        </w:rPr>
        <w:t>Word</w:t>
      </w:r>
      <w:r w:rsidR="004D2321">
        <w:rPr>
          <w:lang w:val="en-GB"/>
        </w:rPr>
        <w:t xml:space="preserve"> list</w:t>
      </w:r>
      <w:r w:rsidR="00C00955">
        <w:rPr>
          <w:lang w:val="en-GB"/>
        </w:rPr>
        <w:t>s</w:t>
      </w:r>
      <w:r w:rsidR="001108EB">
        <w:rPr>
          <w:lang w:val="en-GB"/>
        </w:rPr>
        <w:t xml:space="preserve"> 1 and 2</w:t>
      </w:r>
      <w:r w:rsidR="00C00955">
        <w:rPr>
          <w:lang w:val="en-GB"/>
        </w:rPr>
        <w:t xml:space="preserve"> (60 words per list)</w:t>
      </w:r>
    </w:p>
    <w:p w14:paraId="5EE13340" w14:textId="6C90161D" w:rsidR="00CB1935" w:rsidRPr="00EA1DB2" w:rsidRDefault="00CB1935" w:rsidP="00CB1935">
      <w:pPr>
        <w:pStyle w:val="Overskrift2"/>
        <w:rPr>
          <w:lang w:val="en-US"/>
        </w:rPr>
      </w:pPr>
      <w:bookmarkStart w:id="4" w:name="_Toc20330530"/>
      <w:r w:rsidRPr="00EA1DB2">
        <w:rPr>
          <w:lang w:val="en-US"/>
        </w:rPr>
        <w:lastRenderedPageBreak/>
        <w:t>Test procedure</w:t>
      </w:r>
      <w:bookmarkEnd w:id="4"/>
    </w:p>
    <w:p w14:paraId="08F6F8A8" w14:textId="5F3291A2" w:rsidR="00CB1935" w:rsidRDefault="4A5D212E" w:rsidP="4A5D212E">
      <w:pPr>
        <w:rPr>
          <w:lang w:val="en-US"/>
        </w:rPr>
      </w:pPr>
      <w:r w:rsidRPr="4A5D212E">
        <w:rPr>
          <w:lang w:val="en-US"/>
        </w:rPr>
        <w:t>The experimenter (E), an observer (OB), and the participant (P) were present during the study. Prior to the initiation of the experiment, P washed hands to better GSR conduction. E ensured that skin of P’s non-dominant index and middle fingers was intact and placed two GSR-electrodes on these fingers, secured with tape.</w:t>
      </w:r>
    </w:p>
    <w:p w14:paraId="61CC4ACC" w14:textId="4F8ED645" w:rsidR="009A1AB7" w:rsidRDefault="4A5D212E" w:rsidP="4A5D212E">
      <w:pPr>
        <w:ind w:firstLine="567"/>
        <w:rPr>
          <w:lang w:val="en-US"/>
        </w:rPr>
      </w:pPr>
      <w:r w:rsidRPr="4A5D212E">
        <w:rPr>
          <w:lang w:val="en-US"/>
        </w:rPr>
        <w:t xml:space="preserve">Function of the GSR apparatus was tested using the Basal Skin Resistance (BSR) function. P was placed facing away from E and GSR apparatus with the non-dominant hand resting on the table without the electrodes touching the table. The apparatus </w:t>
      </w:r>
      <w:r w:rsidR="00CC6C5D">
        <w:rPr>
          <w:lang w:val="en-US"/>
        </w:rPr>
        <w:t>was</w:t>
      </w:r>
      <w:r w:rsidRPr="4A5D212E">
        <w:rPr>
          <w:lang w:val="en-US"/>
        </w:rPr>
        <w:t xml:space="preserve"> set to GSR function at 10 k</w:t>
      </w:r>
      <w:r w:rsidRPr="4A5D212E">
        <w:rPr>
          <w:rFonts w:ascii="Symbol" w:eastAsia="Symbol" w:hAnsi="Symbol" w:cs="Symbol"/>
          <w:lang w:val="en-US"/>
        </w:rPr>
        <w:t></w:t>
      </w:r>
      <w:r w:rsidRPr="4A5D212E">
        <w:rPr>
          <w:lang w:val="en-US"/>
        </w:rPr>
        <w:t>.</w:t>
      </w:r>
    </w:p>
    <w:p w14:paraId="145F1B6A" w14:textId="097EBA66" w:rsidR="007F7C67" w:rsidRPr="005E75BE" w:rsidRDefault="20DF11D1" w:rsidP="20DF11D1">
      <w:pPr>
        <w:ind w:firstLine="567"/>
        <w:rPr>
          <w:lang w:val="en-US"/>
        </w:rPr>
      </w:pPr>
      <w:r w:rsidRPr="20DF11D1">
        <w:rPr>
          <w:lang w:val="en-US"/>
        </w:rPr>
        <w:t xml:space="preserve">P was instructed of the procedure by E, and a test trial was run. Following, E initiated the experiment. One of two lists </w:t>
      </w:r>
      <w:r w:rsidR="0027768D">
        <w:rPr>
          <w:lang w:val="en-US"/>
        </w:rPr>
        <w:t>was</w:t>
      </w:r>
      <w:r w:rsidRPr="20DF11D1">
        <w:rPr>
          <w:lang w:val="en-US"/>
        </w:rPr>
        <w:t xml:space="preserve"> used for each trial: both contained neutral (40 items), emotional (10 items), and sexual (10 items) words, but the emotional and sexual words of List 2 were designed to be more agitative than those of List 1. E read aloud a stimulus word from the list, and P responded as fast as possible with the first associated response word that came to their mind. RT was recorded as time from stimulus to response word. OB recorded GSR-fluctuations at 1.5-3 seconds after the stimulus word and noted response words.</w:t>
      </w:r>
    </w:p>
    <w:p w14:paraId="6FDB2BD4" w14:textId="0B8CFA6A" w:rsidR="00965D36" w:rsidRDefault="00734925" w:rsidP="002452C1">
      <w:pPr>
        <w:pStyle w:val="Overskrift1"/>
        <w:rPr>
          <w:lang w:val="en-GB"/>
        </w:rPr>
      </w:pPr>
      <w:bookmarkStart w:id="5" w:name="_Toc20330531"/>
      <w:r w:rsidRPr="009A6A11">
        <w:rPr>
          <w:lang w:val="en-GB"/>
        </w:rPr>
        <w:t>Results</w:t>
      </w:r>
      <w:bookmarkEnd w:id="5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567"/>
        <w:gridCol w:w="1701"/>
        <w:gridCol w:w="1417"/>
      </w:tblGrid>
      <w:tr w:rsidR="00230926" w:rsidRPr="00BA598E" w14:paraId="2B8E4133" w14:textId="77777777" w:rsidTr="00374978">
        <w:tc>
          <w:tcPr>
            <w:tcW w:w="8642" w:type="dxa"/>
            <w:gridSpan w:val="6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76CFF62" w14:textId="21DEAF75" w:rsidR="00230926" w:rsidRDefault="00230926">
            <w:pPr>
              <w:rPr>
                <w:lang w:val="en-GB"/>
              </w:rPr>
            </w:pPr>
            <w:r>
              <w:rPr>
                <w:lang w:val="en-GB"/>
              </w:rPr>
              <w:t>Table 1</w:t>
            </w:r>
            <w:r w:rsidR="0088664D">
              <w:rPr>
                <w:lang w:val="en-GB"/>
              </w:rPr>
              <w:t xml:space="preserve">: </w:t>
            </w:r>
            <w:r>
              <w:rPr>
                <w:i/>
                <w:iCs/>
                <w:lang w:val="en-GB"/>
              </w:rPr>
              <w:t>Mean RTs and GSR-fluctuations for every word condition</w:t>
            </w:r>
          </w:p>
        </w:tc>
      </w:tr>
      <w:tr w:rsidR="00374978" w14:paraId="55C9AD3F" w14:textId="77777777" w:rsidTr="0046510F">
        <w:tc>
          <w:tcPr>
            <w:tcW w:w="1980" w:type="dxa"/>
            <w:vMerge w:val="restart"/>
            <w:tcBorders>
              <w:left w:val="single" w:sz="4" w:space="0" w:color="FFFFFF"/>
              <w:right w:val="single" w:sz="4" w:space="0" w:color="FFFFFF"/>
            </w:tcBorders>
            <w:vAlign w:val="bottom"/>
          </w:tcPr>
          <w:p w14:paraId="0B67F8E7" w14:textId="310E5CC5" w:rsidR="00374978" w:rsidRDefault="00374978" w:rsidP="003A12C7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Word condition</w:t>
            </w:r>
          </w:p>
        </w:tc>
        <w:tc>
          <w:tcPr>
            <w:tcW w:w="2977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416229F9" w14:textId="3A04B333" w:rsidR="00374978" w:rsidRPr="00230926" w:rsidRDefault="00374978" w:rsidP="00886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RT</w:t>
            </w: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DF11729" w14:textId="77777777" w:rsidR="00374978" w:rsidRDefault="00374978">
            <w:pPr>
              <w:rPr>
                <w:lang w:val="en-GB"/>
              </w:rPr>
            </w:pPr>
          </w:p>
        </w:tc>
        <w:tc>
          <w:tcPr>
            <w:tcW w:w="3118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 w14:paraId="40FA1A24" w14:textId="40A5F715" w:rsidR="00374978" w:rsidRDefault="00374978" w:rsidP="0088664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GSR-fluctuations</w:t>
            </w:r>
          </w:p>
        </w:tc>
      </w:tr>
      <w:tr w:rsidR="00230926" w14:paraId="5B941C73" w14:textId="77777777" w:rsidTr="00BA5AE1">
        <w:tc>
          <w:tcPr>
            <w:tcW w:w="1980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14:paraId="35081F62" w14:textId="77777777" w:rsidR="00230926" w:rsidRDefault="00230926">
            <w:pPr>
              <w:rPr>
                <w:lang w:val="en-GB"/>
              </w:rPr>
            </w:pPr>
          </w:p>
        </w:tc>
        <w:tc>
          <w:tcPr>
            <w:tcW w:w="1417" w:type="dxa"/>
            <w:tcBorders>
              <w:left w:val="single" w:sz="4" w:space="0" w:color="FFFFFF"/>
              <w:right w:val="single" w:sz="4" w:space="0" w:color="FFFFFF"/>
            </w:tcBorders>
          </w:tcPr>
          <w:p w14:paraId="13A8AFBF" w14:textId="4C6AAF84" w:rsidR="00230926" w:rsidRPr="00230926" w:rsidRDefault="00230926" w:rsidP="0037497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M</w:t>
            </w:r>
          </w:p>
        </w:tc>
        <w:tc>
          <w:tcPr>
            <w:tcW w:w="1560" w:type="dxa"/>
            <w:tcBorders>
              <w:left w:val="single" w:sz="4" w:space="0" w:color="FFFFFF"/>
              <w:right w:val="single" w:sz="4" w:space="0" w:color="FFFFFF"/>
            </w:tcBorders>
          </w:tcPr>
          <w:p w14:paraId="496AEE41" w14:textId="7C68144D" w:rsidR="00230926" w:rsidRPr="00230926" w:rsidRDefault="00230926" w:rsidP="0037497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SD</w:t>
            </w: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</w:tcPr>
          <w:p w14:paraId="26431279" w14:textId="77777777" w:rsidR="00230926" w:rsidRDefault="00230926" w:rsidP="00374978">
            <w:pPr>
              <w:jc w:val="center"/>
              <w:rPr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FFFFFF"/>
              <w:right w:val="single" w:sz="4" w:space="0" w:color="FFFFFF"/>
            </w:tcBorders>
          </w:tcPr>
          <w:p w14:paraId="76288425" w14:textId="3FDFB872" w:rsidR="00230926" w:rsidRPr="00230926" w:rsidRDefault="00230926" w:rsidP="0037497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M</w:t>
            </w:r>
          </w:p>
        </w:tc>
        <w:tc>
          <w:tcPr>
            <w:tcW w:w="1417" w:type="dxa"/>
            <w:tcBorders>
              <w:left w:val="single" w:sz="4" w:space="0" w:color="FFFFFF"/>
              <w:right w:val="single" w:sz="4" w:space="0" w:color="FFFFFF"/>
            </w:tcBorders>
          </w:tcPr>
          <w:p w14:paraId="0B6277A1" w14:textId="009692CA" w:rsidR="00230926" w:rsidRPr="00230926" w:rsidRDefault="00230926" w:rsidP="00374978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SD</w:t>
            </w:r>
          </w:p>
        </w:tc>
      </w:tr>
      <w:tr w:rsidR="00374978" w14:paraId="5F3936D3" w14:textId="77777777" w:rsidTr="00BA5AE1">
        <w:tc>
          <w:tcPr>
            <w:tcW w:w="198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C14541F" w14:textId="36264257" w:rsidR="00230926" w:rsidRDefault="00230926">
            <w:pPr>
              <w:rPr>
                <w:lang w:val="en-GB"/>
              </w:rPr>
            </w:pPr>
            <w:r>
              <w:rPr>
                <w:lang w:val="en-GB"/>
              </w:rPr>
              <w:t>Neutral words</w:t>
            </w:r>
          </w:p>
        </w:tc>
        <w:tc>
          <w:tcPr>
            <w:tcW w:w="14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EC1C21" w14:textId="16318CF1" w:rsidR="00230926" w:rsidRDefault="00230926" w:rsidP="0037497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2.32</w:t>
            </w:r>
          </w:p>
        </w:tc>
        <w:tc>
          <w:tcPr>
            <w:tcW w:w="15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FFE2ED" w14:textId="43A1DEEC" w:rsidR="00230926" w:rsidRDefault="00230926" w:rsidP="0037497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(0.64)</w:t>
            </w:r>
          </w:p>
        </w:tc>
        <w:tc>
          <w:tcPr>
            <w:tcW w:w="567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1B155C6" w14:textId="77777777" w:rsidR="00230926" w:rsidRDefault="00230926" w:rsidP="00374978">
            <w:pPr>
              <w:jc w:val="center"/>
              <w:rPr>
                <w:lang w:val="en-GB"/>
              </w:rPr>
            </w:pPr>
          </w:p>
        </w:tc>
        <w:tc>
          <w:tcPr>
            <w:tcW w:w="170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343ED5" w14:textId="7C69C5A5" w:rsidR="00230926" w:rsidRDefault="00230926" w:rsidP="0037497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-0.31</w:t>
            </w:r>
          </w:p>
        </w:tc>
        <w:tc>
          <w:tcPr>
            <w:tcW w:w="14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5B4A2C" w14:textId="1A69BF83" w:rsidR="00230926" w:rsidRDefault="00230926" w:rsidP="0037497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(0.12)</w:t>
            </w:r>
          </w:p>
        </w:tc>
      </w:tr>
      <w:tr w:rsidR="00374978" w14:paraId="164FC17A" w14:textId="77777777" w:rsidTr="00374978"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F92960" w14:textId="24E9E1A9" w:rsidR="00230926" w:rsidRDefault="00230926">
            <w:pPr>
              <w:rPr>
                <w:lang w:val="en-GB"/>
              </w:rPr>
            </w:pPr>
            <w:r>
              <w:rPr>
                <w:lang w:val="en-GB"/>
              </w:rPr>
              <w:t>Sexual words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1B510DA" w14:textId="184853EB" w:rsidR="00230926" w:rsidRDefault="00230926" w:rsidP="0037497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3.23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54783F" w14:textId="70C4246F" w:rsidR="00230926" w:rsidRDefault="00230926" w:rsidP="0037497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(1.19)</w:t>
            </w: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960F29" w14:textId="77777777" w:rsidR="00230926" w:rsidRDefault="00230926" w:rsidP="00374978">
            <w:pPr>
              <w:jc w:val="center"/>
              <w:rPr>
                <w:lang w:val="en-GB"/>
              </w:rPr>
            </w:pP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D05E8D" w14:textId="74F1D4CA" w:rsidR="00230926" w:rsidRDefault="00230926" w:rsidP="0037497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1.01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C82C14" w14:textId="38267462" w:rsidR="00230926" w:rsidRDefault="00230926" w:rsidP="0037497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(0.41)</w:t>
            </w:r>
          </w:p>
        </w:tc>
      </w:tr>
      <w:tr w:rsidR="00374978" w14:paraId="664DA42C" w14:textId="77777777" w:rsidTr="00374978">
        <w:tc>
          <w:tcPr>
            <w:tcW w:w="198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0CBE205E" w14:textId="229C31D2" w:rsidR="00230926" w:rsidRDefault="00230926">
            <w:pPr>
              <w:rPr>
                <w:lang w:val="en-GB"/>
              </w:rPr>
            </w:pPr>
            <w:r>
              <w:rPr>
                <w:lang w:val="en-GB"/>
              </w:rPr>
              <w:t>Emotional words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4EC6EB7" w14:textId="6621A312" w:rsidR="00230926" w:rsidRDefault="00374978" w:rsidP="0037497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2.86</w:t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D606801" w14:textId="1E6F679E" w:rsidR="00230926" w:rsidRDefault="00374978" w:rsidP="0037497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(1.23)</w:t>
            </w:r>
          </w:p>
        </w:tc>
        <w:tc>
          <w:tcPr>
            <w:tcW w:w="56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6682BC36" w14:textId="77777777" w:rsidR="00230926" w:rsidRDefault="00230926" w:rsidP="00374978">
            <w:pPr>
              <w:jc w:val="center"/>
              <w:rPr>
                <w:lang w:val="en-GB"/>
              </w:rPr>
            </w:pP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407B5941" w14:textId="60C45913" w:rsidR="00230926" w:rsidRDefault="00374978" w:rsidP="0037497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0.22</w:t>
            </w:r>
          </w:p>
        </w:tc>
        <w:tc>
          <w:tcPr>
            <w:tcW w:w="141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71BF332" w14:textId="46634409" w:rsidR="00230926" w:rsidRDefault="00374978" w:rsidP="0037497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(0.29)</w:t>
            </w:r>
          </w:p>
        </w:tc>
      </w:tr>
    </w:tbl>
    <w:p w14:paraId="007A2D0B" w14:textId="1D3CCD8A" w:rsidR="000C25F3" w:rsidRPr="00C84ED6" w:rsidRDefault="00BE2C1C" w:rsidP="000C25F3">
      <w:pPr>
        <w:rPr>
          <w:i/>
          <w:lang w:val="en-GB"/>
        </w:rPr>
      </w:pPr>
      <w:r w:rsidRPr="00C84ED6">
        <w:rPr>
          <w:i/>
          <w:lang w:val="en-GB"/>
        </w:rPr>
        <w:t>Note: RT is measured in seconds</w:t>
      </w:r>
      <w:r w:rsidR="00EA6FAD" w:rsidRPr="00C84ED6">
        <w:rPr>
          <w:i/>
          <w:lang w:val="en-GB"/>
        </w:rPr>
        <w:t xml:space="preserve">, GSR-fluctuations are </w:t>
      </w:r>
      <w:r w:rsidR="00772B87" w:rsidRPr="00C84ED6">
        <w:rPr>
          <w:i/>
          <w:lang w:val="en-GB"/>
        </w:rPr>
        <w:t>stated as z-scores.</w:t>
      </w:r>
      <w:r w:rsidR="004217C0">
        <w:rPr>
          <w:i/>
          <w:lang w:val="en-GB"/>
        </w:rPr>
        <w:t xml:space="preserve"> N = 285</w:t>
      </w:r>
    </w:p>
    <w:p w14:paraId="40EB60B7" w14:textId="35A935B8" w:rsidR="00B75FBF" w:rsidRPr="004D2321" w:rsidRDefault="004D2321" w:rsidP="001654EA">
      <w:pPr>
        <w:pStyle w:val="Overskrift2"/>
        <w:rPr>
          <w:lang w:val="en-US"/>
        </w:rPr>
      </w:pPr>
      <w:bookmarkStart w:id="6" w:name="_Toc20330532"/>
      <w:r w:rsidRPr="004D2321">
        <w:rPr>
          <w:lang w:val="en-US"/>
        </w:rPr>
        <w:t>RT is longer for sexual words condition</w:t>
      </w:r>
      <w:bookmarkEnd w:id="6"/>
    </w:p>
    <w:p w14:paraId="4F6B84E1" w14:textId="460BFDFE" w:rsidR="00B75FBF" w:rsidRDefault="003338EB">
      <w:pPr>
        <w:rPr>
          <w:lang w:val="en-GB"/>
        </w:rPr>
      </w:pPr>
      <w:r>
        <w:rPr>
          <w:lang w:val="en-GB"/>
        </w:rPr>
        <w:t xml:space="preserve">A mixed ANOVA was conducted to test </w:t>
      </w:r>
      <w:r w:rsidR="007C389C">
        <w:rPr>
          <w:lang w:val="en-GB"/>
        </w:rPr>
        <w:t xml:space="preserve">if RT </w:t>
      </w:r>
      <w:r w:rsidR="00C608CD">
        <w:rPr>
          <w:lang w:val="en-GB"/>
        </w:rPr>
        <w:t>was</w:t>
      </w:r>
      <w:r w:rsidR="007C389C">
        <w:rPr>
          <w:lang w:val="en-GB"/>
        </w:rPr>
        <w:t xml:space="preserve"> significantly influenced by word condition</w:t>
      </w:r>
      <w:r w:rsidR="00366D71">
        <w:rPr>
          <w:lang w:val="en-GB"/>
        </w:rPr>
        <w:t xml:space="preserve"> (neutral, sexual, or emotional)</w:t>
      </w:r>
      <w:r w:rsidR="00EA0E18">
        <w:rPr>
          <w:lang w:val="en-GB"/>
        </w:rPr>
        <w:t xml:space="preserve"> as </w:t>
      </w:r>
      <w:r w:rsidR="008B6D1A">
        <w:rPr>
          <w:lang w:val="en-GB"/>
        </w:rPr>
        <w:t xml:space="preserve">a </w:t>
      </w:r>
      <w:r w:rsidR="00EA0E18">
        <w:rPr>
          <w:lang w:val="en-GB"/>
        </w:rPr>
        <w:t>within-subjects factor</w:t>
      </w:r>
      <w:r w:rsidR="00366D71">
        <w:rPr>
          <w:lang w:val="en-GB"/>
        </w:rPr>
        <w:t xml:space="preserve"> and list (List 1 versus List 2)</w:t>
      </w:r>
      <w:r w:rsidR="00EA0E18">
        <w:rPr>
          <w:lang w:val="en-GB"/>
        </w:rPr>
        <w:t xml:space="preserve"> </w:t>
      </w:r>
      <w:r w:rsidR="007627B0">
        <w:rPr>
          <w:lang w:val="en-GB"/>
        </w:rPr>
        <w:t xml:space="preserve">as </w:t>
      </w:r>
      <w:r w:rsidR="008B6D1A">
        <w:rPr>
          <w:lang w:val="en-GB"/>
        </w:rPr>
        <w:t xml:space="preserve">a </w:t>
      </w:r>
      <w:r w:rsidR="007627B0">
        <w:rPr>
          <w:lang w:val="en-GB"/>
        </w:rPr>
        <w:t>between-subjects factor</w:t>
      </w:r>
      <w:r w:rsidR="00CF751A">
        <w:rPr>
          <w:lang w:val="en-GB"/>
        </w:rPr>
        <w:t>.</w:t>
      </w:r>
    </w:p>
    <w:p w14:paraId="1D6E53BF" w14:textId="78227461" w:rsidR="00CF751A" w:rsidRDefault="00430D14" w:rsidP="00214BC2">
      <w:pPr>
        <w:ind w:firstLine="567"/>
        <w:rPr>
          <w:lang w:val="en-GB"/>
        </w:rPr>
      </w:pPr>
      <w:r>
        <w:rPr>
          <w:lang w:val="en-GB"/>
        </w:rPr>
        <w:t xml:space="preserve">The test showed </w:t>
      </w:r>
      <w:r w:rsidR="007D3348">
        <w:rPr>
          <w:lang w:val="en-GB"/>
        </w:rPr>
        <w:t xml:space="preserve">a significant main effect of word condition, </w:t>
      </w:r>
      <w:r w:rsidR="007D3348">
        <w:rPr>
          <w:i/>
          <w:iCs/>
          <w:lang w:val="en-GB"/>
        </w:rPr>
        <w:t>F</w:t>
      </w:r>
      <w:r w:rsidR="007D3348">
        <w:rPr>
          <w:lang w:val="en-GB"/>
        </w:rPr>
        <w:t>(1.96</w:t>
      </w:r>
      <w:r w:rsidR="00ED6C05">
        <w:rPr>
          <w:lang w:val="en-GB"/>
        </w:rPr>
        <w:t xml:space="preserve">, 553.52) = </w:t>
      </w:r>
      <w:r w:rsidR="00924113">
        <w:rPr>
          <w:lang w:val="en-GB"/>
        </w:rPr>
        <w:t xml:space="preserve">146.78, </w:t>
      </w:r>
      <w:r w:rsidR="00924113">
        <w:rPr>
          <w:i/>
          <w:iCs/>
          <w:lang w:val="en-GB"/>
        </w:rPr>
        <w:t>p</w:t>
      </w:r>
      <w:r w:rsidR="005B7DA5">
        <w:rPr>
          <w:lang w:val="en-GB"/>
        </w:rPr>
        <w:t xml:space="preserve"> &lt; 0.001,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η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</m:oMath>
      <w:r w:rsidR="003C2B17">
        <w:rPr>
          <w:lang w:val="en-GB"/>
        </w:rPr>
        <w:t xml:space="preserve"> = </w:t>
      </w:r>
      <w:r w:rsidR="00BF2201">
        <w:rPr>
          <w:lang w:val="en-GB"/>
        </w:rPr>
        <w:t>.34</w:t>
      </w:r>
      <w:r w:rsidR="001C7294">
        <w:rPr>
          <w:lang w:val="en-GB"/>
        </w:rPr>
        <w:t xml:space="preserve"> (Huyhn-Feldt corrected)</w:t>
      </w:r>
      <w:r w:rsidR="008B6D1A">
        <w:rPr>
          <w:lang w:val="en-GB"/>
        </w:rPr>
        <w:t>, but no significant</w:t>
      </w:r>
      <w:r w:rsidR="00B124DA">
        <w:rPr>
          <w:lang w:val="en-GB"/>
        </w:rPr>
        <w:t xml:space="preserve"> main effect of list</w:t>
      </w:r>
      <w:r w:rsidR="00D30612">
        <w:rPr>
          <w:lang w:val="en-GB"/>
        </w:rPr>
        <w:t xml:space="preserve">, </w:t>
      </w:r>
      <w:r w:rsidR="00D30612">
        <w:rPr>
          <w:i/>
          <w:iCs/>
          <w:lang w:val="en-GB"/>
        </w:rPr>
        <w:t>F</w:t>
      </w:r>
      <w:r w:rsidR="00D30612">
        <w:rPr>
          <w:lang w:val="en-GB"/>
        </w:rPr>
        <w:t>(</w:t>
      </w:r>
      <w:r w:rsidR="001C7294">
        <w:rPr>
          <w:lang w:val="en-GB"/>
        </w:rPr>
        <w:t xml:space="preserve">1, 283) = </w:t>
      </w:r>
      <w:r w:rsidR="00CC147A">
        <w:rPr>
          <w:lang w:val="en-GB"/>
        </w:rPr>
        <w:t xml:space="preserve">.12, </w:t>
      </w:r>
      <w:r w:rsidR="00CC147A">
        <w:rPr>
          <w:i/>
          <w:iCs/>
          <w:lang w:val="en-GB"/>
        </w:rPr>
        <w:t>p</w:t>
      </w:r>
      <w:r w:rsidR="00CC147A">
        <w:rPr>
          <w:lang w:val="en-GB"/>
        </w:rPr>
        <w:t xml:space="preserve"> = </w:t>
      </w:r>
      <w:r w:rsidR="00CC147A">
        <w:rPr>
          <w:lang w:val="en-GB"/>
        </w:rPr>
        <w:lastRenderedPageBreak/>
        <w:t xml:space="preserve">.73,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η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</m:oMath>
      <w:r w:rsidR="00CC147A">
        <w:rPr>
          <w:lang w:val="en-GB"/>
        </w:rPr>
        <w:t xml:space="preserve"> &lt; .001</w:t>
      </w:r>
      <w:r w:rsidR="00A60533">
        <w:rPr>
          <w:lang w:val="en-GB"/>
        </w:rPr>
        <w:t xml:space="preserve">. There was </w:t>
      </w:r>
      <w:r w:rsidR="00A135BB">
        <w:rPr>
          <w:lang w:val="en-GB"/>
        </w:rPr>
        <w:t>a significant interaction between word condition and lis</w:t>
      </w:r>
      <w:r w:rsidR="00DE7F40">
        <w:rPr>
          <w:lang w:val="en-GB"/>
        </w:rPr>
        <w:t>t</w:t>
      </w:r>
      <w:r w:rsidR="00851833">
        <w:rPr>
          <w:lang w:val="en-GB"/>
        </w:rPr>
        <w:t xml:space="preserve">, </w:t>
      </w:r>
      <w:r w:rsidR="00E1706B">
        <w:rPr>
          <w:i/>
          <w:iCs/>
          <w:lang w:val="en-GB"/>
        </w:rPr>
        <w:t>F</w:t>
      </w:r>
      <w:r w:rsidR="00E1706B">
        <w:rPr>
          <w:lang w:val="en-GB"/>
        </w:rPr>
        <w:t xml:space="preserve">(1.96, </w:t>
      </w:r>
      <w:r w:rsidR="00443BEA">
        <w:rPr>
          <w:lang w:val="en-GB"/>
        </w:rPr>
        <w:t xml:space="preserve">553.52) = 4.50, </w:t>
      </w:r>
      <w:r w:rsidR="00443BEA">
        <w:rPr>
          <w:i/>
          <w:iCs/>
          <w:lang w:val="en-GB"/>
        </w:rPr>
        <w:t>p</w:t>
      </w:r>
      <w:r w:rsidR="00443BEA">
        <w:rPr>
          <w:lang w:val="en-GB"/>
        </w:rPr>
        <w:t xml:space="preserve"> = .01</w:t>
      </w:r>
      <w:r w:rsidR="009C1AA5">
        <w:rPr>
          <w:lang w:val="en-GB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η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</m:oMath>
      <w:r w:rsidR="009C1AA5">
        <w:rPr>
          <w:lang w:val="en-GB"/>
        </w:rPr>
        <w:t xml:space="preserve"> = .0</w:t>
      </w:r>
      <w:r w:rsidR="003D1EC8">
        <w:rPr>
          <w:lang w:val="en-GB"/>
        </w:rPr>
        <w:t>2</w:t>
      </w:r>
      <w:r w:rsidR="002D2AE0">
        <w:rPr>
          <w:lang w:val="en-GB"/>
        </w:rPr>
        <w:t>.</w:t>
      </w:r>
    </w:p>
    <w:p w14:paraId="78A362A0" w14:textId="15604EA2" w:rsidR="002D2AE0" w:rsidRDefault="002D2AE0" w:rsidP="00214BC2">
      <w:pPr>
        <w:ind w:firstLine="567"/>
        <w:rPr>
          <w:lang w:val="en-GB"/>
        </w:rPr>
      </w:pPr>
      <w:r>
        <w:rPr>
          <w:lang w:val="en-GB"/>
        </w:rPr>
        <w:t xml:space="preserve">This means </w:t>
      </w:r>
      <w:r w:rsidR="005823B7">
        <w:rPr>
          <w:lang w:val="en-GB"/>
        </w:rPr>
        <w:t xml:space="preserve">that </w:t>
      </w:r>
      <w:r w:rsidR="00D233D1">
        <w:rPr>
          <w:lang w:val="en-GB"/>
        </w:rPr>
        <w:t>RT</w:t>
      </w:r>
      <w:r w:rsidR="0087500A">
        <w:rPr>
          <w:lang w:val="en-GB"/>
        </w:rPr>
        <w:t xml:space="preserve"> </w:t>
      </w:r>
      <w:r w:rsidR="00FC5608">
        <w:rPr>
          <w:lang w:val="en-GB"/>
        </w:rPr>
        <w:t xml:space="preserve">depend on word condition, and that </w:t>
      </w:r>
      <w:r w:rsidR="00500044">
        <w:rPr>
          <w:lang w:val="en-GB"/>
        </w:rPr>
        <w:t>the effect of word condition varied between the two lists.</w:t>
      </w:r>
    </w:p>
    <w:p w14:paraId="2AC7E757" w14:textId="77777777" w:rsidR="00B3331E" w:rsidRDefault="00B3331E">
      <w:pPr>
        <w:rPr>
          <w:lang w:val="en-GB"/>
        </w:rPr>
      </w:pPr>
    </w:p>
    <w:p w14:paraId="4A04BF7E" w14:textId="457B2F99" w:rsidR="00B3331E" w:rsidRDefault="006C2B86" w:rsidP="006C2B86">
      <w:pPr>
        <w:rPr>
          <w:lang w:val="en-GB"/>
        </w:rPr>
      </w:pPr>
      <w:r>
        <w:rPr>
          <w:lang w:val="en-GB"/>
        </w:rPr>
        <w:t xml:space="preserve">Paired samples </w:t>
      </w:r>
      <w:r>
        <w:rPr>
          <w:i/>
          <w:iCs/>
          <w:lang w:val="en-GB"/>
        </w:rPr>
        <w:t>t</w:t>
      </w:r>
      <w:r>
        <w:rPr>
          <w:lang w:val="en-GB"/>
        </w:rPr>
        <w:t>-</w:t>
      </w:r>
      <w:r w:rsidR="00B3331E">
        <w:rPr>
          <w:lang w:val="en-GB"/>
        </w:rPr>
        <w:t>tests showed significant differences in mean RT between neutral (</w:t>
      </w:r>
      <w:r w:rsidR="00B3331E">
        <w:rPr>
          <w:i/>
          <w:iCs/>
          <w:lang w:val="en-GB"/>
        </w:rPr>
        <w:t>M</w:t>
      </w:r>
      <w:r w:rsidR="00B3331E">
        <w:rPr>
          <w:lang w:val="en-GB"/>
        </w:rPr>
        <w:t xml:space="preserve"> = 2.32, </w:t>
      </w:r>
      <w:r w:rsidR="00B3331E">
        <w:rPr>
          <w:i/>
          <w:iCs/>
          <w:lang w:val="en-GB"/>
        </w:rPr>
        <w:t>SD</w:t>
      </w:r>
      <w:r w:rsidR="00B3331E">
        <w:rPr>
          <w:lang w:val="en-GB"/>
        </w:rPr>
        <w:t xml:space="preserve"> = 0.64) and emotional (</w:t>
      </w:r>
      <w:r w:rsidR="00B3331E">
        <w:rPr>
          <w:i/>
          <w:iCs/>
          <w:lang w:val="en-GB"/>
        </w:rPr>
        <w:t>M</w:t>
      </w:r>
      <w:r w:rsidR="00B3331E">
        <w:rPr>
          <w:lang w:val="en-GB"/>
        </w:rPr>
        <w:t xml:space="preserve"> = 2.86, </w:t>
      </w:r>
      <w:r w:rsidR="00B3331E">
        <w:rPr>
          <w:i/>
          <w:iCs/>
          <w:lang w:val="en-GB"/>
        </w:rPr>
        <w:t>SD</w:t>
      </w:r>
      <w:r w:rsidR="00B3331E">
        <w:rPr>
          <w:lang w:val="en-GB"/>
        </w:rPr>
        <w:t xml:space="preserve"> = 1.23) conditions, </w:t>
      </w:r>
      <w:r w:rsidR="00B3331E">
        <w:rPr>
          <w:i/>
          <w:iCs/>
          <w:lang w:val="en-GB"/>
        </w:rPr>
        <w:t>t</w:t>
      </w:r>
      <w:r w:rsidR="00B3331E">
        <w:rPr>
          <w:lang w:val="en-GB"/>
        </w:rPr>
        <w:t xml:space="preserve">(284) = 10.33, </w:t>
      </w:r>
      <w:r w:rsidR="00B3331E">
        <w:rPr>
          <w:i/>
          <w:iCs/>
          <w:lang w:val="en-GB"/>
        </w:rPr>
        <w:t>p</w:t>
      </w:r>
      <w:r w:rsidR="00B3331E">
        <w:rPr>
          <w:lang w:val="en-GB"/>
        </w:rPr>
        <w:t xml:space="preserve"> &lt; .001, </w:t>
      </w:r>
      <w:r w:rsidR="00B3331E">
        <w:rPr>
          <w:i/>
          <w:iCs/>
          <w:lang w:val="en-GB"/>
        </w:rPr>
        <w:t>d</w:t>
      </w:r>
      <w:r w:rsidR="00B3331E">
        <w:rPr>
          <w:lang w:val="en-GB"/>
        </w:rPr>
        <w:t xml:space="preserve"> = 0.58, between neutral and sexual (</w:t>
      </w:r>
      <w:r w:rsidR="00B3331E">
        <w:rPr>
          <w:i/>
          <w:iCs/>
          <w:lang w:val="en-GB"/>
        </w:rPr>
        <w:t>M</w:t>
      </w:r>
      <w:r w:rsidR="00B3331E">
        <w:rPr>
          <w:lang w:val="en-GB"/>
        </w:rPr>
        <w:t xml:space="preserve"> = 3.23, </w:t>
      </w:r>
      <w:r w:rsidR="00B3331E">
        <w:rPr>
          <w:i/>
          <w:iCs/>
          <w:lang w:val="en-GB"/>
        </w:rPr>
        <w:t>SD</w:t>
      </w:r>
      <w:r w:rsidR="00B3331E">
        <w:rPr>
          <w:lang w:val="en-GB"/>
        </w:rPr>
        <w:t xml:space="preserve"> = 1.20) conditions, </w:t>
      </w:r>
      <w:r w:rsidR="00B3331E">
        <w:rPr>
          <w:i/>
          <w:iCs/>
          <w:lang w:val="en-GB"/>
        </w:rPr>
        <w:t>t</w:t>
      </w:r>
      <w:r w:rsidR="00B3331E">
        <w:rPr>
          <w:lang w:val="en-GB"/>
        </w:rPr>
        <w:t xml:space="preserve">(284) = 18.33, </w:t>
      </w:r>
      <w:r w:rsidR="00B3331E">
        <w:rPr>
          <w:i/>
          <w:iCs/>
          <w:lang w:val="en-GB"/>
        </w:rPr>
        <w:t>p</w:t>
      </w:r>
      <w:r w:rsidR="00B3331E">
        <w:rPr>
          <w:lang w:val="en-GB"/>
        </w:rPr>
        <w:t xml:space="preserve"> &lt; .001, </w:t>
      </w:r>
      <w:r w:rsidR="00B3331E">
        <w:rPr>
          <w:i/>
          <w:iCs/>
          <w:lang w:val="en-GB"/>
        </w:rPr>
        <w:t>d</w:t>
      </w:r>
      <w:r w:rsidR="00B3331E">
        <w:rPr>
          <w:lang w:val="en-GB"/>
        </w:rPr>
        <w:t xml:space="preserve"> = 1.00, and between emotional and sexual conditions, </w:t>
      </w:r>
      <w:r w:rsidR="00B3331E">
        <w:rPr>
          <w:i/>
          <w:iCs/>
          <w:lang w:val="en-GB"/>
        </w:rPr>
        <w:t>t</w:t>
      </w:r>
      <w:r w:rsidR="00B3331E">
        <w:rPr>
          <w:lang w:val="en-GB"/>
        </w:rPr>
        <w:t xml:space="preserve">(284) = 6.47, </w:t>
      </w:r>
      <w:r w:rsidR="00B3331E">
        <w:rPr>
          <w:i/>
          <w:iCs/>
          <w:lang w:val="en-GB"/>
        </w:rPr>
        <w:t>p</w:t>
      </w:r>
      <w:r w:rsidR="00B3331E">
        <w:rPr>
          <w:lang w:val="en-GB"/>
        </w:rPr>
        <w:t xml:space="preserve"> &lt; .001, </w:t>
      </w:r>
      <w:r w:rsidR="00B3331E">
        <w:rPr>
          <w:i/>
          <w:iCs/>
          <w:lang w:val="en-GB"/>
        </w:rPr>
        <w:t>d</w:t>
      </w:r>
      <w:r w:rsidR="00B3331E">
        <w:rPr>
          <w:lang w:val="en-GB"/>
        </w:rPr>
        <w:t xml:space="preserve"> = 0.31.</w:t>
      </w:r>
    </w:p>
    <w:p w14:paraId="74993FB3" w14:textId="565FA3A6" w:rsidR="00B3331E" w:rsidRDefault="00B3331E" w:rsidP="00D4300F">
      <w:pPr>
        <w:ind w:firstLine="567"/>
        <w:rPr>
          <w:lang w:val="en-GB"/>
        </w:rPr>
      </w:pPr>
      <w:r>
        <w:rPr>
          <w:lang w:val="en-GB"/>
        </w:rPr>
        <w:t>Thus, RT for the sexual words condition was significantly longer than RT for any of the other conditions</w:t>
      </w:r>
      <w:r w:rsidR="008F407C">
        <w:rPr>
          <w:lang w:val="en-GB"/>
        </w:rPr>
        <w:t>, as expected</w:t>
      </w:r>
      <w:r>
        <w:rPr>
          <w:lang w:val="en-GB"/>
        </w:rPr>
        <w:t>.</w:t>
      </w:r>
      <w:r w:rsidR="009059E8">
        <w:rPr>
          <w:lang w:val="en-GB"/>
        </w:rPr>
        <w:t xml:space="preserve"> </w:t>
      </w:r>
      <w:r w:rsidR="00AB1B89">
        <w:rPr>
          <w:lang w:val="en-GB"/>
        </w:rPr>
        <w:t>This</w:t>
      </w:r>
      <w:r w:rsidR="006C7CAA">
        <w:rPr>
          <w:lang w:val="en-GB"/>
        </w:rPr>
        <w:t xml:space="preserve"> was likewise the case for FP19201</w:t>
      </w:r>
      <w:r w:rsidR="00DE178F">
        <w:rPr>
          <w:lang w:val="en-GB"/>
        </w:rPr>
        <w:t xml:space="preserve">, </w:t>
      </w:r>
      <w:r w:rsidR="003A3E52">
        <w:rPr>
          <w:lang w:val="en-GB"/>
        </w:rPr>
        <w:t>see</w:t>
      </w:r>
      <w:r w:rsidR="00DE178F" w:rsidRPr="00AD2244">
        <w:rPr>
          <w:lang w:val="en-GB"/>
        </w:rPr>
        <w:t xml:space="preserve"> Figure 1</w:t>
      </w:r>
      <w:r w:rsidR="000D5EB4">
        <w:rPr>
          <w:lang w:val="en-GB"/>
        </w:rPr>
        <w:t>, further supporting our hypothesis</w:t>
      </w:r>
      <w:r w:rsidR="00DE178F" w:rsidRPr="00AD2244">
        <w:rPr>
          <w:lang w:val="en-GB"/>
        </w:rPr>
        <w:t>.</w:t>
      </w:r>
      <w:r w:rsidR="0098362A" w:rsidRPr="00AD2244">
        <w:rPr>
          <w:lang w:val="en-GB"/>
        </w:rPr>
        <w:t xml:space="preserve"> </w:t>
      </w:r>
      <w:r w:rsidR="008F407C">
        <w:rPr>
          <w:lang w:val="en-GB"/>
        </w:rPr>
        <w:t xml:space="preserve">FP19201 was tested using List 1, suggesting that </w:t>
      </w:r>
      <w:r w:rsidR="006668F4">
        <w:rPr>
          <w:lang w:val="en-GB"/>
        </w:rPr>
        <w:t xml:space="preserve">even </w:t>
      </w:r>
      <w:r w:rsidR="0078045E">
        <w:rPr>
          <w:lang w:val="en-GB"/>
        </w:rPr>
        <w:t xml:space="preserve">sexual and emotional words </w:t>
      </w:r>
      <w:r w:rsidR="001A3F50">
        <w:rPr>
          <w:lang w:val="en-GB"/>
        </w:rPr>
        <w:t>that</w:t>
      </w:r>
      <w:r w:rsidR="00055A97">
        <w:rPr>
          <w:lang w:val="en-GB"/>
        </w:rPr>
        <w:t xml:space="preserve"> were not considered very agitative</w:t>
      </w:r>
      <w:r w:rsidR="004C4981">
        <w:rPr>
          <w:lang w:val="en-GB"/>
        </w:rPr>
        <w:t xml:space="preserve">, compared to those of List 2, </w:t>
      </w:r>
      <w:r w:rsidR="003B50AA">
        <w:rPr>
          <w:lang w:val="en-GB"/>
        </w:rPr>
        <w:t xml:space="preserve">elicited stronger responses than </w:t>
      </w:r>
      <w:r w:rsidR="00C2772B">
        <w:rPr>
          <w:lang w:val="en-GB"/>
        </w:rPr>
        <w:t>neutral words</w:t>
      </w:r>
      <w:r w:rsidR="00EA2CDD">
        <w:rPr>
          <w:lang w:val="en-GB"/>
        </w:rPr>
        <w:t>, indicating t</w:t>
      </w:r>
      <w:r w:rsidR="00BD18E4">
        <w:rPr>
          <w:lang w:val="en-GB"/>
        </w:rPr>
        <w:t>hat the</w:t>
      </w:r>
      <w:r w:rsidR="00C3219E">
        <w:rPr>
          <w:lang w:val="en-GB"/>
        </w:rPr>
        <w:t xml:space="preserve"> effect</w:t>
      </w:r>
      <w:r w:rsidR="007910B5">
        <w:rPr>
          <w:lang w:val="en-GB"/>
        </w:rPr>
        <w:t xml:space="preserve"> is readily present.</w:t>
      </w:r>
    </w:p>
    <w:p w14:paraId="78D97EB4" w14:textId="4EE2245D" w:rsidR="00FE5579" w:rsidRPr="00B762CA" w:rsidRDefault="00FE5579" w:rsidP="002965FC">
      <w:pPr>
        <w:keepNext/>
        <w:jc w:val="center"/>
        <w:rPr>
          <w:lang w:val="en-US"/>
        </w:rPr>
      </w:pPr>
    </w:p>
    <w:p w14:paraId="585DD170" w14:textId="77777777" w:rsidR="007E16E0" w:rsidRDefault="00D20C56" w:rsidP="007E16E0">
      <w:pPr>
        <w:keepNext/>
        <w:spacing w:after="160" w:line="259" w:lineRule="auto"/>
        <w:jc w:val="left"/>
      </w:pPr>
      <w:r>
        <w:rPr>
          <w:noProof/>
        </w:rPr>
        <w:drawing>
          <wp:inline distT="0" distB="0" distL="0" distR="0" wp14:anchorId="318552CE" wp14:editId="326DFCA8">
            <wp:extent cx="6120130" cy="3472180"/>
            <wp:effectExtent l="0" t="0" r="13970" b="13970"/>
            <wp:docPr id="3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B7586DFF-C130-F249-B255-C954053878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8E47D26" w14:textId="4F30D594" w:rsidR="00B3331E" w:rsidRPr="00FE5579" w:rsidRDefault="00FE5579" w:rsidP="002965FC">
      <w:pPr>
        <w:pStyle w:val="Billedtekst"/>
        <w:jc w:val="center"/>
        <w:rPr>
          <w:lang w:val="en-US"/>
        </w:rPr>
      </w:pPr>
      <w:r w:rsidRPr="00FE5579">
        <w:rPr>
          <w:lang w:val="en-US"/>
        </w:rPr>
        <w:t xml:space="preserve">Figure </w:t>
      </w:r>
      <w:r>
        <w:fldChar w:fldCharType="begin"/>
      </w:r>
      <w:r w:rsidRPr="00FE5579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FE5579">
        <w:rPr>
          <w:lang w:val="en-US"/>
        </w:rPr>
        <w:t>: Graph showing RT for FP19201</w:t>
      </w:r>
      <w:r w:rsidR="001573D0">
        <w:rPr>
          <w:lang w:val="en-US"/>
        </w:rPr>
        <w:t>, list 1</w:t>
      </w:r>
    </w:p>
    <w:p w14:paraId="6A92A9D9" w14:textId="1306D9F6" w:rsidR="004103EF" w:rsidRPr="004D2321" w:rsidRDefault="004D2321" w:rsidP="004103EF">
      <w:pPr>
        <w:pStyle w:val="Overskrift2"/>
        <w:rPr>
          <w:lang w:val="en-US"/>
        </w:rPr>
      </w:pPr>
      <w:bookmarkStart w:id="7" w:name="_Toc20330533"/>
      <w:r w:rsidRPr="004D2321">
        <w:rPr>
          <w:lang w:val="en-US"/>
        </w:rPr>
        <w:lastRenderedPageBreak/>
        <w:t>GSR-response is higher for sexual words condition</w:t>
      </w:r>
      <w:bookmarkEnd w:id="7"/>
    </w:p>
    <w:p w14:paraId="20F75A5B" w14:textId="06FA3846" w:rsidR="004103EF" w:rsidRDefault="00E87D47" w:rsidP="00967CCC">
      <w:pPr>
        <w:rPr>
          <w:lang w:val="en-GB"/>
        </w:rPr>
      </w:pPr>
      <w:r>
        <w:rPr>
          <w:lang w:val="en-GB"/>
        </w:rPr>
        <w:t xml:space="preserve">A mixed ANOVA was conducted </w:t>
      </w:r>
      <w:r w:rsidR="00EC5184">
        <w:rPr>
          <w:lang w:val="en-GB"/>
        </w:rPr>
        <w:t xml:space="preserve">to test if </w:t>
      </w:r>
      <w:r w:rsidR="0061092D">
        <w:rPr>
          <w:lang w:val="en-GB"/>
        </w:rPr>
        <w:t>GSR-fluctuations</w:t>
      </w:r>
      <w:r w:rsidR="00E779D7">
        <w:rPr>
          <w:lang w:val="en-GB"/>
        </w:rPr>
        <w:t xml:space="preserve"> were significantly affected by word condition and </w:t>
      </w:r>
      <w:r w:rsidR="006E44FD">
        <w:rPr>
          <w:lang w:val="en-GB"/>
        </w:rPr>
        <w:t>word list</w:t>
      </w:r>
      <w:r w:rsidR="002935C5">
        <w:rPr>
          <w:lang w:val="en-GB"/>
        </w:rPr>
        <w:t>.</w:t>
      </w:r>
    </w:p>
    <w:p w14:paraId="62AC50E4" w14:textId="7B16F2B7" w:rsidR="002935C5" w:rsidRDefault="009C63FF" w:rsidP="00967CCC">
      <w:pPr>
        <w:ind w:firstLine="567"/>
        <w:rPr>
          <w:lang w:val="en-GB"/>
        </w:rPr>
      </w:pPr>
      <w:r>
        <w:rPr>
          <w:lang w:val="en-GB"/>
        </w:rPr>
        <w:t xml:space="preserve">The test showed a significant main effect of word condition, </w:t>
      </w:r>
      <w:r>
        <w:rPr>
          <w:i/>
          <w:iCs/>
          <w:lang w:val="en-GB"/>
        </w:rPr>
        <w:t>F</w:t>
      </w:r>
      <w:r>
        <w:rPr>
          <w:lang w:val="en-GB"/>
        </w:rPr>
        <w:t>(</w:t>
      </w:r>
      <w:r w:rsidR="00E52230">
        <w:rPr>
          <w:lang w:val="en-GB"/>
        </w:rPr>
        <w:t xml:space="preserve">1.73, 489.43) = </w:t>
      </w:r>
      <w:r w:rsidR="00AE0BAB">
        <w:rPr>
          <w:lang w:val="en-GB"/>
        </w:rPr>
        <w:t>11</w:t>
      </w:r>
      <w:r w:rsidR="00F6633C">
        <w:rPr>
          <w:lang w:val="en-GB"/>
        </w:rPr>
        <w:t>1</w:t>
      </w:r>
      <w:r w:rsidR="00755389">
        <w:rPr>
          <w:lang w:val="en-GB"/>
        </w:rPr>
        <w:t>2.05</w:t>
      </w:r>
      <w:r w:rsidR="006E5E0D">
        <w:rPr>
          <w:lang w:val="en-GB"/>
        </w:rPr>
        <w:t xml:space="preserve">, </w:t>
      </w:r>
      <w:r w:rsidR="006E5E0D">
        <w:rPr>
          <w:i/>
          <w:iCs/>
          <w:lang w:val="en-GB"/>
        </w:rPr>
        <w:t>p</w:t>
      </w:r>
      <w:r w:rsidR="006E5E0D">
        <w:rPr>
          <w:lang w:val="en-GB"/>
        </w:rPr>
        <w:t xml:space="preserve"> &lt; .001,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η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</m:oMath>
      <w:r w:rsidR="006E5E0D">
        <w:rPr>
          <w:lang w:val="en-GB"/>
        </w:rPr>
        <w:t xml:space="preserve"> = .80</w:t>
      </w:r>
      <w:r w:rsidR="009B1C01">
        <w:rPr>
          <w:lang w:val="en-GB"/>
        </w:rPr>
        <w:t xml:space="preserve"> (Huyhn-Feldt corrected), but no significant main effect of list</w:t>
      </w:r>
      <w:r w:rsidR="00926415">
        <w:rPr>
          <w:lang w:val="en-GB"/>
        </w:rPr>
        <w:t xml:space="preserve">, </w:t>
      </w:r>
      <w:r w:rsidR="00926415">
        <w:rPr>
          <w:i/>
          <w:iCs/>
          <w:lang w:val="en-GB"/>
        </w:rPr>
        <w:t>F</w:t>
      </w:r>
      <w:r w:rsidR="00926415">
        <w:rPr>
          <w:lang w:val="en-GB"/>
        </w:rPr>
        <w:t xml:space="preserve">(1, 283) = .03, </w:t>
      </w:r>
      <w:r w:rsidR="00926415">
        <w:rPr>
          <w:i/>
          <w:iCs/>
          <w:lang w:val="en-GB"/>
        </w:rPr>
        <w:t>p</w:t>
      </w:r>
      <w:r w:rsidR="00926415">
        <w:rPr>
          <w:lang w:val="en-GB"/>
        </w:rPr>
        <w:t xml:space="preserve"> = .86,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η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</m:oMath>
      <w:r w:rsidR="00926415">
        <w:rPr>
          <w:lang w:val="en-GB"/>
        </w:rPr>
        <w:t xml:space="preserve"> &lt; .001</w:t>
      </w:r>
      <w:r w:rsidR="00972B4F">
        <w:rPr>
          <w:lang w:val="en-GB"/>
        </w:rPr>
        <w:t xml:space="preserve">, and no significant interaction between word condition and list, </w:t>
      </w:r>
      <w:r w:rsidR="00972B4F">
        <w:rPr>
          <w:i/>
          <w:iCs/>
          <w:lang w:val="en-GB"/>
        </w:rPr>
        <w:t>F</w:t>
      </w:r>
      <w:r w:rsidR="00972B4F">
        <w:rPr>
          <w:lang w:val="en-GB"/>
        </w:rPr>
        <w:t>(</w:t>
      </w:r>
      <w:r w:rsidR="007F76BD">
        <w:rPr>
          <w:lang w:val="en-GB"/>
        </w:rPr>
        <w:t>0.</w:t>
      </w:r>
      <w:r w:rsidR="00464CC2">
        <w:rPr>
          <w:lang w:val="en-GB"/>
        </w:rPr>
        <w:t xml:space="preserve">45, </w:t>
      </w:r>
      <w:r w:rsidR="00BC5EE8">
        <w:rPr>
          <w:lang w:val="en-GB"/>
        </w:rPr>
        <w:t>489.43</w:t>
      </w:r>
      <w:r w:rsidR="007F1E1D">
        <w:rPr>
          <w:lang w:val="en-GB"/>
        </w:rPr>
        <w:t xml:space="preserve">) = 2.02, </w:t>
      </w:r>
      <w:r w:rsidR="007F1E1D">
        <w:rPr>
          <w:i/>
          <w:iCs/>
          <w:lang w:val="en-GB"/>
        </w:rPr>
        <w:t>p</w:t>
      </w:r>
      <w:r w:rsidR="007F1E1D">
        <w:rPr>
          <w:lang w:val="en-GB"/>
        </w:rPr>
        <w:t xml:space="preserve"> = </w:t>
      </w:r>
      <w:r w:rsidR="009A0C7B">
        <w:rPr>
          <w:lang w:val="en-GB"/>
        </w:rPr>
        <w:t xml:space="preserve">0.14, </w:t>
      </w:r>
      <m:oMath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η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  <m:sup>
            <m:r>
              <w:rPr>
                <w:rFonts w:ascii="Cambria Math" w:hAnsi="Cambria Math"/>
                <w:lang w:val="en-GB"/>
              </w:rPr>
              <m:t>2</m:t>
            </m:r>
          </m:sup>
        </m:sSubSup>
      </m:oMath>
      <w:r w:rsidR="009A0C7B">
        <w:rPr>
          <w:lang w:val="en-GB"/>
        </w:rPr>
        <w:t xml:space="preserve"> = .007</w:t>
      </w:r>
      <w:r w:rsidR="00D5169E">
        <w:rPr>
          <w:lang w:val="en-GB"/>
        </w:rPr>
        <w:t xml:space="preserve"> (Huyhn-Feldt corrected).</w:t>
      </w:r>
    </w:p>
    <w:p w14:paraId="44363985" w14:textId="7FC2293D" w:rsidR="00972B4F" w:rsidRPr="00972B4F" w:rsidRDefault="00911F0C" w:rsidP="00967CCC">
      <w:pPr>
        <w:ind w:firstLine="567"/>
        <w:rPr>
          <w:lang w:val="en-GB"/>
        </w:rPr>
      </w:pPr>
      <w:r>
        <w:rPr>
          <w:lang w:val="en-GB"/>
        </w:rPr>
        <w:t>This means that GSR-fluctuations depend on word condition</w:t>
      </w:r>
      <w:r w:rsidR="008C6932">
        <w:rPr>
          <w:lang w:val="en-GB"/>
        </w:rPr>
        <w:t>,</w:t>
      </w:r>
      <w:r w:rsidR="009D6B33">
        <w:rPr>
          <w:lang w:val="en-GB"/>
        </w:rPr>
        <w:t xml:space="preserve"> </w:t>
      </w:r>
      <w:r w:rsidR="00EF5339">
        <w:rPr>
          <w:lang w:val="en-GB"/>
        </w:rPr>
        <w:t>and</w:t>
      </w:r>
      <w:r w:rsidR="009D6B33">
        <w:rPr>
          <w:lang w:val="en-GB"/>
        </w:rPr>
        <w:t xml:space="preserve"> the effect of word</w:t>
      </w:r>
      <w:r w:rsidR="00672685">
        <w:rPr>
          <w:lang w:val="en-GB"/>
        </w:rPr>
        <w:t xml:space="preserve"> condition did</w:t>
      </w:r>
      <w:r w:rsidR="001F4A9D">
        <w:rPr>
          <w:lang w:val="en-GB"/>
        </w:rPr>
        <w:t xml:space="preserve"> </w:t>
      </w:r>
      <w:r w:rsidR="00672685">
        <w:rPr>
          <w:lang w:val="en-GB"/>
        </w:rPr>
        <w:t>not vary significantly between the two lists.</w:t>
      </w:r>
    </w:p>
    <w:p w14:paraId="12370477" w14:textId="77777777" w:rsidR="00796A4B" w:rsidRDefault="00796A4B" w:rsidP="00EF0B6A">
      <w:pPr>
        <w:rPr>
          <w:lang w:val="en-GB"/>
        </w:rPr>
      </w:pPr>
    </w:p>
    <w:p w14:paraId="4260F79C" w14:textId="7709B466" w:rsidR="009A3286" w:rsidRPr="009A3286" w:rsidRDefault="00BD58C6" w:rsidP="00C97EA6">
      <w:pPr>
        <w:rPr>
          <w:lang w:val="en-GB"/>
        </w:rPr>
      </w:pPr>
      <w:r>
        <w:rPr>
          <w:lang w:val="en-GB"/>
        </w:rPr>
        <w:t xml:space="preserve">Paired samples </w:t>
      </w:r>
      <w:r>
        <w:rPr>
          <w:i/>
          <w:iCs/>
          <w:lang w:val="en-GB"/>
        </w:rPr>
        <w:t>t</w:t>
      </w:r>
      <w:r>
        <w:rPr>
          <w:lang w:val="en-GB"/>
        </w:rPr>
        <w:t>-</w:t>
      </w:r>
      <w:r w:rsidR="009A7251">
        <w:rPr>
          <w:lang w:val="en-GB"/>
        </w:rPr>
        <w:t xml:space="preserve">tests showed </w:t>
      </w:r>
      <w:r w:rsidR="00C23316">
        <w:rPr>
          <w:lang w:val="en-GB"/>
        </w:rPr>
        <w:t>significant differences in mean GSR-fluctuations between neutral (</w:t>
      </w:r>
      <w:r w:rsidR="00027D3F">
        <w:rPr>
          <w:i/>
          <w:iCs/>
          <w:lang w:val="en-GB"/>
        </w:rPr>
        <w:t>M</w:t>
      </w:r>
      <w:r w:rsidR="00027D3F">
        <w:rPr>
          <w:lang w:val="en-GB"/>
        </w:rPr>
        <w:t xml:space="preserve"> = </w:t>
      </w:r>
      <w:r w:rsidR="00F01588">
        <w:rPr>
          <w:lang w:val="en-GB"/>
        </w:rPr>
        <w:t>-</w:t>
      </w:r>
      <w:r w:rsidR="00D24D01">
        <w:rPr>
          <w:lang w:val="en-GB"/>
        </w:rPr>
        <w:t xml:space="preserve">0.31, </w:t>
      </w:r>
      <w:r w:rsidR="00D24D01">
        <w:rPr>
          <w:i/>
          <w:iCs/>
          <w:lang w:val="en-GB"/>
        </w:rPr>
        <w:t>SD</w:t>
      </w:r>
      <w:r w:rsidR="00D24D01">
        <w:rPr>
          <w:lang w:val="en-GB"/>
        </w:rPr>
        <w:t xml:space="preserve"> = </w:t>
      </w:r>
      <w:r w:rsidR="00053653">
        <w:rPr>
          <w:lang w:val="en-GB"/>
        </w:rPr>
        <w:t>0.12</w:t>
      </w:r>
      <w:r w:rsidR="00C23316">
        <w:rPr>
          <w:lang w:val="en-GB"/>
        </w:rPr>
        <w:t>) and emotional (</w:t>
      </w:r>
      <w:r w:rsidR="00053653">
        <w:rPr>
          <w:i/>
          <w:iCs/>
          <w:lang w:val="en-GB"/>
        </w:rPr>
        <w:t>M</w:t>
      </w:r>
      <w:r w:rsidR="00053653">
        <w:rPr>
          <w:lang w:val="en-GB"/>
        </w:rPr>
        <w:t xml:space="preserve"> = 0.22, </w:t>
      </w:r>
      <w:r w:rsidR="00053653">
        <w:rPr>
          <w:i/>
          <w:iCs/>
          <w:lang w:val="en-GB"/>
        </w:rPr>
        <w:t>SD</w:t>
      </w:r>
      <w:r w:rsidR="00053653">
        <w:rPr>
          <w:lang w:val="en-GB"/>
        </w:rPr>
        <w:t xml:space="preserve"> = 0.29</w:t>
      </w:r>
      <w:r w:rsidR="00C23316">
        <w:rPr>
          <w:lang w:val="en-GB"/>
        </w:rPr>
        <w:t xml:space="preserve">) conditions, </w:t>
      </w:r>
      <w:r w:rsidR="00C23316">
        <w:rPr>
          <w:i/>
          <w:iCs/>
          <w:lang w:val="en-GB"/>
        </w:rPr>
        <w:t>t</w:t>
      </w:r>
      <w:r w:rsidR="00C23316">
        <w:rPr>
          <w:lang w:val="en-GB"/>
        </w:rPr>
        <w:t>(</w:t>
      </w:r>
      <w:r w:rsidR="002C76D8">
        <w:rPr>
          <w:lang w:val="en-GB"/>
        </w:rPr>
        <w:t xml:space="preserve">284) = </w:t>
      </w:r>
      <w:r w:rsidR="00E01CCA">
        <w:rPr>
          <w:lang w:val="en-GB"/>
        </w:rPr>
        <w:t xml:space="preserve">24.48, </w:t>
      </w:r>
      <w:r w:rsidR="00E01CCA">
        <w:rPr>
          <w:i/>
          <w:iCs/>
          <w:lang w:val="en-GB"/>
        </w:rPr>
        <w:t>p</w:t>
      </w:r>
      <w:r w:rsidR="00E01CCA">
        <w:rPr>
          <w:lang w:val="en-GB"/>
        </w:rPr>
        <w:t xml:space="preserve"> &lt; .001, </w:t>
      </w:r>
      <w:r w:rsidR="00E01CCA">
        <w:rPr>
          <w:i/>
          <w:iCs/>
          <w:lang w:val="en-GB"/>
        </w:rPr>
        <w:t>d</w:t>
      </w:r>
      <w:r w:rsidR="00E01CCA">
        <w:rPr>
          <w:lang w:val="en-GB"/>
        </w:rPr>
        <w:t xml:space="preserve"> = </w:t>
      </w:r>
      <w:r w:rsidR="00313F0C">
        <w:rPr>
          <w:lang w:val="en-GB"/>
        </w:rPr>
        <w:t>2.58, between neutral and sexual (</w:t>
      </w:r>
      <w:r w:rsidR="00053653">
        <w:rPr>
          <w:i/>
          <w:iCs/>
          <w:lang w:val="en-GB"/>
        </w:rPr>
        <w:t>M</w:t>
      </w:r>
      <w:r w:rsidR="00053653">
        <w:rPr>
          <w:lang w:val="en-GB"/>
        </w:rPr>
        <w:t xml:space="preserve"> = 1.01, </w:t>
      </w:r>
      <w:r w:rsidR="00053653">
        <w:rPr>
          <w:i/>
          <w:iCs/>
          <w:lang w:val="en-GB"/>
        </w:rPr>
        <w:t>SD</w:t>
      </w:r>
      <w:r w:rsidR="00053653">
        <w:rPr>
          <w:lang w:val="en-GB"/>
        </w:rPr>
        <w:t xml:space="preserve"> = </w:t>
      </w:r>
      <w:r w:rsidR="007634E8">
        <w:rPr>
          <w:lang w:val="en-GB"/>
        </w:rPr>
        <w:t>0.41</w:t>
      </w:r>
      <w:r w:rsidR="00313F0C">
        <w:rPr>
          <w:lang w:val="en-GB"/>
        </w:rPr>
        <w:t>)</w:t>
      </w:r>
      <w:r w:rsidR="00C621ED">
        <w:rPr>
          <w:lang w:val="en-GB"/>
        </w:rPr>
        <w:t xml:space="preserve"> conditions</w:t>
      </w:r>
      <w:r w:rsidR="00313F0C">
        <w:rPr>
          <w:lang w:val="en-GB"/>
        </w:rPr>
        <w:t xml:space="preserve">, </w:t>
      </w:r>
      <w:r w:rsidR="00313F0C">
        <w:rPr>
          <w:i/>
          <w:iCs/>
          <w:lang w:val="en-GB"/>
        </w:rPr>
        <w:t>t</w:t>
      </w:r>
      <w:r w:rsidR="00313F0C">
        <w:rPr>
          <w:lang w:val="en-GB"/>
        </w:rPr>
        <w:t>(284) = 44.</w:t>
      </w:r>
      <w:r w:rsidR="003C73C0">
        <w:rPr>
          <w:lang w:val="en-GB"/>
        </w:rPr>
        <w:t xml:space="preserve">43, </w:t>
      </w:r>
      <w:r w:rsidR="003C73C0">
        <w:rPr>
          <w:i/>
          <w:iCs/>
          <w:lang w:val="en-GB"/>
        </w:rPr>
        <w:t>p</w:t>
      </w:r>
      <w:r w:rsidR="003C73C0">
        <w:rPr>
          <w:lang w:val="en-GB"/>
        </w:rPr>
        <w:t xml:space="preserve"> &lt; .001, </w:t>
      </w:r>
      <w:r w:rsidR="003C73C0">
        <w:rPr>
          <w:i/>
          <w:iCs/>
          <w:lang w:val="en-GB"/>
        </w:rPr>
        <w:t>d</w:t>
      </w:r>
      <w:r w:rsidR="003C73C0">
        <w:rPr>
          <w:lang w:val="en-GB"/>
        </w:rPr>
        <w:t xml:space="preserve"> = </w:t>
      </w:r>
      <w:r w:rsidR="00C80B0A">
        <w:rPr>
          <w:lang w:val="en-GB"/>
        </w:rPr>
        <w:t xml:space="preserve">5.05, and between </w:t>
      </w:r>
      <w:r w:rsidR="00C621ED">
        <w:rPr>
          <w:lang w:val="en-GB"/>
        </w:rPr>
        <w:t xml:space="preserve">emotional and sexual conditions, </w:t>
      </w:r>
      <w:r w:rsidR="00C621ED">
        <w:rPr>
          <w:i/>
          <w:iCs/>
          <w:lang w:val="en-GB"/>
        </w:rPr>
        <w:t>t</w:t>
      </w:r>
      <w:r w:rsidR="00E33720">
        <w:rPr>
          <w:lang w:val="en-GB"/>
        </w:rPr>
        <w:t xml:space="preserve">(284) = </w:t>
      </w:r>
      <w:r w:rsidR="00FC2751">
        <w:rPr>
          <w:lang w:val="en-GB"/>
        </w:rPr>
        <w:t>24.</w:t>
      </w:r>
      <w:r w:rsidR="00027D3F">
        <w:rPr>
          <w:lang w:val="en-GB"/>
        </w:rPr>
        <w:t xml:space="preserve">99, </w:t>
      </w:r>
      <w:r w:rsidR="00027D3F">
        <w:rPr>
          <w:i/>
          <w:iCs/>
          <w:lang w:val="en-GB"/>
        </w:rPr>
        <w:t xml:space="preserve">p </w:t>
      </w:r>
      <w:r w:rsidR="00027D3F">
        <w:rPr>
          <w:lang w:val="en-GB"/>
        </w:rPr>
        <w:t xml:space="preserve">&lt; .001, </w:t>
      </w:r>
      <w:r w:rsidR="00027D3F">
        <w:rPr>
          <w:i/>
          <w:iCs/>
          <w:lang w:val="en-GB"/>
        </w:rPr>
        <w:t>d</w:t>
      </w:r>
      <w:r w:rsidR="00027D3F">
        <w:rPr>
          <w:lang w:val="en-GB"/>
        </w:rPr>
        <w:t xml:space="preserve"> = 2.26.</w:t>
      </w:r>
    </w:p>
    <w:p w14:paraId="0A8AC654" w14:textId="2D2949FF" w:rsidR="00F53035" w:rsidRDefault="007523E0" w:rsidP="00214BC2">
      <w:pPr>
        <w:ind w:firstLine="567"/>
        <w:rPr>
          <w:lang w:val="en-GB"/>
        </w:rPr>
      </w:pPr>
      <w:r>
        <w:rPr>
          <w:lang w:val="en-GB"/>
        </w:rPr>
        <w:t>This implies that word condition matters greatly</w:t>
      </w:r>
      <w:r w:rsidR="0066658A">
        <w:rPr>
          <w:lang w:val="en-GB"/>
        </w:rPr>
        <w:t xml:space="preserve"> for GSR</w:t>
      </w:r>
      <w:r w:rsidR="00134CE6">
        <w:rPr>
          <w:lang w:val="en-GB"/>
        </w:rPr>
        <w:t>-fluctuations</w:t>
      </w:r>
      <w:r w:rsidR="000540B6">
        <w:rPr>
          <w:lang w:val="en-GB"/>
        </w:rPr>
        <w:t xml:space="preserve"> and that the sexual words</w:t>
      </w:r>
      <w:r w:rsidR="00374DAA">
        <w:rPr>
          <w:lang w:val="en-GB"/>
        </w:rPr>
        <w:t xml:space="preserve"> </w:t>
      </w:r>
      <w:r w:rsidR="000540B6">
        <w:rPr>
          <w:lang w:val="en-GB"/>
        </w:rPr>
        <w:t>condition has a greater effect</w:t>
      </w:r>
      <w:r w:rsidR="00374DAA">
        <w:rPr>
          <w:lang w:val="en-GB"/>
        </w:rPr>
        <w:t xml:space="preserve"> </w:t>
      </w:r>
      <w:r w:rsidR="00DE178F">
        <w:rPr>
          <w:lang w:val="en-GB"/>
        </w:rPr>
        <w:t xml:space="preserve">on GSR </w:t>
      </w:r>
      <w:r w:rsidR="00374DAA">
        <w:rPr>
          <w:lang w:val="en-GB"/>
        </w:rPr>
        <w:t>than the emotional words condition.</w:t>
      </w:r>
      <w:r w:rsidR="00DE178F">
        <w:rPr>
          <w:lang w:val="en-GB"/>
        </w:rPr>
        <w:t xml:space="preserve"> This was likewise the case for FP19201</w:t>
      </w:r>
      <w:r w:rsidR="002B09CE">
        <w:rPr>
          <w:lang w:val="en-GB"/>
        </w:rPr>
        <w:t xml:space="preserve"> who showed the greatest GSR-fluctuation </w:t>
      </w:r>
      <w:r w:rsidR="003B1186">
        <w:rPr>
          <w:lang w:val="en-GB"/>
        </w:rPr>
        <w:t>levels</w:t>
      </w:r>
      <w:r w:rsidR="002B09CE">
        <w:rPr>
          <w:lang w:val="en-GB"/>
        </w:rPr>
        <w:t xml:space="preserve"> </w:t>
      </w:r>
      <w:r w:rsidR="003B1186">
        <w:rPr>
          <w:lang w:val="en-GB"/>
        </w:rPr>
        <w:t>above</w:t>
      </w:r>
      <w:r w:rsidR="002B09CE">
        <w:rPr>
          <w:lang w:val="en-GB"/>
        </w:rPr>
        <w:t xml:space="preserve"> </w:t>
      </w:r>
      <w:r w:rsidR="00311BCA">
        <w:rPr>
          <w:lang w:val="en-GB"/>
        </w:rPr>
        <w:t>sample mean for sexual words</w:t>
      </w:r>
      <w:r w:rsidR="00180818">
        <w:rPr>
          <w:lang w:val="en-GB"/>
        </w:rPr>
        <w:t>, as well as GSR-levels above sample mean for emotional</w:t>
      </w:r>
      <w:r w:rsidR="00214BC2">
        <w:rPr>
          <w:lang w:val="en-GB"/>
        </w:rPr>
        <w:t xml:space="preserve"> </w:t>
      </w:r>
      <w:r w:rsidR="00180818">
        <w:rPr>
          <w:lang w:val="en-GB"/>
        </w:rPr>
        <w:t xml:space="preserve">words, but </w:t>
      </w:r>
      <w:r w:rsidR="00A06691">
        <w:rPr>
          <w:lang w:val="en-GB"/>
        </w:rPr>
        <w:t xml:space="preserve">fluctuations </w:t>
      </w:r>
      <w:r w:rsidR="00180818">
        <w:rPr>
          <w:lang w:val="en-GB"/>
        </w:rPr>
        <w:t xml:space="preserve">below sample mean for neutral words, illustrated in </w:t>
      </w:r>
      <w:r w:rsidR="00180818" w:rsidRPr="00731AC8">
        <w:rPr>
          <w:lang w:val="en-GB"/>
        </w:rPr>
        <w:t>Figure 2</w:t>
      </w:r>
      <w:r w:rsidR="00195717">
        <w:rPr>
          <w:lang w:val="en-GB"/>
        </w:rPr>
        <w:t>.</w:t>
      </w:r>
    </w:p>
    <w:p w14:paraId="4EFA4C50" w14:textId="77777777" w:rsidR="00F53035" w:rsidRDefault="00F53035" w:rsidP="00F53035">
      <w:pPr>
        <w:rPr>
          <w:lang w:val="en-GB"/>
        </w:rPr>
      </w:pPr>
    </w:p>
    <w:p w14:paraId="26385C50" w14:textId="2793CE21" w:rsidR="00870AD2" w:rsidRDefault="00910064" w:rsidP="00F53035">
      <w:pPr>
        <w:rPr>
          <w:lang w:val="en-GB"/>
        </w:rPr>
      </w:pPr>
      <w:r>
        <w:rPr>
          <w:lang w:val="en-GB"/>
        </w:rPr>
        <w:t xml:space="preserve">These results </w:t>
      </w:r>
      <w:r w:rsidR="00AE33AF">
        <w:rPr>
          <w:lang w:val="en-GB"/>
        </w:rPr>
        <w:t xml:space="preserve">generally </w:t>
      </w:r>
      <w:r>
        <w:rPr>
          <w:lang w:val="en-GB"/>
        </w:rPr>
        <w:t>support our hypothesis</w:t>
      </w:r>
      <w:r w:rsidR="00F53035">
        <w:rPr>
          <w:lang w:val="en-GB"/>
        </w:rPr>
        <w:t xml:space="preserve">, although </w:t>
      </w:r>
      <w:r w:rsidR="00220BD6">
        <w:rPr>
          <w:lang w:val="en-GB"/>
        </w:rPr>
        <w:t xml:space="preserve">it was further </w:t>
      </w:r>
      <w:r w:rsidR="00F53035">
        <w:rPr>
          <w:lang w:val="en-GB"/>
        </w:rPr>
        <w:t>expect</w:t>
      </w:r>
      <w:r w:rsidR="00220BD6">
        <w:rPr>
          <w:lang w:val="en-GB"/>
        </w:rPr>
        <w:t>ed</w:t>
      </w:r>
      <w:r w:rsidR="00F53035">
        <w:rPr>
          <w:lang w:val="en-GB"/>
        </w:rPr>
        <w:t xml:space="preserve"> to see a significant main effect</w:t>
      </w:r>
      <w:r w:rsidR="001E2A08">
        <w:rPr>
          <w:lang w:val="en-GB"/>
        </w:rPr>
        <w:t xml:space="preserve"> of list, as List 2 </w:t>
      </w:r>
      <w:r w:rsidR="009E759F">
        <w:rPr>
          <w:lang w:val="en-GB"/>
        </w:rPr>
        <w:t>contains more agitative emotional and sexual words than List 1.</w:t>
      </w:r>
    </w:p>
    <w:p w14:paraId="78CB17B3" w14:textId="77777777" w:rsidR="00B25A51" w:rsidRDefault="00B25A51" w:rsidP="00214BC2">
      <w:pPr>
        <w:ind w:firstLine="567"/>
        <w:rPr>
          <w:lang w:val="en-GB"/>
        </w:rPr>
      </w:pPr>
    </w:p>
    <w:p w14:paraId="0B80E840" w14:textId="1C9847EE" w:rsidR="00B25A51" w:rsidRDefault="008D653B" w:rsidP="00B25A51">
      <w:pPr>
        <w:ind w:firstLine="567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0F61D35" wp14:editId="46E96BAC">
            <wp:extent cx="6120130" cy="3472180"/>
            <wp:effectExtent l="0" t="0" r="13970" b="1397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121A53B6-DD3E-5442-8424-58FD3248A0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1013F15" w14:textId="77E7CBD7" w:rsidR="00B25A51" w:rsidRPr="006C7CAA" w:rsidRDefault="00DB489A" w:rsidP="00B25A51">
      <w:pPr>
        <w:pStyle w:val="Billedtekst"/>
        <w:jc w:val="center"/>
        <w:rPr>
          <w:lang w:val="en-GB"/>
        </w:rPr>
      </w:pPr>
      <w:r>
        <w:rPr>
          <w:lang w:val="en-US"/>
        </w:rPr>
        <w:t xml:space="preserve">Figure 2: </w:t>
      </w:r>
      <w:r w:rsidR="00B25A51" w:rsidRPr="008172CE">
        <w:rPr>
          <w:lang w:val="en-US"/>
        </w:rPr>
        <w:t>Graph showing GSR</w:t>
      </w:r>
      <w:r w:rsidR="00B25A51" w:rsidRPr="008172CE">
        <w:rPr>
          <w:vertAlign w:val="subscript"/>
          <w:lang w:val="en-US"/>
        </w:rPr>
        <w:t>z</w:t>
      </w:r>
      <w:r w:rsidR="00B25A51" w:rsidRPr="008172CE">
        <w:rPr>
          <w:lang w:val="en-US"/>
        </w:rPr>
        <w:t xml:space="preserve"> for FP19201</w:t>
      </w:r>
      <w:r w:rsidR="001573D0">
        <w:rPr>
          <w:lang w:val="en-US"/>
        </w:rPr>
        <w:t xml:space="preserve">, list </w:t>
      </w:r>
      <w:r w:rsidR="00FA380F">
        <w:rPr>
          <w:lang w:val="en-US"/>
        </w:rPr>
        <w:t>1</w:t>
      </w:r>
    </w:p>
    <w:p w14:paraId="0F2E5F0D" w14:textId="77777777" w:rsidR="00B25A51" w:rsidRPr="00870AD2" w:rsidRDefault="00B25A51" w:rsidP="00214BC2">
      <w:pPr>
        <w:ind w:firstLine="567"/>
        <w:rPr>
          <w:lang w:val="en-GB"/>
        </w:rPr>
      </w:pPr>
    </w:p>
    <w:p w14:paraId="71B11D13" w14:textId="77777777" w:rsidR="002B33AC" w:rsidRDefault="002B33AC">
      <w:pPr>
        <w:spacing w:after="160" w:line="259" w:lineRule="auto"/>
        <w:jc w:val="left"/>
        <w:rPr>
          <w:rFonts w:ascii="Arial" w:hAnsi="Arial" w:cs="Arial"/>
          <w:b/>
          <w:bCs/>
          <w:iCs/>
          <w:szCs w:val="28"/>
          <w:lang w:val="en-GB"/>
        </w:rPr>
      </w:pPr>
      <w:r>
        <w:rPr>
          <w:lang w:val="en-GB"/>
        </w:rPr>
        <w:br w:type="page"/>
      </w:r>
    </w:p>
    <w:p w14:paraId="53FE8BC8" w14:textId="11B89822" w:rsidR="00B25A51" w:rsidRDefault="00B25A51" w:rsidP="00B25A51">
      <w:pPr>
        <w:pStyle w:val="Overskrift2"/>
        <w:rPr>
          <w:lang w:val="en-GB"/>
        </w:rPr>
      </w:pPr>
      <w:r>
        <w:rPr>
          <w:lang w:val="en-GB"/>
        </w:rPr>
        <w:lastRenderedPageBreak/>
        <w:t>Correlations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03"/>
        <w:gridCol w:w="1558"/>
        <w:gridCol w:w="1595"/>
        <w:gridCol w:w="1604"/>
        <w:gridCol w:w="1577"/>
        <w:gridCol w:w="1701"/>
      </w:tblGrid>
      <w:tr w:rsidR="002A295E" w14:paraId="5DD24A89" w14:textId="77777777" w:rsidTr="00B25A51">
        <w:tc>
          <w:tcPr>
            <w:tcW w:w="96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83654F" w14:textId="11C16291" w:rsidR="002A295E" w:rsidRDefault="002A295E" w:rsidP="00004E97">
            <w:pPr>
              <w:rPr>
                <w:lang w:val="en-GB"/>
              </w:rPr>
            </w:pPr>
            <w:r>
              <w:rPr>
                <w:lang w:val="en-GB"/>
              </w:rPr>
              <w:t>Table 2</w:t>
            </w:r>
          </w:p>
        </w:tc>
      </w:tr>
      <w:tr w:rsidR="002A295E" w:rsidRPr="00BA598E" w14:paraId="537F6455" w14:textId="77777777" w:rsidTr="00B25A51">
        <w:tc>
          <w:tcPr>
            <w:tcW w:w="9638" w:type="dxa"/>
            <w:gridSpan w:val="6"/>
            <w:tcBorders>
              <w:left w:val="nil"/>
              <w:right w:val="nil"/>
            </w:tcBorders>
            <w:vAlign w:val="center"/>
          </w:tcPr>
          <w:p w14:paraId="4F6E3F4E" w14:textId="228CBC47" w:rsidR="002A295E" w:rsidRDefault="002A295E" w:rsidP="002A295E">
            <w:pPr>
              <w:rPr>
                <w:lang w:val="en-GB"/>
              </w:rPr>
            </w:pPr>
            <w:r w:rsidRPr="005E2B24">
              <w:rPr>
                <w:i/>
                <w:iCs/>
                <w:lang w:val="en-US"/>
              </w:rPr>
              <w:t>Correlations between RT and GSR-fluctuations</w:t>
            </w:r>
          </w:p>
        </w:tc>
      </w:tr>
      <w:tr w:rsidR="00061CA3" w14:paraId="3EF9B052" w14:textId="77777777" w:rsidTr="00B25A51">
        <w:tc>
          <w:tcPr>
            <w:tcW w:w="1603" w:type="dxa"/>
            <w:tcBorders>
              <w:left w:val="nil"/>
              <w:bottom w:val="single" w:sz="4" w:space="0" w:color="auto"/>
              <w:right w:val="nil"/>
            </w:tcBorders>
          </w:tcPr>
          <w:p w14:paraId="5938F847" w14:textId="77777777" w:rsidR="00061CA3" w:rsidRDefault="00061CA3" w:rsidP="00061CA3">
            <w:pPr>
              <w:rPr>
                <w:lang w:val="en-GB"/>
              </w:rPr>
            </w:pPr>
          </w:p>
        </w:tc>
        <w:tc>
          <w:tcPr>
            <w:tcW w:w="1558" w:type="dxa"/>
            <w:tcBorders>
              <w:left w:val="nil"/>
              <w:bottom w:val="single" w:sz="4" w:space="0" w:color="auto"/>
              <w:right w:val="nil"/>
            </w:tcBorders>
          </w:tcPr>
          <w:p w14:paraId="7999AF1B" w14:textId="35B25DEF" w:rsidR="00061CA3" w:rsidRDefault="00061CA3" w:rsidP="00061CA3">
            <w:pPr>
              <w:rPr>
                <w:lang w:val="en-GB"/>
              </w:rPr>
            </w:pPr>
            <w:r>
              <w:t>RT_Sex</w:t>
            </w:r>
          </w:p>
        </w:tc>
        <w:tc>
          <w:tcPr>
            <w:tcW w:w="1595" w:type="dxa"/>
            <w:tcBorders>
              <w:left w:val="nil"/>
              <w:bottom w:val="single" w:sz="4" w:space="0" w:color="auto"/>
              <w:right w:val="nil"/>
            </w:tcBorders>
          </w:tcPr>
          <w:p w14:paraId="17DF8D8E" w14:textId="16CA60A2" w:rsidR="00061CA3" w:rsidRDefault="00061CA3" w:rsidP="00061CA3">
            <w:pPr>
              <w:rPr>
                <w:lang w:val="en-GB"/>
              </w:rPr>
            </w:pPr>
            <w:r>
              <w:t>RT_Emotion</w:t>
            </w:r>
          </w:p>
        </w:tc>
        <w:tc>
          <w:tcPr>
            <w:tcW w:w="1604" w:type="dxa"/>
            <w:tcBorders>
              <w:left w:val="nil"/>
              <w:bottom w:val="single" w:sz="4" w:space="0" w:color="auto"/>
              <w:right w:val="nil"/>
            </w:tcBorders>
          </w:tcPr>
          <w:p w14:paraId="7646460B" w14:textId="6CE9F347" w:rsidR="00061CA3" w:rsidRDefault="00061CA3" w:rsidP="00061CA3">
            <w:pPr>
              <w:rPr>
                <w:lang w:val="en-GB"/>
              </w:rPr>
            </w:pPr>
            <w:r>
              <w:t>GSR</w:t>
            </w:r>
            <w:r w:rsidRPr="00D7276E">
              <w:rPr>
                <w:vertAlign w:val="subscript"/>
              </w:rPr>
              <w:t>z</w:t>
            </w:r>
            <w:r>
              <w:t>_Neutral</w:t>
            </w:r>
          </w:p>
        </w:tc>
        <w:tc>
          <w:tcPr>
            <w:tcW w:w="1577" w:type="dxa"/>
            <w:tcBorders>
              <w:left w:val="nil"/>
              <w:bottom w:val="single" w:sz="4" w:space="0" w:color="auto"/>
              <w:right w:val="nil"/>
            </w:tcBorders>
          </w:tcPr>
          <w:p w14:paraId="00F9FC73" w14:textId="6626CF1F" w:rsidR="00061CA3" w:rsidRDefault="00061CA3" w:rsidP="00061CA3">
            <w:pPr>
              <w:rPr>
                <w:lang w:val="en-GB"/>
              </w:rPr>
            </w:pPr>
            <w:r>
              <w:t>GSR</w:t>
            </w:r>
            <w:r w:rsidRPr="00D7276E">
              <w:rPr>
                <w:vertAlign w:val="subscript"/>
              </w:rPr>
              <w:t>z</w:t>
            </w:r>
            <w:r>
              <w:t>_Sex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</w:tcPr>
          <w:p w14:paraId="11568359" w14:textId="79E4BA7D" w:rsidR="00061CA3" w:rsidRDefault="00061CA3" w:rsidP="00061CA3">
            <w:pPr>
              <w:rPr>
                <w:lang w:val="en-GB"/>
              </w:rPr>
            </w:pPr>
            <w:r>
              <w:t>GSR</w:t>
            </w:r>
            <w:r w:rsidRPr="00D7276E">
              <w:rPr>
                <w:vertAlign w:val="subscript"/>
              </w:rPr>
              <w:t>z</w:t>
            </w:r>
            <w:r>
              <w:t>_Emotion</w:t>
            </w:r>
          </w:p>
        </w:tc>
      </w:tr>
      <w:tr w:rsidR="00061CA3" w14:paraId="3E5B6BA2" w14:textId="77777777" w:rsidTr="00B25A51">
        <w:tc>
          <w:tcPr>
            <w:tcW w:w="1603" w:type="dxa"/>
            <w:tcBorders>
              <w:left w:val="nil"/>
              <w:bottom w:val="nil"/>
              <w:right w:val="nil"/>
            </w:tcBorders>
          </w:tcPr>
          <w:p w14:paraId="0BEE079B" w14:textId="56D352A2" w:rsidR="00061CA3" w:rsidRDefault="00061CA3" w:rsidP="00061CA3">
            <w:pPr>
              <w:rPr>
                <w:lang w:val="en-GB"/>
              </w:rPr>
            </w:pPr>
            <w:r>
              <w:t>RT_Neutral</w:t>
            </w:r>
          </w:p>
        </w:tc>
        <w:tc>
          <w:tcPr>
            <w:tcW w:w="1558" w:type="dxa"/>
            <w:tcBorders>
              <w:left w:val="nil"/>
              <w:bottom w:val="nil"/>
              <w:right w:val="nil"/>
            </w:tcBorders>
          </w:tcPr>
          <w:p w14:paraId="45A67DF4" w14:textId="0415E932" w:rsidR="00061CA3" w:rsidRDefault="00061CA3" w:rsidP="003778F1">
            <w:pPr>
              <w:jc w:val="center"/>
              <w:rPr>
                <w:lang w:val="en-GB"/>
              </w:rPr>
            </w:pPr>
            <w:r>
              <w:t>.74**</w:t>
            </w:r>
          </w:p>
        </w:tc>
        <w:tc>
          <w:tcPr>
            <w:tcW w:w="1595" w:type="dxa"/>
            <w:tcBorders>
              <w:left w:val="nil"/>
              <w:bottom w:val="nil"/>
              <w:right w:val="nil"/>
            </w:tcBorders>
          </w:tcPr>
          <w:p w14:paraId="1F3ADFC5" w14:textId="579FDC8F" w:rsidR="00061CA3" w:rsidRDefault="00061CA3" w:rsidP="003778F1">
            <w:pPr>
              <w:jc w:val="center"/>
              <w:rPr>
                <w:lang w:val="en-GB"/>
              </w:rPr>
            </w:pPr>
            <w:r>
              <w:t>.74**</w:t>
            </w:r>
          </w:p>
        </w:tc>
        <w:tc>
          <w:tcPr>
            <w:tcW w:w="1604" w:type="dxa"/>
            <w:tcBorders>
              <w:left w:val="nil"/>
              <w:bottom w:val="nil"/>
              <w:right w:val="nil"/>
            </w:tcBorders>
          </w:tcPr>
          <w:p w14:paraId="30A75226" w14:textId="2ADD3909" w:rsidR="00061CA3" w:rsidRDefault="00061CA3" w:rsidP="003778F1">
            <w:pPr>
              <w:jc w:val="center"/>
              <w:rPr>
                <w:lang w:val="en-GB"/>
              </w:rPr>
            </w:pPr>
            <w:r>
              <w:t>.18**</w:t>
            </w:r>
          </w:p>
        </w:tc>
        <w:tc>
          <w:tcPr>
            <w:tcW w:w="1577" w:type="dxa"/>
            <w:tcBorders>
              <w:left w:val="nil"/>
              <w:bottom w:val="nil"/>
              <w:right w:val="nil"/>
            </w:tcBorders>
          </w:tcPr>
          <w:p w14:paraId="1E073D85" w14:textId="03E1D501" w:rsidR="00061CA3" w:rsidRDefault="00061CA3" w:rsidP="003778F1">
            <w:pPr>
              <w:jc w:val="center"/>
              <w:rPr>
                <w:lang w:val="en-GB"/>
              </w:rPr>
            </w:pPr>
            <w:r>
              <w:t>-.20**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16CFD642" w14:textId="09B54CD3" w:rsidR="00061CA3" w:rsidRDefault="00061CA3" w:rsidP="003778F1">
            <w:pPr>
              <w:jc w:val="center"/>
              <w:rPr>
                <w:lang w:val="en-GB"/>
              </w:rPr>
            </w:pPr>
            <w:r>
              <w:t>-.03</w:t>
            </w:r>
          </w:p>
        </w:tc>
      </w:tr>
      <w:tr w:rsidR="00061CA3" w14:paraId="3EECED29" w14:textId="77777777" w:rsidTr="00B25A51"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543CEE88" w14:textId="0B50FCBE" w:rsidR="00061CA3" w:rsidRDefault="00061CA3" w:rsidP="00061CA3">
            <w:pPr>
              <w:rPr>
                <w:lang w:val="en-GB"/>
              </w:rPr>
            </w:pPr>
            <w:r>
              <w:t>RT_Sex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97B897" w14:textId="77777777" w:rsidR="00061CA3" w:rsidRDefault="00061CA3" w:rsidP="003778F1">
            <w:pPr>
              <w:jc w:val="center"/>
              <w:rPr>
                <w:lang w:val="en-GB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</w:tcPr>
          <w:p w14:paraId="179142E3" w14:textId="3CFCC071" w:rsidR="00061CA3" w:rsidRDefault="00061CA3" w:rsidP="003778F1">
            <w:pPr>
              <w:jc w:val="center"/>
              <w:rPr>
                <w:lang w:val="en-GB"/>
              </w:rPr>
            </w:pPr>
            <w:r>
              <w:t>.68**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3ABFC3A0" w14:textId="476F8A77" w:rsidR="00061CA3" w:rsidRDefault="00061CA3" w:rsidP="003778F1">
            <w:pPr>
              <w:jc w:val="center"/>
              <w:rPr>
                <w:lang w:val="en-GB"/>
              </w:rPr>
            </w:pPr>
            <w:r>
              <w:t>.10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69C09DB3" w14:textId="1D1FC1C9" w:rsidR="00061CA3" w:rsidRDefault="00061CA3" w:rsidP="003778F1">
            <w:pPr>
              <w:jc w:val="center"/>
              <w:rPr>
                <w:lang w:val="en-GB"/>
              </w:rPr>
            </w:pPr>
            <w:r>
              <w:t>-.08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D6ECE4C" w14:textId="665A0B97" w:rsidR="00061CA3" w:rsidRDefault="00061CA3" w:rsidP="003778F1">
            <w:pPr>
              <w:jc w:val="center"/>
              <w:rPr>
                <w:lang w:val="en-GB"/>
              </w:rPr>
            </w:pPr>
            <w:r>
              <w:t>-.05</w:t>
            </w:r>
          </w:p>
        </w:tc>
      </w:tr>
      <w:tr w:rsidR="00061CA3" w14:paraId="7C991721" w14:textId="77777777" w:rsidTr="00B25A51"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22531689" w14:textId="277B9C50" w:rsidR="00061CA3" w:rsidRDefault="00061CA3" w:rsidP="00061CA3">
            <w:pPr>
              <w:rPr>
                <w:lang w:val="en-GB"/>
              </w:rPr>
            </w:pPr>
            <w:r>
              <w:t>RT_Emotion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945B09" w14:textId="77777777" w:rsidR="00061CA3" w:rsidRDefault="00061CA3" w:rsidP="003778F1">
            <w:pPr>
              <w:jc w:val="center"/>
              <w:rPr>
                <w:lang w:val="en-GB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55D3C" w14:textId="77777777" w:rsidR="00061CA3" w:rsidRDefault="00061CA3" w:rsidP="003778F1">
            <w:pPr>
              <w:jc w:val="center"/>
              <w:rPr>
                <w:lang w:val="en-GB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14:paraId="17868F08" w14:textId="4C287796" w:rsidR="00061CA3" w:rsidRDefault="00061CA3" w:rsidP="003778F1">
            <w:pPr>
              <w:jc w:val="center"/>
              <w:rPr>
                <w:lang w:val="en-GB"/>
              </w:rPr>
            </w:pPr>
            <w:r>
              <w:t>.09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2029DD48" w14:textId="47809D1E" w:rsidR="00061CA3" w:rsidRDefault="00061CA3" w:rsidP="003778F1">
            <w:pPr>
              <w:jc w:val="center"/>
              <w:rPr>
                <w:lang w:val="en-GB"/>
              </w:rPr>
            </w:pPr>
            <w:r>
              <w:t>-.13*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11ACF8D" w14:textId="2C1869C2" w:rsidR="00061CA3" w:rsidRDefault="00061CA3" w:rsidP="003778F1">
            <w:pPr>
              <w:jc w:val="center"/>
              <w:rPr>
                <w:lang w:val="en-GB"/>
              </w:rPr>
            </w:pPr>
            <w:r>
              <w:t>.04</w:t>
            </w:r>
          </w:p>
        </w:tc>
      </w:tr>
      <w:tr w:rsidR="00061CA3" w14:paraId="447F71D7" w14:textId="77777777" w:rsidTr="00B25A51"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</w:tcPr>
          <w:p w14:paraId="18195510" w14:textId="3F9DF37F" w:rsidR="00061CA3" w:rsidRDefault="00061CA3" w:rsidP="00061CA3">
            <w:pPr>
              <w:rPr>
                <w:lang w:val="en-GB"/>
              </w:rPr>
            </w:pPr>
            <w:r>
              <w:t>GSR</w:t>
            </w:r>
            <w:r w:rsidRPr="00D7276E">
              <w:rPr>
                <w:vertAlign w:val="subscript"/>
              </w:rPr>
              <w:t>z</w:t>
            </w:r>
            <w:r>
              <w:t>_Neutral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E1006F" w14:textId="77777777" w:rsidR="00061CA3" w:rsidRDefault="00061CA3" w:rsidP="003778F1">
            <w:pPr>
              <w:jc w:val="center"/>
              <w:rPr>
                <w:lang w:val="en-GB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A6FF3" w14:textId="77777777" w:rsidR="00061CA3" w:rsidRDefault="00061CA3" w:rsidP="003778F1">
            <w:pPr>
              <w:jc w:val="center"/>
              <w:rPr>
                <w:lang w:val="en-GB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F059E03" w14:textId="77777777" w:rsidR="00061CA3" w:rsidRDefault="00061CA3" w:rsidP="003778F1">
            <w:pPr>
              <w:jc w:val="center"/>
              <w:rPr>
                <w:lang w:val="en-GB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058B9FAD" w14:textId="29931592" w:rsidR="00061CA3" w:rsidRDefault="00061CA3" w:rsidP="003778F1">
            <w:pPr>
              <w:jc w:val="center"/>
              <w:rPr>
                <w:lang w:val="en-GB"/>
              </w:rPr>
            </w:pPr>
            <w:r>
              <w:t>-.77**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879675E" w14:textId="0AAF51FE" w:rsidR="00061CA3" w:rsidRDefault="00061CA3" w:rsidP="003778F1">
            <w:pPr>
              <w:jc w:val="center"/>
              <w:rPr>
                <w:lang w:val="en-GB"/>
              </w:rPr>
            </w:pPr>
            <w:r>
              <w:t>-.49**</w:t>
            </w:r>
          </w:p>
        </w:tc>
      </w:tr>
      <w:tr w:rsidR="00B25A51" w14:paraId="36A3BCB5" w14:textId="77777777" w:rsidTr="00B25A51"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3F2623" w14:textId="02E9297C" w:rsidR="00061CA3" w:rsidRDefault="00061CA3" w:rsidP="00061CA3">
            <w:pPr>
              <w:rPr>
                <w:lang w:val="en-GB"/>
              </w:rPr>
            </w:pPr>
            <w:r>
              <w:t>GSS</w:t>
            </w:r>
            <w:r w:rsidRPr="00D7276E">
              <w:rPr>
                <w:vertAlign w:val="subscript"/>
              </w:rPr>
              <w:t>z</w:t>
            </w:r>
            <w:r>
              <w:t>_Sex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9A6EF2B" w14:textId="77777777" w:rsidR="00061CA3" w:rsidRDefault="00061CA3" w:rsidP="003778F1">
            <w:pPr>
              <w:jc w:val="center"/>
              <w:rPr>
                <w:lang w:val="en-GB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4323862" w14:textId="77777777" w:rsidR="00061CA3" w:rsidRDefault="00061CA3" w:rsidP="003778F1">
            <w:pPr>
              <w:jc w:val="center"/>
              <w:rPr>
                <w:lang w:val="en-GB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5A9F9CB" w14:textId="77777777" w:rsidR="00061CA3" w:rsidRDefault="00061CA3" w:rsidP="003778F1">
            <w:pPr>
              <w:jc w:val="center"/>
              <w:rPr>
                <w:lang w:val="en-GB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4E0B3B2" w14:textId="77777777" w:rsidR="00061CA3" w:rsidRDefault="00061CA3" w:rsidP="003778F1">
            <w:pPr>
              <w:jc w:val="center"/>
              <w:rPr>
                <w:lang w:val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A6A10" w14:textId="45E933F7" w:rsidR="00061CA3" w:rsidRDefault="00061CA3" w:rsidP="003778F1">
            <w:pPr>
              <w:jc w:val="center"/>
              <w:rPr>
                <w:lang w:val="en-GB"/>
              </w:rPr>
            </w:pPr>
            <w:r>
              <w:t>-.14*</w:t>
            </w:r>
          </w:p>
        </w:tc>
      </w:tr>
      <w:tr w:rsidR="00061CA3" w14:paraId="677317BD" w14:textId="77777777" w:rsidTr="00B25A51">
        <w:tc>
          <w:tcPr>
            <w:tcW w:w="9638" w:type="dxa"/>
            <w:gridSpan w:val="6"/>
            <w:tcBorders>
              <w:left w:val="nil"/>
              <w:bottom w:val="nil"/>
              <w:right w:val="nil"/>
            </w:tcBorders>
          </w:tcPr>
          <w:p w14:paraId="51C0AB29" w14:textId="1E7B743C" w:rsidR="00061CA3" w:rsidRDefault="00061CA3" w:rsidP="00061CA3">
            <w:pPr>
              <w:rPr>
                <w:lang w:val="en-GB"/>
              </w:rPr>
            </w:pPr>
            <w:r>
              <w:t>Note: *</w:t>
            </w:r>
            <w:r>
              <w:rPr>
                <w:i/>
                <w:iCs/>
              </w:rPr>
              <w:t>p</w:t>
            </w:r>
            <w:r>
              <w:t xml:space="preserve"> &lt; .05, **</w:t>
            </w:r>
            <w:r>
              <w:rPr>
                <w:i/>
                <w:iCs/>
              </w:rPr>
              <w:t xml:space="preserve">p </w:t>
            </w:r>
            <w:r w:rsidRPr="005B54AD">
              <w:t>&lt;</w:t>
            </w:r>
            <w:r>
              <w:t xml:space="preserve"> .01</w:t>
            </w:r>
          </w:p>
        </w:tc>
      </w:tr>
    </w:tbl>
    <w:p w14:paraId="5B9392F2" w14:textId="77777777" w:rsidR="00147DFB" w:rsidRDefault="00147DFB" w:rsidP="00B25A51">
      <w:pPr>
        <w:keepNext/>
        <w:jc w:val="center"/>
      </w:pPr>
    </w:p>
    <w:p w14:paraId="520F2E8B" w14:textId="190C3873" w:rsidR="00B25A51" w:rsidRDefault="009421BE" w:rsidP="00B25A51">
      <w:pPr>
        <w:keepNext/>
        <w:jc w:val="center"/>
      </w:pPr>
      <w:r>
        <w:rPr>
          <w:noProof/>
        </w:rPr>
        <w:drawing>
          <wp:inline distT="0" distB="0" distL="0" distR="0" wp14:anchorId="2B622DC1" wp14:editId="4B0982BD">
            <wp:extent cx="6120130" cy="3830955"/>
            <wp:effectExtent l="0" t="0" r="13970" b="17145"/>
            <wp:docPr id="2" name="Diagram 2">
              <a:extLst xmlns:a="http://schemas.openxmlformats.org/drawingml/2006/main">
                <a:ext uri="{FF2B5EF4-FFF2-40B4-BE49-F238E27FC236}">
                  <a16:creationId xmlns:a16="http://schemas.microsoft.com/office/drawing/2014/main" id="{D794E865-CF83-7C47-8B8B-234A891491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B79671C" w14:textId="77777777" w:rsidR="00B25A51" w:rsidRPr="00905389" w:rsidRDefault="00B25A51" w:rsidP="00B25A51">
      <w:pPr>
        <w:pStyle w:val="Billedtekst"/>
        <w:jc w:val="center"/>
        <w:rPr>
          <w:lang w:val="en-US"/>
        </w:rPr>
      </w:pPr>
      <w:r w:rsidRPr="00905389">
        <w:rPr>
          <w:lang w:val="en-US"/>
        </w:rPr>
        <w:t xml:space="preserve">Figure </w:t>
      </w:r>
      <w:r w:rsidRPr="008E6FEF">
        <w:rPr>
          <w:lang w:val="en-US"/>
        </w:rPr>
        <w:t>3</w:t>
      </w:r>
      <w:r w:rsidRPr="00905389">
        <w:rPr>
          <w:lang w:val="en-US"/>
        </w:rPr>
        <w:t>: Graph showing correlation between GSRz and RT for FP19201</w:t>
      </w:r>
    </w:p>
    <w:p w14:paraId="01232A29" w14:textId="77777777" w:rsidR="00FA5C67" w:rsidRDefault="00FA5C67" w:rsidP="00004E97">
      <w:pPr>
        <w:rPr>
          <w:lang w:val="en-GB"/>
        </w:rPr>
      </w:pPr>
    </w:p>
    <w:p w14:paraId="16C40D9C" w14:textId="56FA1416" w:rsidR="00486215" w:rsidRDefault="00147DFB" w:rsidP="00B607E4">
      <w:pPr>
        <w:rPr>
          <w:lang w:val="en-GB"/>
        </w:rPr>
      </w:pPr>
      <w:r>
        <w:rPr>
          <w:lang w:val="en-GB"/>
        </w:rPr>
        <w:t xml:space="preserve">A Pearson’s correlation </w:t>
      </w:r>
      <w:r w:rsidR="00457660">
        <w:rPr>
          <w:lang w:val="en-GB"/>
        </w:rPr>
        <w:t>show</w:t>
      </w:r>
      <w:r w:rsidR="00A76767">
        <w:rPr>
          <w:lang w:val="en-GB"/>
        </w:rPr>
        <w:t>ed</w:t>
      </w:r>
      <w:r>
        <w:rPr>
          <w:lang w:val="en-GB"/>
        </w:rPr>
        <w:t xml:space="preserve"> a significant correlation between RT and GSR-fluctuations for the neutral words condition (</w:t>
      </w:r>
      <w:r>
        <w:rPr>
          <w:i/>
          <w:iCs/>
          <w:lang w:val="en-GB"/>
        </w:rPr>
        <w:t>r</w:t>
      </w:r>
      <w:r>
        <w:rPr>
          <w:lang w:val="en-GB"/>
        </w:rPr>
        <w:t xml:space="preserve"> =</w:t>
      </w:r>
      <w:r w:rsidR="006223D5">
        <w:rPr>
          <w:lang w:val="en-GB"/>
        </w:rPr>
        <w:t xml:space="preserve"> </w:t>
      </w:r>
      <w:r w:rsidR="00C36FFD">
        <w:rPr>
          <w:lang w:val="en-GB"/>
        </w:rPr>
        <w:t xml:space="preserve">.18, </w:t>
      </w:r>
      <w:r w:rsidR="00C36FFD">
        <w:rPr>
          <w:i/>
          <w:iCs/>
          <w:lang w:val="en-GB"/>
        </w:rPr>
        <w:t xml:space="preserve">p </w:t>
      </w:r>
      <w:r w:rsidR="00235403">
        <w:rPr>
          <w:lang w:val="en-GB"/>
        </w:rPr>
        <w:t>= .002</w:t>
      </w:r>
      <w:r>
        <w:rPr>
          <w:lang w:val="en-GB"/>
        </w:rPr>
        <w:t xml:space="preserve">). However, this correlation is rather weak. No </w:t>
      </w:r>
      <w:r w:rsidR="00E94E0E">
        <w:rPr>
          <w:lang w:val="en-GB"/>
        </w:rPr>
        <w:t>significant</w:t>
      </w:r>
      <w:r>
        <w:rPr>
          <w:lang w:val="en-GB"/>
        </w:rPr>
        <w:t xml:space="preserve"> correlations were found between RT and GSR-fluctuations for the emotional and sexual words conditions </w:t>
      </w:r>
      <w:r w:rsidR="006223D5">
        <w:rPr>
          <w:lang w:val="en-GB"/>
        </w:rPr>
        <w:t>respectively.</w:t>
      </w:r>
      <w:r w:rsidR="004331A8">
        <w:rPr>
          <w:lang w:val="en-GB"/>
        </w:rPr>
        <w:t xml:space="preserve"> </w:t>
      </w:r>
      <w:r w:rsidR="003773E3">
        <w:rPr>
          <w:lang w:val="en-GB"/>
        </w:rPr>
        <w:t>This does not provide strong support for the hypothesis that RT and GSR-responses should be positively correlated.</w:t>
      </w:r>
    </w:p>
    <w:p w14:paraId="71E81079" w14:textId="1FFAE94F" w:rsidR="00734925" w:rsidRPr="009A6A11" w:rsidRDefault="00734925" w:rsidP="002965FC">
      <w:pPr>
        <w:pStyle w:val="Overskrift1"/>
        <w:jc w:val="left"/>
        <w:rPr>
          <w:lang w:val="en-GB"/>
        </w:rPr>
      </w:pPr>
      <w:bookmarkStart w:id="8" w:name="_Toc20330534"/>
      <w:r w:rsidRPr="009A6A11">
        <w:rPr>
          <w:lang w:val="en-GB"/>
        </w:rPr>
        <w:t>Conclusion</w:t>
      </w:r>
      <w:bookmarkEnd w:id="8"/>
    </w:p>
    <w:p w14:paraId="1F694DDD" w14:textId="72191693" w:rsidR="000E6BF8" w:rsidRPr="009A6A11" w:rsidRDefault="00102DDD" w:rsidP="000E6BF8">
      <w:pPr>
        <w:rPr>
          <w:lang w:val="en-GB"/>
        </w:rPr>
      </w:pPr>
      <w:r>
        <w:rPr>
          <w:lang w:val="en-GB"/>
        </w:rPr>
        <w:t xml:space="preserve">Results of this experiment </w:t>
      </w:r>
      <w:r w:rsidR="008E3A14">
        <w:rPr>
          <w:lang w:val="en-GB"/>
        </w:rPr>
        <w:t>provide evidence for</w:t>
      </w:r>
      <w:r>
        <w:rPr>
          <w:lang w:val="en-GB"/>
        </w:rPr>
        <w:t xml:space="preserve"> the hypothesis </w:t>
      </w:r>
      <w:r w:rsidR="00190294">
        <w:rPr>
          <w:lang w:val="en-GB"/>
        </w:rPr>
        <w:t xml:space="preserve">that </w:t>
      </w:r>
      <w:r w:rsidR="008703E9">
        <w:rPr>
          <w:lang w:val="en-GB"/>
        </w:rPr>
        <w:t xml:space="preserve">sexual and emotional words elicit stronger GSR-responses, reflecting stronger emotional responses, than </w:t>
      </w:r>
      <w:r w:rsidR="006848ED">
        <w:rPr>
          <w:lang w:val="en-GB"/>
        </w:rPr>
        <w:t>do</w:t>
      </w:r>
      <w:r w:rsidR="008703E9">
        <w:rPr>
          <w:lang w:val="en-GB"/>
        </w:rPr>
        <w:t xml:space="preserve"> neutral words</w:t>
      </w:r>
      <w:r w:rsidR="00C86865">
        <w:rPr>
          <w:lang w:val="en-GB"/>
        </w:rPr>
        <w:t>, with sexual words eliciting the strongest response.</w:t>
      </w:r>
    </w:p>
    <w:p w14:paraId="3FD8D048" w14:textId="77777777" w:rsidR="006848ED" w:rsidRDefault="006848ED">
      <w:pPr>
        <w:spacing w:after="160" w:line="259" w:lineRule="auto"/>
        <w:jc w:val="left"/>
        <w:rPr>
          <w:rFonts w:ascii="Arial" w:hAnsi="Arial" w:cs="Arial"/>
          <w:b/>
          <w:bCs/>
          <w:color w:val="000000"/>
          <w:sz w:val="36"/>
          <w:lang w:val="en-GB"/>
        </w:rPr>
      </w:pPr>
      <w:bookmarkStart w:id="9" w:name="_Toc20330535"/>
      <w:r>
        <w:rPr>
          <w:lang w:val="en-GB"/>
        </w:rPr>
        <w:br w:type="page"/>
      </w:r>
    </w:p>
    <w:p w14:paraId="6E841B01" w14:textId="5A83324F" w:rsidR="009A6A11" w:rsidRPr="009A6A11" w:rsidRDefault="2843C295" w:rsidP="009A6A11">
      <w:pPr>
        <w:pStyle w:val="Overskrift1"/>
        <w:rPr>
          <w:lang w:val="en-GB"/>
        </w:rPr>
      </w:pPr>
      <w:r w:rsidRPr="2843C295">
        <w:rPr>
          <w:lang w:val="en-GB"/>
        </w:rPr>
        <w:t>References</w:t>
      </w:r>
      <w:bookmarkEnd w:id="9"/>
    </w:p>
    <w:p w14:paraId="7F52EACF" w14:textId="0A674737" w:rsidR="2843C295" w:rsidRPr="00BA598E" w:rsidRDefault="2843C295" w:rsidP="0070694D">
      <w:pPr>
        <w:ind w:left="567" w:hanging="567"/>
        <w:rPr>
          <w:lang w:val="en-US"/>
        </w:rPr>
      </w:pPr>
      <w:r w:rsidRPr="2843C295">
        <w:rPr>
          <w:lang w:val="en-GB"/>
        </w:rPr>
        <w:t xml:space="preserve">Critchley, H. D. (2002). Electrodermal responses: What happens in the brain. </w:t>
      </w:r>
      <w:r w:rsidRPr="2843C295">
        <w:rPr>
          <w:i/>
          <w:iCs/>
          <w:lang w:val="en-GB"/>
        </w:rPr>
        <w:t>Neuroscientist</w:t>
      </w:r>
      <w:r w:rsidRPr="2843C295">
        <w:rPr>
          <w:lang w:val="en-GB"/>
        </w:rPr>
        <w:t>, 8, 132-142.</w:t>
      </w:r>
    </w:p>
    <w:p w14:paraId="71B2DBE1" w14:textId="75C4C1BB" w:rsidR="2843C295" w:rsidRDefault="2843C295" w:rsidP="2843C295">
      <w:pPr>
        <w:rPr>
          <w:lang w:val="en-GB"/>
        </w:rPr>
      </w:pPr>
    </w:p>
    <w:p w14:paraId="08FDD0A0" w14:textId="16D8CEF4" w:rsidR="2843C295" w:rsidRPr="00BA598E" w:rsidRDefault="2843C295">
      <w:pPr>
        <w:rPr>
          <w:lang w:val="en-US"/>
        </w:rPr>
      </w:pPr>
      <w:r w:rsidRPr="2843C295">
        <w:rPr>
          <w:lang w:val="en-GB"/>
        </w:rPr>
        <w:t xml:space="preserve">Purves, D., Cabeza, R., Huettel, S. A., LaBar, K. S., Platt, M. L., &amp; Woldorff, M. G. (2013). </w:t>
      </w:r>
    </w:p>
    <w:p w14:paraId="36598C23" w14:textId="761F61F1" w:rsidR="2843C295" w:rsidRPr="00BA598E" w:rsidRDefault="2843C295" w:rsidP="00011D8F">
      <w:pPr>
        <w:ind w:firstLine="567"/>
        <w:rPr>
          <w:lang w:val="en-US"/>
        </w:rPr>
      </w:pPr>
      <w:r w:rsidRPr="2843C295">
        <w:rPr>
          <w:i/>
          <w:iCs/>
          <w:lang w:val="en-GB"/>
        </w:rPr>
        <w:t>Principles of Cognitive Neuroscience</w:t>
      </w:r>
      <w:r w:rsidRPr="2843C295">
        <w:rPr>
          <w:lang w:val="en-GB"/>
        </w:rPr>
        <w:t xml:space="preserve"> (2). Sunderland: Sinauer, 2013.</w:t>
      </w:r>
    </w:p>
    <w:p w14:paraId="6EC76212" w14:textId="2988A02F" w:rsidR="2843C295" w:rsidRDefault="2843C295" w:rsidP="2843C295">
      <w:pPr>
        <w:rPr>
          <w:lang w:val="en-GB"/>
        </w:rPr>
      </w:pPr>
    </w:p>
    <w:p w14:paraId="121EE365" w14:textId="0479DC90" w:rsidR="00233134" w:rsidRPr="00905389" w:rsidRDefault="00233134" w:rsidP="00905389">
      <w:pPr>
        <w:pStyle w:val="Billedtekst"/>
        <w:jc w:val="center"/>
        <w:rPr>
          <w:lang w:val="en-US"/>
        </w:rPr>
      </w:pPr>
    </w:p>
    <w:sectPr w:rsidR="00233134" w:rsidRPr="00905389" w:rsidSect="00394DD5">
      <w:headerReference w:type="default" r:id="rId13"/>
      <w:footerReference w:type="even" r:id="rId14"/>
      <w:footerReference w:type="default" r:id="rId15"/>
      <w:headerReference w:type="first" r:id="rId16"/>
      <w:pgSz w:w="11906" w:h="16838"/>
      <w:pgMar w:top="1701" w:right="1134" w:bottom="1701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2F0CB" w14:textId="77777777" w:rsidR="00D95A7A" w:rsidRDefault="00D95A7A" w:rsidP="001078C3">
      <w:pPr>
        <w:spacing w:line="240" w:lineRule="auto"/>
      </w:pPr>
      <w:r>
        <w:separator/>
      </w:r>
    </w:p>
    <w:p w14:paraId="2C0C7AAF" w14:textId="77777777" w:rsidR="00D95A7A" w:rsidRDefault="00D95A7A"/>
    <w:p w14:paraId="75CB445E" w14:textId="77777777" w:rsidR="00D95A7A" w:rsidRDefault="00D95A7A" w:rsidP="00967CCC"/>
  </w:endnote>
  <w:endnote w:type="continuationSeparator" w:id="0">
    <w:p w14:paraId="41300565" w14:textId="77777777" w:rsidR="00D95A7A" w:rsidRDefault="00D95A7A" w:rsidP="001078C3">
      <w:pPr>
        <w:spacing w:line="240" w:lineRule="auto"/>
      </w:pPr>
      <w:r>
        <w:continuationSeparator/>
      </w:r>
    </w:p>
    <w:p w14:paraId="6A4BBD1E" w14:textId="77777777" w:rsidR="00D95A7A" w:rsidRDefault="00D95A7A"/>
    <w:p w14:paraId="76A32866" w14:textId="77777777" w:rsidR="00D95A7A" w:rsidRDefault="00D95A7A" w:rsidP="00967CCC"/>
  </w:endnote>
  <w:endnote w:type="continuationNotice" w:id="1">
    <w:p w14:paraId="1709E301" w14:textId="77777777" w:rsidR="00D95A7A" w:rsidRDefault="00D95A7A">
      <w:pPr>
        <w:spacing w:line="240" w:lineRule="auto"/>
      </w:pPr>
    </w:p>
    <w:p w14:paraId="715654BC" w14:textId="77777777" w:rsidR="00D95A7A" w:rsidRDefault="00D95A7A"/>
    <w:p w14:paraId="17FD930E" w14:textId="77777777" w:rsidR="00D95A7A" w:rsidRDefault="00D95A7A" w:rsidP="00967C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CC32E" w14:textId="77777777" w:rsidR="004F739B" w:rsidRDefault="00DB6DDB" w:rsidP="004F739B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2A489121" w14:textId="77777777" w:rsidR="004F739B" w:rsidRDefault="004F739B" w:rsidP="004F739B">
    <w:pPr>
      <w:pStyle w:val="Sidefod"/>
      <w:ind w:right="360"/>
    </w:pPr>
  </w:p>
  <w:p w14:paraId="3CF47B86" w14:textId="77777777" w:rsidR="004F739B" w:rsidRDefault="004F739B">
    <w:pPr>
      <w:pStyle w:val="Sidefod"/>
    </w:pPr>
  </w:p>
  <w:p w14:paraId="43BA551E" w14:textId="77777777" w:rsidR="00C87429" w:rsidRDefault="00C87429"/>
  <w:p w14:paraId="5169E178" w14:textId="77777777" w:rsidR="004F739B" w:rsidRDefault="004F739B" w:rsidP="00967CC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ED363" w14:textId="77777777" w:rsidR="004F739B" w:rsidRDefault="00DB6DDB" w:rsidP="004F739B">
    <w:pPr>
      <w:pStyle w:val="Sidefod"/>
      <w:ind w:right="360"/>
      <w:jc w:val="right"/>
    </w:pP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2</w:t>
    </w:r>
    <w:r>
      <w:fldChar w:fldCharType="end"/>
    </w:r>
  </w:p>
  <w:p w14:paraId="02D07F0B" w14:textId="77777777" w:rsidR="004F739B" w:rsidRDefault="004F739B">
    <w:pPr>
      <w:pStyle w:val="Sidefod"/>
    </w:pPr>
  </w:p>
  <w:p w14:paraId="57D2C2D6" w14:textId="77777777" w:rsidR="00C87429" w:rsidRDefault="00C87429"/>
  <w:p w14:paraId="70EDC636" w14:textId="77777777" w:rsidR="004F739B" w:rsidRDefault="004F739B" w:rsidP="00967C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EFA3C" w14:textId="77777777" w:rsidR="00D95A7A" w:rsidRDefault="00D95A7A" w:rsidP="001078C3">
      <w:pPr>
        <w:spacing w:line="240" w:lineRule="auto"/>
      </w:pPr>
      <w:r>
        <w:separator/>
      </w:r>
    </w:p>
    <w:p w14:paraId="63627B1B" w14:textId="77777777" w:rsidR="00D95A7A" w:rsidRDefault="00D95A7A"/>
    <w:p w14:paraId="54199FB3" w14:textId="77777777" w:rsidR="00D95A7A" w:rsidRDefault="00D95A7A" w:rsidP="00967CCC"/>
  </w:footnote>
  <w:footnote w:type="continuationSeparator" w:id="0">
    <w:p w14:paraId="70164404" w14:textId="77777777" w:rsidR="00D95A7A" w:rsidRDefault="00D95A7A" w:rsidP="001078C3">
      <w:pPr>
        <w:spacing w:line="240" w:lineRule="auto"/>
      </w:pPr>
      <w:r>
        <w:continuationSeparator/>
      </w:r>
    </w:p>
    <w:p w14:paraId="213C3DC6" w14:textId="77777777" w:rsidR="00D95A7A" w:rsidRDefault="00D95A7A"/>
    <w:p w14:paraId="1F1A9333" w14:textId="77777777" w:rsidR="00D95A7A" w:rsidRDefault="00D95A7A" w:rsidP="00967CCC"/>
  </w:footnote>
  <w:footnote w:type="continuationNotice" w:id="1">
    <w:p w14:paraId="2D91FEC9" w14:textId="77777777" w:rsidR="00D95A7A" w:rsidRDefault="00D95A7A">
      <w:pPr>
        <w:spacing w:line="240" w:lineRule="auto"/>
      </w:pPr>
    </w:p>
    <w:p w14:paraId="54E842D4" w14:textId="77777777" w:rsidR="00D95A7A" w:rsidRDefault="00D95A7A"/>
    <w:p w14:paraId="6D58A8BD" w14:textId="77777777" w:rsidR="00D95A7A" w:rsidRDefault="00D95A7A" w:rsidP="00967C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89B4C" w14:textId="1B100E1E" w:rsidR="00F65547" w:rsidRPr="009E1FA7" w:rsidRDefault="00F65547" w:rsidP="00F65547">
    <w:pPr>
      <w:pStyle w:val="Sidehoved"/>
      <w:spacing w:line="360" w:lineRule="auto"/>
      <w:rPr>
        <w:sz w:val="20"/>
        <w:szCs w:val="20"/>
      </w:rPr>
    </w:pPr>
    <w:r w:rsidRPr="009E1FA7">
      <w:rPr>
        <w:sz w:val="20"/>
        <w:szCs w:val="20"/>
      </w:rPr>
      <w:t>Roselil Aalund, Sebastian Beck, Frederik Bredgaard, Cecilie Strandsbjerg</w:t>
    </w:r>
    <w:r w:rsidRPr="009E1FA7">
      <w:rPr>
        <w:sz w:val="20"/>
        <w:szCs w:val="20"/>
      </w:rPr>
      <w:tab/>
    </w:r>
    <w:r w:rsidR="005C14F5">
      <w:rPr>
        <w:sz w:val="20"/>
        <w:szCs w:val="20"/>
      </w:rPr>
      <w:t>9/10-</w:t>
    </w:r>
    <w:r w:rsidRPr="009E1FA7">
      <w:rPr>
        <w:sz w:val="20"/>
        <w:szCs w:val="20"/>
      </w:rPr>
      <w:t>2019</w:t>
    </w:r>
  </w:p>
  <w:p w14:paraId="6D6A9237" w14:textId="447DB0E3" w:rsidR="00F65547" w:rsidRPr="005C14F5" w:rsidRDefault="00F65547" w:rsidP="00F65547">
    <w:pPr>
      <w:pStyle w:val="Sidehoved"/>
      <w:spacing w:line="360" w:lineRule="auto"/>
      <w:rPr>
        <w:sz w:val="20"/>
        <w:szCs w:val="20"/>
        <w:lang w:val="en-US"/>
      </w:rPr>
    </w:pPr>
    <w:r w:rsidRPr="005C14F5">
      <w:rPr>
        <w:sz w:val="20"/>
        <w:szCs w:val="20"/>
        <w:lang w:val="en-US"/>
      </w:rPr>
      <w:t>BA Kognitionspsykologi</w:t>
    </w:r>
    <w:r w:rsidRPr="005C14F5">
      <w:rPr>
        <w:sz w:val="20"/>
        <w:szCs w:val="20"/>
        <w:lang w:val="en-US"/>
      </w:rPr>
      <w:tab/>
    </w:r>
    <w:r w:rsidRPr="005C14F5">
      <w:rPr>
        <w:sz w:val="20"/>
        <w:szCs w:val="20"/>
        <w:lang w:val="en-US"/>
      </w:rPr>
      <w:tab/>
      <w:t xml:space="preserve">Characters: </w:t>
    </w:r>
    <w:r w:rsidR="001A5AF1">
      <w:rPr>
        <w:sz w:val="20"/>
        <w:szCs w:val="20"/>
        <w:lang w:val="en-US"/>
      </w:rPr>
      <w:t>7,</w:t>
    </w:r>
    <w:r w:rsidR="00461CE5">
      <w:rPr>
        <w:sz w:val="20"/>
        <w:szCs w:val="20"/>
        <w:lang w:val="en-US"/>
      </w:rPr>
      <w:t>180</w:t>
    </w:r>
  </w:p>
  <w:p w14:paraId="2C783F7E" w14:textId="77777777" w:rsidR="00F65547" w:rsidRPr="005C14F5" w:rsidRDefault="00F65547" w:rsidP="00F65547">
    <w:pPr>
      <w:rPr>
        <w:lang w:val="en-US"/>
      </w:rPr>
    </w:pPr>
  </w:p>
  <w:p w14:paraId="030BC1A6" w14:textId="77777777" w:rsidR="00112133" w:rsidRDefault="00112133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FEB5B" w14:textId="77777777" w:rsidR="00BB7091" w:rsidRPr="009E1FA7" w:rsidRDefault="00BB7091" w:rsidP="00BB7091">
    <w:pPr>
      <w:pStyle w:val="Sidehoved"/>
      <w:spacing w:line="360" w:lineRule="auto"/>
      <w:rPr>
        <w:sz w:val="20"/>
        <w:szCs w:val="20"/>
      </w:rPr>
    </w:pPr>
    <w:r w:rsidRPr="009E1FA7">
      <w:rPr>
        <w:sz w:val="20"/>
        <w:szCs w:val="20"/>
      </w:rPr>
      <w:t>Roselil Aalund, Sebastian Beck, Frederik Bredgaard, Cecilie Strandsbjerg</w:t>
    </w:r>
    <w:r w:rsidRPr="009E1FA7">
      <w:rPr>
        <w:sz w:val="20"/>
        <w:szCs w:val="20"/>
      </w:rPr>
      <w:tab/>
    </w:r>
    <w:r>
      <w:rPr>
        <w:sz w:val="20"/>
        <w:szCs w:val="20"/>
      </w:rPr>
      <w:t>9/10-</w:t>
    </w:r>
    <w:r w:rsidRPr="009E1FA7">
      <w:rPr>
        <w:sz w:val="20"/>
        <w:szCs w:val="20"/>
      </w:rPr>
      <w:t>2019</w:t>
    </w:r>
  </w:p>
  <w:p w14:paraId="76E4E9E7" w14:textId="62BCF3B6" w:rsidR="004F739B" w:rsidRPr="00BB7091" w:rsidRDefault="00BB7091" w:rsidP="00BB7091">
    <w:pPr>
      <w:pStyle w:val="Sidehoved"/>
      <w:spacing w:line="360" w:lineRule="auto"/>
      <w:rPr>
        <w:sz w:val="20"/>
        <w:szCs w:val="20"/>
        <w:lang w:val="en-US"/>
      </w:rPr>
    </w:pPr>
    <w:r w:rsidRPr="005C14F5">
      <w:rPr>
        <w:sz w:val="20"/>
        <w:szCs w:val="20"/>
        <w:lang w:val="en-US"/>
      </w:rPr>
      <w:t>BA Kognitionspsykologi</w:t>
    </w:r>
    <w:r w:rsidRPr="005C14F5">
      <w:rPr>
        <w:sz w:val="20"/>
        <w:szCs w:val="20"/>
        <w:lang w:val="en-US"/>
      </w:rPr>
      <w:tab/>
    </w:r>
    <w:r w:rsidRPr="005C14F5">
      <w:rPr>
        <w:sz w:val="20"/>
        <w:szCs w:val="20"/>
        <w:lang w:val="en-US"/>
      </w:rPr>
      <w:tab/>
      <w:t xml:space="preserve">Characters: </w:t>
    </w:r>
    <w:r w:rsidR="00E32D63">
      <w:rPr>
        <w:sz w:val="20"/>
        <w:szCs w:val="20"/>
        <w:lang w:val="en-US"/>
      </w:rPr>
      <w:t>7,200</w:t>
    </w:r>
  </w:p>
  <w:tbl>
    <w:tblPr>
      <w:tblW w:w="7864" w:type="dxa"/>
      <w:tblInd w:w="-17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7864"/>
    </w:tblGrid>
    <w:tr w:rsidR="004F739B" w:rsidRPr="00394DD5" w14:paraId="62F2EEE8" w14:textId="77777777" w:rsidTr="004F739B">
      <w:trPr>
        <w:trHeight w:val="748"/>
      </w:trPr>
      <w:tc>
        <w:tcPr>
          <w:tcW w:w="7864" w:type="dxa"/>
          <w:shd w:val="clear" w:color="auto" w:fill="auto"/>
        </w:tcPr>
        <w:p w14:paraId="3AEE4C53" w14:textId="683D34E1" w:rsidR="004F739B" w:rsidRPr="00394DD5" w:rsidRDefault="004F739B" w:rsidP="004F739B">
          <w:pPr>
            <w:pStyle w:val="Template-Hoved2"/>
            <w:rPr>
              <w:lang w:val="en-US"/>
            </w:rPr>
          </w:pPr>
        </w:p>
      </w:tc>
    </w:tr>
  </w:tbl>
  <w:p w14:paraId="1CC4238F" w14:textId="32613755" w:rsidR="004F739B" w:rsidRPr="00394DD5" w:rsidRDefault="004F739B">
    <w:pPr>
      <w:pStyle w:val="Sidehoved"/>
      <w:rPr>
        <w:lang w:val="en-US"/>
      </w:rPr>
    </w:pPr>
    <w:bookmarkStart w:id="10" w:name="A4Rapport"/>
    <w:bookmarkEnd w:id="1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0709F"/>
    <w:multiLevelType w:val="hybridMultilevel"/>
    <w:tmpl w:val="C4E62AF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266F6"/>
    <w:multiLevelType w:val="hybridMultilevel"/>
    <w:tmpl w:val="60AC00AC"/>
    <w:lvl w:ilvl="0" w:tplc="83A4B8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4A8A01"/>
    <w:rsid w:val="000009CC"/>
    <w:rsid w:val="00001323"/>
    <w:rsid w:val="000018FF"/>
    <w:rsid w:val="00003E0E"/>
    <w:rsid w:val="000044B2"/>
    <w:rsid w:val="00004E3C"/>
    <w:rsid w:val="00004E97"/>
    <w:rsid w:val="0000612A"/>
    <w:rsid w:val="00010F2F"/>
    <w:rsid w:val="00011D8F"/>
    <w:rsid w:val="000121BB"/>
    <w:rsid w:val="00012C09"/>
    <w:rsid w:val="00014335"/>
    <w:rsid w:val="00014F47"/>
    <w:rsid w:val="0001590F"/>
    <w:rsid w:val="000177A0"/>
    <w:rsid w:val="0001783C"/>
    <w:rsid w:val="00020A06"/>
    <w:rsid w:val="00022BCE"/>
    <w:rsid w:val="00024CC4"/>
    <w:rsid w:val="00025CC2"/>
    <w:rsid w:val="000279DF"/>
    <w:rsid w:val="00027D3F"/>
    <w:rsid w:val="00027EF0"/>
    <w:rsid w:val="00030C03"/>
    <w:rsid w:val="00032488"/>
    <w:rsid w:val="00033AC9"/>
    <w:rsid w:val="000342BE"/>
    <w:rsid w:val="0003540D"/>
    <w:rsid w:val="000359C6"/>
    <w:rsid w:val="000368F0"/>
    <w:rsid w:val="00036E4E"/>
    <w:rsid w:val="000455F7"/>
    <w:rsid w:val="00045798"/>
    <w:rsid w:val="00046780"/>
    <w:rsid w:val="00047123"/>
    <w:rsid w:val="000475CF"/>
    <w:rsid w:val="00047678"/>
    <w:rsid w:val="00052E31"/>
    <w:rsid w:val="00053414"/>
    <w:rsid w:val="00053653"/>
    <w:rsid w:val="000540B6"/>
    <w:rsid w:val="00055A97"/>
    <w:rsid w:val="0005624F"/>
    <w:rsid w:val="0006007E"/>
    <w:rsid w:val="00060290"/>
    <w:rsid w:val="000616E6"/>
    <w:rsid w:val="00061CA3"/>
    <w:rsid w:val="00063580"/>
    <w:rsid w:val="00063658"/>
    <w:rsid w:val="000713B4"/>
    <w:rsid w:val="00073753"/>
    <w:rsid w:val="0007595A"/>
    <w:rsid w:val="00081D3A"/>
    <w:rsid w:val="0008205E"/>
    <w:rsid w:val="000841EF"/>
    <w:rsid w:val="00085F09"/>
    <w:rsid w:val="000874BE"/>
    <w:rsid w:val="00091298"/>
    <w:rsid w:val="00092142"/>
    <w:rsid w:val="00093C73"/>
    <w:rsid w:val="0009786F"/>
    <w:rsid w:val="000A2955"/>
    <w:rsid w:val="000B1715"/>
    <w:rsid w:val="000C06E6"/>
    <w:rsid w:val="000C06F5"/>
    <w:rsid w:val="000C0869"/>
    <w:rsid w:val="000C0E00"/>
    <w:rsid w:val="000C25F3"/>
    <w:rsid w:val="000C2D19"/>
    <w:rsid w:val="000C4396"/>
    <w:rsid w:val="000C4B72"/>
    <w:rsid w:val="000C605E"/>
    <w:rsid w:val="000C6229"/>
    <w:rsid w:val="000D0430"/>
    <w:rsid w:val="000D0A72"/>
    <w:rsid w:val="000D2226"/>
    <w:rsid w:val="000D5EB4"/>
    <w:rsid w:val="000E15D5"/>
    <w:rsid w:val="000E6BF8"/>
    <w:rsid w:val="000E7421"/>
    <w:rsid w:val="000E74E0"/>
    <w:rsid w:val="000E7BDF"/>
    <w:rsid w:val="000F0897"/>
    <w:rsid w:val="000F1003"/>
    <w:rsid w:val="000F2698"/>
    <w:rsid w:val="000F4631"/>
    <w:rsid w:val="000F6EF8"/>
    <w:rsid w:val="00102CBB"/>
    <w:rsid w:val="00102DDD"/>
    <w:rsid w:val="0010701E"/>
    <w:rsid w:val="001078C3"/>
    <w:rsid w:val="001108EB"/>
    <w:rsid w:val="00112133"/>
    <w:rsid w:val="00112253"/>
    <w:rsid w:val="0011403B"/>
    <w:rsid w:val="00114423"/>
    <w:rsid w:val="001158C1"/>
    <w:rsid w:val="00116711"/>
    <w:rsid w:val="00116FA0"/>
    <w:rsid w:val="00121805"/>
    <w:rsid w:val="00123E87"/>
    <w:rsid w:val="00124953"/>
    <w:rsid w:val="00124CFE"/>
    <w:rsid w:val="00125195"/>
    <w:rsid w:val="00126647"/>
    <w:rsid w:val="00126660"/>
    <w:rsid w:val="00130802"/>
    <w:rsid w:val="00131965"/>
    <w:rsid w:val="00134B9E"/>
    <w:rsid w:val="00134CE6"/>
    <w:rsid w:val="001353B0"/>
    <w:rsid w:val="00135F32"/>
    <w:rsid w:val="00136728"/>
    <w:rsid w:val="00136DD4"/>
    <w:rsid w:val="00137090"/>
    <w:rsid w:val="00137A59"/>
    <w:rsid w:val="00137D22"/>
    <w:rsid w:val="00144B0E"/>
    <w:rsid w:val="00144D4F"/>
    <w:rsid w:val="00145F94"/>
    <w:rsid w:val="0014637A"/>
    <w:rsid w:val="00147B1A"/>
    <w:rsid w:val="00147DFB"/>
    <w:rsid w:val="00155BC5"/>
    <w:rsid w:val="00156BD5"/>
    <w:rsid w:val="00156F6B"/>
    <w:rsid w:val="001573D0"/>
    <w:rsid w:val="00157BC8"/>
    <w:rsid w:val="00160316"/>
    <w:rsid w:val="00163945"/>
    <w:rsid w:val="001640DA"/>
    <w:rsid w:val="00164880"/>
    <w:rsid w:val="001654EA"/>
    <w:rsid w:val="00170E14"/>
    <w:rsid w:val="00175D70"/>
    <w:rsid w:val="00175E02"/>
    <w:rsid w:val="00180818"/>
    <w:rsid w:val="00180AE5"/>
    <w:rsid w:val="00184172"/>
    <w:rsid w:val="001845C8"/>
    <w:rsid w:val="00185D8A"/>
    <w:rsid w:val="00185E49"/>
    <w:rsid w:val="00186230"/>
    <w:rsid w:val="00190294"/>
    <w:rsid w:val="001904F5"/>
    <w:rsid w:val="00195717"/>
    <w:rsid w:val="001A03E3"/>
    <w:rsid w:val="001A3F50"/>
    <w:rsid w:val="001A5AF1"/>
    <w:rsid w:val="001A6452"/>
    <w:rsid w:val="001A66A5"/>
    <w:rsid w:val="001B6C86"/>
    <w:rsid w:val="001C26AD"/>
    <w:rsid w:val="001C37EA"/>
    <w:rsid w:val="001C7294"/>
    <w:rsid w:val="001C7B50"/>
    <w:rsid w:val="001D07B1"/>
    <w:rsid w:val="001D1292"/>
    <w:rsid w:val="001D27FA"/>
    <w:rsid w:val="001D3E41"/>
    <w:rsid w:val="001D5A5F"/>
    <w:rsid w:val="001E2A08"/>
    <w:rsid w:val="001E3F68"/>
    <w:rsid w:val="001E6821"/>
    <w:rsid w:val="001E7708"/>
    <w:rsid w:val="001E7BC9"/>
    <w:rsid w:val="001E7E04"/>
    <w:rsid w:val="001E7F2E"/>
    <w:rsid w:val="001F2185"/>
    <w:rsid w:val="001F4515"/>
    <w:rsid w:val="001F4A9D"/>
    <w:rsid w:val="001F5531"/>
    <w:rsid w:val="001F7F91"/>
    <w:rsid w:val="00202DC2"/>
    <w:rsid w:val="00203EC3"/>
    <w:rsid w:val="00204A49"/>
    <w:rsid w:val="00204DB2"/>
    <w:rsid w:val="00205153"/>
    <w:rsid w:val="00205F16"/>
    <w:rsid w:val="002072A9"/>
    <w:rsid w:val="00207C74"/>
    <w:rsid w:val="00210023"/>
    <w:rsid w:val="002139BF"/>
    <w:rsid w:val="002144C2"/>
    <w:rsid w:val="00214BC2"/>
    <w:rsid w:val="00215685"/>
    <w:rsid w:val="0021583D"/>
    <w:rsid w:val="00217020"/>
    <w:rsid w:val="00217FF2"/>
    <w:rsid w:val="00217FFD"/>
    <w:rsid w:val="00220BD6"/>
    <w:rsid w:val="00221A72"/>
    <w:rsid w:val="00224547"/>
    <w:rsid w:val="00227E21"/>
    <w:rsid w:val="00230926"/>
    <w:rsid w:val="002317AC"/>
    <w:rsid w:val="0023270C"/>
    <w:rsid w:val="00233134"/>
    <w:rsid w:val="00235403"/>
    <w:rsid w:val="002370F5"/>
    <w:rsid w:val="0024244F"/>
    <w:rsid w:val="00242898"/>
    <w:rsid w:val="002434B1"/>
    <w:rsid w:val="00243E9A"/>
    <w:rsid w:val="00244AB1"/>
    <w:rsid w:val="00244C6A"/>
    <w:rsid w:val="002452C1"/>
    <w:rsid w:val="00247360"/>
    <w:rsid w:val="00247729"/>
    <w:rsid w:val="00255A30"/>
    <w:rsid w:val="00256E7D"/>
    <w:rsid w:val="00260C01"/>
    <w:rsid w:val="00261151"/>
    <w:rsid w:val="002631FD"/>
    <w:rsid w:val="00263B59"/>
    <w:rsid w:val="002645BB"/>
    <w:rsid w:val="00264C9D"/>
    <w:rsid w:val="002710D8"/>
    <w:rsid w:val="00273FEF"/>
    <w:rsid w:val="002769CB"/>
    <w:rsid w:val="0027768D"/>
    <w:rsid w:val="00277888"/>
    <w:rsid w:val="00281F35"/>
    <w:rsid w:val="00283A0F"/>
    <w:rsid w:val="002859CF"/>
    <w:rsid w:val="002878CC"/>
    <w:rsid w:val="00287B9F"/>
    <w:rsid w:val="00290193"/>
    <w:rsid w:val="002908D0"/>
    <w:rsid w:val="002935C5"/>
    <w:rsid w:val="00295533"/>
    <w:rsid w:val="00295570"/>
    <w:rsid w:val="002956FB"/>
    <w:rsid w:val="002963ED"/>
    <w:rsid w:val="002965FC"/>
    <w:rsid w:val="002A027D"/>
    <w:rsid w:val="002A0E41"/>
    <w:rsid w:val="002A244D"/>
    <w:rsid w:val="002A295E"/>
    <w:rsid w:val="002A467F"/>
    <w:rsid w:val="002A5394"/>
    <w:rsid w:val="002A708B"/>
    <w:rsid w:val="002B01EC"/>
    <w:rsid w:val="002B09CE"/>
    <w:rsid w:val="002B2529"/>
    <w:rsid w:val="002B33AC"/>
    <w:rsid w:val="002B33E4"/>
    <w:rsid w:val="002B3B3F"/>
    <w:rsid w:val="002B6AD2"/>
    <w:rsid w:val="002B6B1C"/>
    <w:rsid w:val="002C1346"/>
    <w:rsid w:val="002C1373"/>
    <w:rsid w:val="002C2833"/>
    <w:rsid w:val="002C2C80"/>
    <w:rsid w:val="002C57D0"/>
    <w:rsid w:val="002C6416"/>
    <w:rsid w:val="002C6448"/>
    <w:rsid w:val="002C76D8"/>
    <w:rsid w:val="002C7C57"/>
    <w:rsid w:val="002D2AE0"/>
    <w:rsid w:val="002D4E41"/>
    <w:rsid w:val="002D5195"/>
    <w:rsid w:val="002E07FB"/>
    <w:rsid w:val="002E09CD"/>
    <w:rsid w:val="002E1F40"/>
    <w:rsid w:val="002E4EEF"/>
    <w:rsid w:val="002E56F0"/>
    <w:rsid w:val="002E6755"/>
    <w:rsid w:val="002F10F4"/>
    <w:rsid w:val="002F19BE"/>
    <w:rsid w:val="002F4CF9"/>
    <w:rsid w:val="002F6D7D"/>
    <w:rsid w:val="00300894"/>
    <w:rsid w:val="00302716"/>
    <w:rsid w:val="003048BF"/>
    <w:rsid w:val="00304C10"/>
    <w:rsid w:val="003062DE"/>
    <w:rsid w:val="003067B3"/>
    <w:rsid w:val="00311BCA"/>
    <w:rsid w:val="00313A2E"/>
    <w:rsid w:val="00313EB8"/>
    <w:rsid w:val="00313F0C"/>
    <w:rsid w:val="003208C2"/>
    <w:rsid w:val="00322B64"/>
    <w:rsid w:val="003245F7"/>
    <w:rsid w:val="003247BA"/>
    <w:rsid w:val="00326A16"/>
    <w:rsid w:val="00331C0C"/>
    <w:rsid w:val="003338EB"/>
    <w:rsid w:val="00333AE0"/>
    <w:rsid w:val="00335FF1"/>
    <w:rsid w:val="003365A5"/>
    <w:rsid w:val="003378C9"/>
    <w:rsid w:val="00341233"/>
    <w:rsid w:val="003449AC"/>
    <w:rsid w:val="003479DE"/>
    <w:rsid w:val="0035175D"/>
    <w:rsid w:val="00352E67"/>
    <w:rsid w:val="00354290"/>
    <w:rsid w:val="003547D1"/>
    <w:rsid w:val="00356D33"/>
    <w:rsid w:val="00360EE2"/>
    <w:rsid w:val="0036184A"/>
    <w:rsid w:val="00362BFF"/>
    <w:rsid w:val="003668D2"/>
    <w:rsid w:val="00366D71"/>
    <w:rsid w:val="00371058"/>
    <w:rsid w:val="0037351E"/>
    <w:rsid w:val="003735F6"/>
    <w:rsid w:val="00374978"/>
    <w:rsid w:val="00374DAA"/>
    <w:rsid w:val="003773E3"/>
    <w:rsid w:val="003778F1"/>
    <w:rsid w:val="00382352"/>
    <w:rsid w:val="00382990"/>
    <w:rsid w:val="00382E00"/>
    <w:rsid w:val="00383B9A"/>
    <w:rsid w:val="00384693"/>
    <w:rsid w:val="003855EF"/>
    <w:rsid w:val="003856FB"/>
    <w:rsid w:val="00385CDD"/>
    <w:rsid w:val="00387BE1"/>
    <w:rsid w:val="00392161"/>
    <w:rsid w:val="00394DD5"/>
    <w:rsid w:val="0039616F"/>
    <w:rsid w:val="00397606"/>
    <w:rsid w:val="003A12C7"/>
    <w:rsid w:val="003A3E52"/>
    <w:rsid w:val="003A515D"/>
    <w:rsid w:val="003A531C"/>
    <w:rsid w:val="003A7084"/>
    <w:rsid w:val="003A7E12"/>
    <w:rsid w:val="003B1186"/>
    <w:rsid w:val="003B11B3"/>
    <w:rsid w:val="003B22F8"/>
    <w:rsid w:val="003B50AA"/>
    <w:rsid w:val="003B7CD4"/>
    <w:rsid w:val="003C16CC"/>
    <w:rsid w:val="003C1CB2"/>
    <w:rsid w:val="003C2B17"/>
    <w:rsid w:val="003C7281"/>
    <w:rsid w:val="003C73C0"/>
    <w:rsid w:val="003D1EC8"/>
    <w:rsid w:val="003D3D43"/>
    <w:rsid w:val="003D4086"/>
    <w:rsid w:val="003D4298"/>
    <w:rsid w:val="003D7032"/>
    <w:rsid w:val="003D70FC"/>
    <w:rsid w:val="003E0074"/>
    <w:rsid w:val="003E0DD0"/>
    <w:rsid w:val="003E1A9F"/>
    <w:rsid w:val="003E709C"/>
    <w:rsid w:val="003E7A9F"/>
    <w:rsid w:val="003E7BAE"/>
    <w:rsid w:val="003F33B4"/>
    <w:rsid w:val="003F599C"/>
    <w:rsid w:val="003F5B5A"/>
    <w:rsid w:val="003F5C12"/>
    <w:rsid w:val="003F6BF0"/>
    <w:rsid w:val="00402315"/>
    <w:rsid w:val="00402E4F"/>
    <w:rsid w:val="00403096"/>
    <w:rsid w:val="00404CF8"/>
    <w:rsid w:val="00404ED4"/>
    <w:rsid w:val="004055C5"/>
    <w:rsid w:val="00405D6D"/>
    <w:rsid w:val="00406334"/>
    <w:rsid w:val="00407358"/>
    <w:rsid w:val="004103EF"/>
    <w:rsid w:val="00417D18"/>
    <w:rsid w:val="004217C0"/>
    <w:rsid w:val="00421A09"/>
    <w:rsid w:val="00422963"/>
    <w:rsid w:val="00430787"/>
    <w:rsid w:val="00430795"/>
    <w:rsid w:val="00430D14"/>
    <w:rsid w:val="00431157"/>
    <w:rsid w:val="0043122C"/>
    <w:rsid w:val="00431271"/>
    <w:rsid w:val="004331A8"/>
    <w:rsid w:val="004413FC"/>
    <w:rsid w:val="00443B6D"/>
    <w:rsid w:val="00443BEA"/>
    <w:rsid w:val="004469CB"/>
    <w:rsid w:val="00450D30"/>
    <w:rsid w:val="00453540"/>
    <w:rsid w:val="00453B7E"/>
    <w:rsid w:val="0045635C"/>
    <w:rsid w:val="00457660"/>
    <w:rsid w:val="004576E1"/>
    <w:rsid w:val="00461CE5"/>
    <w:rsid w:val="00464CC2"/>
    <w:rsid w:val="0046510F"/>
    <w:rsid w:val="00466A0E"/>
    <w:rsid w:val="0047215F"/>
    <w:rsid w:val="004727D8"/>
    <w:rsid w:val="00472F34"/>
    <w:rsid w:val="004755FE"/>
    <w:rsid w:val="00475AEA"/>
    <w:rsid w:val="004767AC"/>
    <w:rsid w:val="00476FE2"/>
    <w:rsid w:val="00481CFC"/>
    <w:rsid w:val="00483711"/>
    <w:rsid w:val="00485183"/>
    <w:rsid w:val="00486215"/>
    <w:rsid w:val="00486342"/>
    <w:rsid w:val="00486FE2"/>
    <w:rsid w:val="00487169"/>
    <w:rsid w:val="00487CD1"/>
    <w:rsid w:val="00492195"/>
    <w:rsid w:val="00496F24"/>
    <w:rsid w:val="004979BE"/>
    <w:rsid w:val="004A1542"/>
    <w:rsid w:val="004A49A6"/>
    <w:rsid w:val="004B41C8"/>
    <w:rsid w:val="004B4E0C"/>
    <w:rsid w:val="004C2A22"/>
    <w:rsid w:val="004C2DCB"/>
    <w:rsid w:val="004C4981"/>
    <w:rsid w:val="004D0D0A"/>
    <w:rsid w:val="004D1085"/>
    <w:rsid w:val="004D217D"/>
    <w:rsid w:val="004D2321"/>
    <w:rsid w:val="004D2AE4"/>
    <w:rsid w:val="004D3F31"/>
    <w:rsid w:val="004D410B"/>
    <w:rsid w:val="004D7066"/>
    <w:rsid w:val="004E00A3"/>
    <w:rsid w:val="004E524E"/>
    <w:rsid w:val="004E7601"/>
    <w:rsid w:val="004F264A"/>
    <w:rsid w:val="004F2C92"/>
    <w:rsid w:val="004F3494"/>
    <w:rsid w:val="004F46E3"/>
    <w:rsid w:val="004F72A1"/>
    <w:rsid w:val="004F739B"/>
    <w:rsid w:val="00500044"/>
    <w:rsid w:val="00502478"/>
    <w:rsid w:val="005024B5"/>
    <w:rsid w:val="005115CC"/>
    <w:rsid w:val="00514300"/>
    <w:rsid w:val="00514511"/>
    <w:rsid w:val="0051774A"/>
    <w:rsid w:val="00520DA0"/>
    <w:rsid w:val="005218B5"/>
    <w:rsid w:val="00530406"/>
    <w:rsid w:val="00530572"/>
    <w:rsid w:val="00532CC2"/>
    <w:rsid w:val="00533888"/>
    <w:rsid w:val="00535D52"/>
    <w:rsid w:val="00536377"/>
    <w:rsid w:val="005368B2"/>
    <w:rsid w:val="00536AFA"/>
    <w:rsid w:val="00537083"/>
    <w:rsid w:val="005370D8"/>
    <w:rsid w:val="00542CD6"/>
    <w:rsid w:val="00542EF4"/>
    <w:rsid w:val="005434A7"/>
    <w:rsid w:val="00546399"/>
    <w:rsid w:val="00547115"/>
    <w:rsid w:val="00547BA1"/>
    <w:rsid w:val="00552B85"/>
    <w:rsid w:val="00553DEE"/>
    <w:rsid w:val="0055475E"/>
    <w:rsid w:val="005564B1"/>
    <w:rsid w:val="00561131"/>
    <w:rsid w:val="00567431"/>
    <w:rsid w:val="00570B10"/>
    <w:rsid w:val="0057141C"/>
    <w:rsid w:val="005751E0"/>
    <w:rsid w:val="0057525B"/>
    <w:rsid w:val="00575DB0"/>
    <w:rsid w:val="0058108A"/>
    <w:rsid w:val="005823B7"/>
    <w:rsid w:val="00584F29"/>
    <w:rsid w:val="00586455"/>
    <w:rsid w:val="00590C8F"/>
    <w:rsid w:val="005910B7"/>
    <w:rsid w:val="00591871"/>
    <w:rsid w:val="00591FCC"/>
    <w:rsid w:val="00592E58"/>
    <w:rsid w:val="00593139"/>
    <w:rsid w:val="00594867"/>
    <w:rsid w:val="00597DDA"/>
    <w:rsid w:val="005A0292"/>
    <w:rsid w:val="005A422B"/>
    <w:rsid w:val="005A657E"/>
    <w:rsid w:val="005A79C4"/>
    <w:rsid w:val="005A7BAD"/>
    <w:rsid w:val="005B287E"/>
    <w:rsid w:val="005B28F8"/>
    <w:rsid w:val="005B2ED0"/>
    <w:rsid w:val="005B6E92"/>
    <w:rsid w:val="005B7DA5"/>
    <w:rsid w:val="005C14F5"/>
    <w:rsid w:val="005C1E88"/>
    <w:rsid w:val="005C21BA"/>
    <w:rsid w:val="005C2D04"/>
    <w:rsid w:val="005C3B66"/>
    <w:rsid w:val="005C5B04"/>
    <w:rsid w:val="005C7354"/>
    <w:rsid w:val="005D25B9"/>
    <w:rsid w:val="005E1FEA"/>
    <w:rsid w:val="005E2B24"/>
    <w:rsid w:val="005E2F8C"/>
    <w:rsid w:val="005E3DEC"/>
    <w:rsid w:val="005E61F6"/>
    <w:rsid w:val="005E67AC"/>
    <w:rsid w:val="005E75BE"/>
    <w:rsid w:val="005E7664"/>
    <w:rsid w:val="005F02D4"/>
    <w:rsid w:val="005F08BD"/>
    <w:rsid w:val="005F48FC"/>
    <w:rsid w:val="005F502F"/>
    <w:rsid w:val="005F7371"/>
    <w:rsid w:val="005F78D5"/>
    <w:rsid w:val="006017E1"/>
    <w:rsid w:val="00602FC1"/>
    <w:rsid w:val="00604F94"/>
    <w:rsid w:val="00607DD6"/>
    <w:rsid w:val="00610185"/>
    <w:rsid w:val="0061092D"/>
    <w:rsid w:val="00610D15"/>
    <w:rsid w:val="00614390"/>
    <w:rsid w:val="006149CA"/>
    <w:rsid w:val="006161EC"/>
    <w:rsid w:val="006164D7"/>
    <w:rsid w:val="006174FB"/>
    <w:rsid w:val="00617F5B"/>
    <w:rsid w:val="00621CE1"/>
    <w:rsid w:val="0062211C"/>
    <w:rsid w:val="006223D5"/>
    <w:rsid w:val="006242D0"/>
    <w:rsid w:val="00627E1D"/>
    <w:rsid w:val="00630004"/>
    <w:rsid w:val="00632473"/>
    <w:rsid w:val="00633EAA"/>
    <w:rsid w:val="00634625"/>
    <w:rsid w:val="00635443"/>
    <w:rsid w:val="00635A36"/>
    <w:rsid w:val="006416B2"/>
    <w:rsid w:val="0064315E"/>
    <w:rsid w:val="00643645"/>
    <w:rsid w:val="00644A9E"/>
    <w:rsid w:val="00646E92"/>
    <w:rsid w:val="006506B1"/>
    <w:rsid w:val="00654017"/>
    <w:rsid w:val="00656B6F"/>
    <w:rsid w:val="00657099"/>
    <w:rsid w:val="006607B0"/>
    <w:rsid w:val="0066085A"/>
    <w:rsid w:val="00661720"/>
    <w:rsid w:val="006627D5"/>
    <w:rsid w:val="006634A8"/>
    <w:rsid w:val="00665342"/>
    <w:rsid w:val="00665E83"/>
    <w:rsid w:val="00666118"/>
    <w:rsid w:val="0066658A"/>
    <w:rsid w:val="006668F4"/>
    <w:rsid w:val="006673ED"/>
    <w:rsid w:val="00667749"/>
    <w:rsid w:val="00671259"/>
    <w:rsid w:val="00672685"/>
    <w:rsid w:val="006734DD"/>
    <w:rsid w:val="00675052"/>
    <w:rsid w:val="00683E31"/>
    <w:rsid w:val="0068455D"/>
    <w:rsid w:val="006848ED"/>
    <w:rsid w:val="00686E8B"/>
    <w:rsid w:val="00687625"/>
    <w:rsid w:val="00687C42"/>
    <w:rsid w:val="006903A2"/>
    <w:rsid w:val="006907D6"/>
    <w:rsid w:val="00690F76"/>
    <w:rsid w:val="0069204A"/>
    <w:rsid w:val="00697B99"/>
    <w:rsid w:val="006A05D5"/>
    <w:rsid w:val="006A2E11"/>
    <w:rsid w:val="006A3DB5"/>
    <w:rsid w:val="006A6170"/>
    <w:rsid w:val="006A728C"/>
    <w:rsid w:val="006B310E"/>
    <w:rsid w:val="006B4BBE"/>
    <w:rsid w:val="006B6A7E"/>
    <w:rsid w:val="006B6E95"/>
    <w:rsid w:val="006C010D"/>
    <w:rsid w:val="006C2B86"/>
    <w:rsid w:val="006C39D1"/>
    <w:rsid w:val="006C48CC"/>
    <w:rsid w:val="006C58FF"/>
    <w:rsid w:val="006C71BA"/>
    <w:rsid w:val="006C7933"/>
    <w:rsid w:val="006C7CAA"/>
    <w:rsid w:val="006D036E"/>
    <w:rsid w:val="006D082B"/>
    <w:rsid w:val="006D0FB1"/>
    <w:rsid w:val="006D1A02"/>
    <w:rsid w:val="006D1DF2"/>
    <w:rsid w:val="006E0421"/>
    <w:rsid w:val="006E44FD"/>
    <w:rsid w:val="006E4649"/>
    <w:rsid w:val="006E5E0D"/>
    <w:rsid w:val="006E6D6A"/>
    <w:rsid w:val="006E719F"/>
    <w:rsid w:val="006F034F"/>
    <w:rsid w:val="006F2308"/>
    <w:rsid w:val="006F5467"/>
    <w:rsid w:val="006F6A79"/>
    <w:rsid w:val="006F6AE1"/>
    <w:rsid w:val="006F6D11"/>
    <w:rsid w:val="00702589"/>
    <w:rsid w:val="0070285E"/>
    <w:rsid w:val="0070694D"/>
    <w:rsid w:val="00707560"/>
    <w:rsid w:val="00715B59"/>
    <w:rsid w:val="007171B8"/>
    <w:rsid w:val="007171CD"/>
    <w:rsid w:val="00723025"/>
    <w:rsid w:val="0072365B"/>
    <w:rsid w:val="0072439B"/>
    <w:rsid w:val="00726296"/>
    <w:rsid w:val="00727925"/>
    <w:rsid w:val="00731AC8"/>
    <w:rsid w:val="00733EE9"/>
    <w:rsid w:val="00734925"/>
    <w:rsid w:val="00740027"/>
    <w:rsid w:val="00740A01"/>
    <w:rsid w:val="0074239B"/>
    <w:rsid w:val="007425E4"/>
    <w:rsid w:val="007429E2"/>
    <w:rsid w:val="00743793"/>
    <w:rsid w:val="00746058"/>
    <w:rsid w:val="007472BD"/>
    <w:rsid w:val="0075058B"/>
    <w:rsid w:val="007523E0"/>
    <w:rsid w:val="00752732"/>
    <w:rsid w:val="0075355F"/>
    <w:rsid w:val="00755389"/>
    <w:rsid w:val="00755564"/>
    <w:rsid w:val="0075608B"/>
    <w:rsid w:val="007576CA"/>
    <w:rsid w:val="00757D26"/>
    <w:rsid w:val="00761B3A"/>
    <w:rsid w:val="007627B0"/>
    <w:rsid w:val="007634E8"/>
    <w:rsid w:val="00763F28"/>
    <w:rsid w:val="00767C62"/>
    <w:rsid w:val="00771384"/>
    <w:rsid w:val="00771FEC"/>
    <w:rsid w:val="0077202A"/>
    <w:rsid w:val="00772B87"/>
    <w:rsid w:val="00773992"/>
    <w:rsid w:val="00774C04"/>
    <w:rsid w:val="00774D09"/>
    <w:rsid w:val="00775C80"/>
    <w:rsid w:val="00776471"/>
    <w:rsid w:val="007764BD"/>
    <w:rsid w:val="00777716"/>
    <w:rsid w:val="00777D1F"/>
    <w:rsid w:val="0078045E"/>
    <w:rsid w:val="007815AF"/>
    <w:rsid w:val="007910B5"/>
    <w:rsid w:val="00794B59"/>
    <w:rsid w:val="00796A4B"/>
    <w:rsid w:val="00797D37"/>
    <w:rsid w:val="00797D4D"/>
    <w:rsid w:val="007A09EB"/>
    <w:rsid w:val="007A1B5D"/>
    <w:rsid w:val="007A1B65"/>
    <w:rsid w:val="007A2FE1"/>
    <w:rsid w:val="007A3784"/>
    <w:rsid w:val="007B051A"/>
    <w:rsid w:val="007B0630"/>
    <w:rsid w:val="007B2A32"/>
    <w:rsid w:val="007B67B8"/>
    <w:rsid w:val="007C0B45"/>
    <w:rsid w:val="007C2662"/>
    <w:rsid w:val="007C3848"/>
    <w:rsid w:val="007C389C"/>
    <w:rsid w:val="007C4E42"/>
    <w:rsid w:val="007C6BD1"/>
    <w:rsid w:val="007D21B4"/>
    <w:rsid w:val="007D269E"/>
    <w:rsid w:val="007D3348"/>
    <w:rsid w:val="007D3A69"/>
    <w:rsid w:val="007D4D9C"/>
    <w:rsid w:val="007E14A7"/>
    <w:rsid w:val="007E16E0"/>
    <w:rsid w:val="007E3B32"/>
    <w:rsid w:val="007E3C42"/>
    <w:rsid w:val="007E731C"/>
    <w:rsid w:val="007F0185"/>
    <w:rsid w:val="007F05B0"/>
    <w:rsid w:val="007F15F9"/>
    <w:rsid w:val="007F1873"/>
    <w:rsid w:val="007F1E1D"/>
    <w:rsid w:val="007F2042"/>
    <w:rsid w:val="007F4726"/>
    <w:rsid w:val="007F76BD"/>
    <w:rsid w:val="007F7C67"/>
    <w:rsid w:val="00801F62"/>
    <w:rsid w:val="0080273D"/>
    <w:rsid w:val="00802A5F"/>
    <w:rsid w:val="00802E1C"/>
    <w:rsid w:val="00804464"/>
    <w:rsid w:val="008074FA"/>
    <w:rsid w:val="00811ED1"/>
    <w:rsid w:val="00812991"/>
    <w:rsid w:val="008172CE"/>
    <w:rsid w:val="00826B21"/>
    <w:rsid w:val="0083158E"/>
    <w:rsid w:val="00833364"/>
    <w:rsid w:val="0083512D"/>
    <w:rsid w:val="008361F1"/>
    <w:rsid w:val="008378B3"/>
    <w:rsid w:val="00837BDD"/>
    <w:rsid w:val="008413EE"/>
    <w:rsid w:val="0084611A"/>
    <w:rsid w:val="008469CD"/>
    <w:rsid w:val="00851833"/>
    <w:rsid w:val="00852264"/>
    <w:rsid w:val="00853CBB"/>
    <w:rsid w:val="00855FF2"/>
    <w:rsid w:val="008636FC"/>
    <w:rsid w:val="00865B50"/>
    <w:rsid w:val="00866D78"/>
    <w:rsid w:val="00866E9A"/>
    <w:rsid w:val="008703B4"/>
    <w:rsid w:val="008703E9"/>
    <w:rsid w:val="00870AD2"/>
    <w:rsid w:val="0087500A"/>
    <w:rsid w:val="00880234"/>
    <w:rsid w:val="00880AAC"/>
    <w:rsid w:val="008825DD"/>
    <w:rsid w:val="008835DC"/>
    <w:rsid w:val="00885410"/>
    <w:rsid w:val="00885DEA"/>
    <w:rsid w:val="00886341"/>
    <w:rsid w:val="0088664D"/>
    <w:rsid w:val="00886B9A"/>
    <w:rsid w:val="00890284"/>
    <w:rsid w:val="008907D0"/>
    <w:rsid w:val="00891FB8"/>
    <w:rsid w:val="008929A4"/>
    <w:rsid w:val="00892BE6"/>
    <w:rsid w:val="00892C6A"/>
    <w:rsid w:val="00893C12"/>
    <w:rsid w:val="0089451C"/>
    <w:rsid w:val="008945BD"/>
    <w:rsid w:val="0089481C"/>
    <w:rsid w:val="00894FE4"/>
    <w:rsid w:val="00896AB5"/>
    <w:rsid w:val="008A204D"/>
    <w:rsid w:val="008A2EE1"/>
    <w:rsid w:val="008A77D4"/>
    <w:rsid w:val="008A7D4E"/>
    <w:rsid w:val="008B0174"/>
    <w:rsid w:val="008B19ED"/>
    <w:rsid w:val="008B1E20"/>
    <w:rsid w:val="008B221E"/>
    <w:rsid w:val="008B4052"/>
    <w:rsid w:val="008B541C"/>
    <w:rsid w:val="008B6506"/>
    <w:rsid w:val="008B6D1A"/>
    <w:rsid w:val="008C1434"/>
    <w:rsid w:val="008C3B3B"/>
    <w:rsid w:val="008C42DC"/>
    <w:rsid w:val="008C6932"/>
    <w:rsid w:val="008D0EBE"/>
    <w:rsid w:val="008D2EAF"/>
    <w:rsid w:val="008D3C61"/>
    <w:rsid w:val="008D56C4"/>
    <w:rsid w:val="008D653B"/>
    <w:rsid w:val="008E0D69"/>
    <w:rsid w:val="008E1F75"/>
    <w:rsid w:val="008E3A14"/>
    <w:rsid w:val="008E3B72"/>
    <w:rsid w:val="008E457E"/>
    <w:rsid w:val="008E4E3E"/>
    <w:rsid w:val="008E5251"/>
    <w:rsid w:val="008E6FEF"/>
    <w:rsid w:val="008E7E0D"/>
    <w:rsid w:val="008F158A"/>
    <w:rsid w:val="008F259B"/>
    <w:rsid w:val="008F2627"/>
    <w:rsid w:val="008F36AD"/>
    <w:rsid w:val="008F407C"/>
    <w:rsid w:val="008F6B5C"/>
    <w:rsid w:val="008F70BD"/>
    <w:rsid w:val="008F72B3"/>
    <w:rsid w:val="008F730E"/>
    <w:rsid w:val="00900851"/>
    <w:rsid w:val="0090253F"/>
    <w:rsid w:val="00902645"/>
    <w:rsid w:val="0090462D"/>
    <w:rsid w:val="00905389"/>
    <w:rsid w:val="009059E8"/>
    <w:rsid w:val="00905CFD"/>
    <w:rsid w:val="00906B1D"/>
    <w:rsid w:val="00906F26"/>
    <w:rsid w:val="00910064"/>
    <w:rsid w:val="00911F0C"/>
    <w:rsid w:val="00914522"/>
    <w:rsid w:val="009175D5"/>
    <w:rsid w:val="00920C73"/>
    <w:rsid w:val="009211AA"/>
    <w:rsid w:val="00924113"/>
    <w:rsid w:val="00925035"/>
    <w:rsid w:val="00925452"/>
    <w:rsid w:val="00925F50"/>
    <w:rsid w:val="00926415"/>
    <w:rsid w:val="0093067A"/>
    <w:rsid w:val="009421BE"/>
    <w:rsid w:val="00946C54"/>
    <w:rsid w:val="0094793B"/>
    <w:rsid w:val="00952780"/>
    <w:rsid w:val="00952B46"/>
    <w:rsid w:val="00952D87"/>
    <w:rsid w:val="009530A7"/>
    <w:rsid w:val="00955882"/>
    <w:rsid w:val="00956FFF"/>
    <w:rsid w:val="00961842"/>
    <w:rsid w:val="009631D2"/>
    <w:rsid w:val="00965D36"/>
    <w:rsid w:val="00966F40"/>
    <w:rsid w:val="00967CCC"/>
    <w:rsid w:val="00970AB2"/>
    <w:rsid w:val="00972282"/>
    <w:rsid w:val="00972B4F"/>
    <w:rsid w:val="00974B4E"/>
    <w:rsid w:val="00975610"/>
    <w:rsid w:val="00975880"/>
    <w:rsid w:val="00975F77"/>
    <w:rsid w:val="00976275"/>
    <w:rsid w:val="0098029B"/>
    <w:rsid w:val="009833D2"/>
    <w:rsid w:val="00983540"/>
    <w:rsid w:val="0098362A"/>
    <w:rsid w:val="0098396C"/>
    <w:rsid w:val="0098639A"/>
    <w:rsid w:val="0098643D"/>
    <w:rsid w:val="0098654C"/>
    <w:rsid w:val="00987B1B"/>
    <w:rsid w:val="00991534"/>
    <w:rsid w:val="009930B0"/>
    <w:rsid w:val="00995FC9"/>
    <w:rsid w:val="009A0C7B"/>
    <w:rsid w:val="009A1656"/>
    <w:rsid w:val="009A1AB7"/>
    <w:rsid w:val="009A3286"/>
    <w:rsid w:val="009A33A7"/>
    <w:rsid w:val="009A6A11"/>
    <w:rsid w:val="009A7251"/>
    <w:rsid w:val="009B0112"/>
    <w:rsid w:val="009B1C01"/>
    <w:rsid w:val="009B2787"/>
    <w:rsid w:val="009B4254"/>
    <w:rsid w:val="009B4BA4"/>
    <w:rsid w:val="009B5116"/>
    <w:rsid w:val="009B6325"/>
    <w:rsid w:val="009B6CA9"/>
    <w:rsid w:val="009C1AA5"/>
    <w:rsid w:val="009C21A2"/>
    <w:rsid w:val="009C582D"/>
    <w:rsid w:val="009C63FF"/>
    <w:rsid w:val="009C67B9"/>
    <w:rsid w:val="009D08EF"/>
    <w:rsid w:val="009D2D48"/>
    <w:rsid w:val="009D395C"/>
    <w:rsid w:val="009D59D9"/>
    <w:rsid w:val="009D5B71"/>
    <w:rsid w:val="009D610B"/>
    <w:rsid w:val="009D6B33"/>
    <w:rsid w:val="009D7EB0"/>
    <w:rsid w:val="009E04D6"/>
    <w:rsid w:val="009E07E0"/>
    <w:rsid w:val="009E245C"/>
    <w:rsid w:val="009E759F"/>
    <w:rsid w:val="009F2C8D"/>
    <w:rsid w:val="009F405B"/>
    <w:rsid w:val="009F445E"/>
    <w:rsid w:val="009F520F"/>
    <w:rsid w:val="00A00C54"/>
    <w:rsid w:val="00A010F8"/>
    <w:rsid w:val="00A01699"/>
    <w:rsid w:val="00A041DF"/>
    <w:rsid w:val="00A050A6"/>
    <w:rsid w:val="00A06691"/>
    <w:rsid w:val="00A1055F"/>
    <w:rsid w:val="00A1101B"/>
    <w:rsid w:val="00A12815"/>
    <w:rsid w:val="00A12A20"/>
    <w:rsid w:val="00A135BB"/>
    <w:rsid w:val="00A14A2C"/>
    <w:rsid w:val="00A17ACB"/>
    <w:rsid w:val="00A221B0"/>
    <w:rsid w:val="00A221EB"/>
    <w:rsid w:val="00A22FEE"/>
    <w:rsid w:val="00A24C00"/>
    <w:rsid w:val="00A26861"/>
    <w:rsid w:val="00A26971"/>
    <w:rsid w:val="00A27349"/>
    <w:rsid w:val="00A3280C"/>
    <w:rsid w:val="00A33A82"/>
    <w:rsid w:val="00A33CE3"/>
    <w:rsid w:val="00A35790"/>
    <w:rsid w:val="00A35F90"/>
    <w:rsid w:val="00A365F2"/>
    <w:rsid w:val="00A36FE0"/>
    <w:rsid w:val="00A40742"/>
    <w:rsid w:val="00A423DE"/>
    <w:rsid w:val="00A433CB"/>
    <w:rsid w:val="00A43A21"/>
    <w:rsid w:val="00A4545C"/>
    <w:rsid w:val="00A45C1F"/>
    <w:rsid w:val="00A4751D"/>
    <w:rsid w:val="00A50571"/>
    <w:rsid w:val="00A523F8"/>
    <w:rsid w:val="00A52D6C"/>
    <w:rsid w:val="00A53970"/>
    <w:rsid w:val="00A5415B"/>
    <w:rsid w:val="00A55CD7"/>
    <w:rsid w:val="00A55F10"/>
    <w:rsid w:val="00A56BE3"/>
    <w:rsid w:val="00A57A67"/>
    <w:rsid w:val="00A60533"/>
    <w:rsid w:val="00A62CB8"/>
    <w:rsid w:val="00A65763"/>
    <w:rsid w:val="00A65C28"/>
    <w:rsid w:val="00A65EA3"/>
    <w:rsid w:val="00A67E48"/>
    <w:rsid w:val="00A7052C"/>
    <w:rsid w:val="00A76767"/>
    <w:rsid w:val="00A7772E"/>
    <w:rsid w:val="00A80F4F"/>
    <w:rsid w:val="00A8131F"/>
    <w:rsid w:val="00A81FC6"/>
    <w:rsid w:val="00A8427C"/>
    <w:rsid w:val="00A86A3E"/>
    <w:rsid w:val="00A9122D"/>
    <w:rsid w:val="00A91D2E"/>
    <w:rsid w:val="00A92C78"/>
    <w:rsid w:val="00A95CAC"/>
    <w:rsid w:val="00A967DA"/>
    <w:rsid w:val="00AA0401"/>
    <w:rsid w:val="00AA1161"/>
    <w:rsid w:val="00AA49F8"/>
    <w:rsid w:val="00AB02E6"/>
    <w:rsid w:val="00AB1B89"/>
    <w:rsid w:val="00AB4AEA"/>
    <w:rsid w:val="00AC1F8D"/>
    <w:rsid w:val="00AC299C"/>
    <w:rsid w:val="00AC2B95"/>
    <w:rsid w:val="00AC33D9"/>
    <w:rsid w:val="00AC433D"/>
    <w:rsid w:val="00AC505E"/>
    <w:rsid w:val="00AC646A"/>
    <w:rsid w:val="00AC7174"/>
    <w:rsid w:val="00AC786E"/>
    <w:rsid w:val="00AD20D4"/>
    <w:rsid w:val="00AD2244"/>
    <w:rsid w:val="00AD2F4C"/>
    <w:rsid w:val="00AD3940"/>
    <w:rsid w:val="00AE03BF"/>
    <w:rsid w:val="00AE0BAB"/>
    <w:rsid w:val="00AE157E"/>
    <w:rsid w:val="00AE33AF"/>
    <w:rsid w:val="00AE375C"/>
    <w:rsid w:val="00AE74F4"/>
    <w:rsid w:val="00AE76B6"/>
    <w:rsid w:val="00AF4426"/>
    <w:rsid w:val="00AF6223"/>
    <w:rsid w:val="00AF65C8"/>
    <w:rsid w:val="00B01736"/>
    <w:rsid w:val="00B05D58"/>
    <w:rsid w:val="00B067E0"/>
    <w:rsid w:val="00B1076D"/>
    <w:rsid w:val="00B11783"/>
    <w:rsid w:val="00B11EC0"/>
    <w:rsid w:val="00B124DA"/>
    <w:rsid w:val="00B13F93"/>
    <w:rsid w:val="00B154D5"/>
    <w:rsid w:val="00B167C7"/>
    <w:rsid w:val="00B17339"/>
    <w:rsid w:val="00B20463"/>
    <w:rsid w:val="00B2120B"/>
    <w:rsid w:val="00B228BF"/>
    <w:rsid w:val="00B245A2"/>
    <w:rsid w:val="00B2484E"/>
    <w:rsid w:val="00B24C99"/>
    <w:rsid w:val="00B2548E"/>
    <w:rsid w:val="00B25A51"/>
    <w:rsid w:val="00B26CDF"/>
    <w:rsid w:val="00B326FC"/>
    <w:rsid w:val="00B327BC"/>
    <w:rsid w:val="00B32825"/>
    <w:rsid w:val="00B3331E"/>
    <w:rsid w:val="00B34040"/>
    <w:rsid w:val="00B35595"/>
    <w:rsid w:val="00B35F04"/>
    <w:rsid w:val="00B41F3F"/>
    <w:rsid w:val="00B45F60"/>
    <w:rsid w:val="00B461D2"/>
    <w:rsid w:val="00B516CD"/>
    <w:rsid w:val="00B517B6"/>
    <w:rsid w:val="00B52687"/>
    <w:rsid w:val="00B5327B"/>
    <w:rsid w:val="00B54044"/>
    <w:rsid w:val="00B542FB"/>
    <w:rsid w:val="00B60718"/>
    <w:rsid w:val="00B607E4"/>
    <w:rsid w:val="00B61E86"/>
    <w:rsid w:val="00B622AB"/>
    <w:rsid w:val="00B62B98"/>
    <w:rsid w:val="00B642C7"/>
    <w:rsid w:val="00B67911"/>
    <w:rsid w:val="00B71A9C"/>
    <w:rsid w:val="00B72848"/>
    <w:rsid w:val="00B72AC8"/>
    <w:rsid w:val="00B7384D"/>
    <w:rsid w:val="00B75FBF"/>
    <w:rsid w:val="00B762CA"/>
    <w:rsid w:val="00B77DEA"/>
    <w:rsid w:val="00B85793"/>
    <w:rsid w:val="00B86D43"/>
    <w:rsid w:val="00B90C0A"/>
    <w:rsid w:val="00B94683"/>
    <w:rsid w:val="00B9520A"/>
    <w:rsid w:val="00BA00E4"/>
    <w:rsid w:val="00BA013A"/>
    <w:rsid w:val="00BA1A44"/>
    <w:rsid w:val="00BA3B9F"/>
    <w:rsid w:val="00BA598E"/>
    <w:rsid w:val="00BA5AE1"/>
    <w:rsid w:val="00BA676C"/>
    <w:rsid w:val="00BB0A69"/>
    <w:rsid w:val="00BB0AAF"/>
    <w:rsid w:val="00BB0C31"/>
    <w:rsid w:val="00BB579C"/>
    <w:rsid w:val="00BB6048"/>
    <w:rsid w:val="00BB7091"/>
    <w:rsid w:val="00BB722A"/>
    <w:rsid w:val="00BC0E8E"/>
    <w:rsid w:val="00BC37F9"/>
    <w:rsid w:val="00BC57B7"/>
    <w:rsid w:val="00BC5EE8"/>
    <w:rsid w:val="00BC5F83"/>
    <w:rsid w:val="00BD0986"/>
    <w:rsid w:val="00BD18E4"/>
    <w:rsid w:val="00BD3BF8"/>
    <w:rsid w:val="00BD4C3F"/>
    <w:rsid w:val="00BD58C6"/>
    <w:rsid w:val="00BD7D9C"/>
    <w:rsid w:val="00BE23D2"/>
    <w:rsid w:val="00BE2C1C"/>
    <w:rsid w:val="00BE3191"/>
    <w:rsid w:val="00BE3264"/>
    <w:rsid w:val="00BF2201"/>
    <w:rsid w:val="00BF244A"/>
    <w:rsid w:val="00BF53B8"/>
    <w:rsid w:val="00C00404"/>
    <w:rsid w:val="00C00955"/>
    <w:rsid w:val="00C0179A"/>
    <w:rsid w:val="00C04946"/>
    <w:rsid w:val="00C055CC"/>
    <w:rsid w:val="00C07E29"/>
    <w:rsid w:val="00C1242D"/>
    <w:rsid w:val="00C12BED"/>
    <w:rsid w:val="00C21300"/>
    <w:rsid w:val="00C21C27"/>
    <w:rsid w:val="00C23316"/>
    <w:rsid w:val="00C24190"/>
    <w:rsid w:val="00C2772B"/>
    <w:rsid w:val="00C31694"/>
    <w:rsid w:val="00C3219E"/>
    <w:rsid w:val="00C325C5"/>
    <w:rsid w:val="00C326C7"/>
    <w:rsid w:val="00C36FFD"/>
    <w:rsid w:val="00C37D93"/>
    <w:rsid w:val="00C40F00"/>
    <w:rsid w:val="00C43941"/>
    <w:rsid w:val="00C446B8"/>
    <w:rsid w:val="00C4786D"/>
    <w:rsid w:val="00C53649"/>
    <w:rsid w:val="00C56665"/>
    <w:rsid w:val="00C578F7"/>
    <w:rsid w:val="00C608CD"/>
    <w:rsid w:val="00C621ED"/>
    <w:rsid w:val="00C62CA4"/>
    <w:rsid w:val="00C62CCB"/>
    <w:rsid w:val="00C6458A"/>
    <w:rsid w:val="00C64919"/>
    <w:rsid w:val="00C64E4B"/>
    <w:rsid w:val="00C70462"/>
    <w:rsid w:val="00C7377A"/>
    <w:rsid w:val="00C738A2"/>
    <w:rsid w:val="00C73D8C"/>
    <w:rsid w:val="00C75CA3"/>
    <w:rsid w:val="00C770E6"/>
    <w:rsid w:val="00C80B0A"/>
    <w:rsid w:val="00C81AF0"/>
    <w:rsid w:val="00C81B7C"/>
    <w:rsid w:val="00C81E20"/>
    <w:rsid w:val="00C824D0"/>
    <w:rsid w:val="00C838D2"/>
    <w:rsid w:val="00C84ED6"/>
    <w:rsid w:val="00C85413"/>
    <w:rsid w:val="00C867AC"/>
    <w:rsid w:val="00C86865"/>
    <w:rsid w:val="00C87429"/>
    <w:rsid w:val="00C878B8"/>
    <w:rsid w:val="00C91571"/>
    <w:rsid w:val="00C97EA6"/>
    <w:rsid w:val="00CA17F0"/>
    <w:rsid w:val="00CA1EB0"/>
    <w:rsid w:val="00CA41C6"/>
    <w:rsid w:val="00CA5385"/>
    <w:rsid w:val="00CA5920"/>
    <w:rsid w:val="00CA7EA8"/>
    <w:rsid w:val="00CB1935"/>
    <w:rsid w:val="00CB34EB"/>
    <w:rsid w:val="00CB35F8"/>
    <w:rsid w:val="00CB44CF"/>
    <w:rsid w:val="00CB47AF"/>
    <w:rsid w:val="00CB5B88"/>
    <w:rsid w:val="00CB63A1"/>
    <w:rsid w:val="00CC147A"/>
    <w:rsid w:val="00CC3AF2"/>
    <w:rsid w:val="00CC4D4E"/>
    <w:rsid w:val="00CC6C5D"/>
    <w:rsid w:val="00CC7881"/>
    <w:rsid w:val="00CD0114"/>
    <w:rsid w:val="00CD145F"/>
    <w:rsid w:val="00CD5A98"/>
    <w:rsid w:val="00CD7A88"/>
    <w:rsid w:val="00CE0B59"/>
    <w:rsid w:val="00CE126E"/>
    <w:rsid w:val="00CE2378"/>
    <w:rsid w:val="00CE588D"/>
    <w:rsid w:val="00CE767B"/>
    <w:rsid w:val="00CE7ABA"/>
    <w:rsid w:val="00CF2E70"/>
    <w:rsid w:val="00CF2EB4"/>
    <w:rsid w:val="00CF5106"/>
    <w:rsid w:val="00CF702C"/>
    <w:rsid w:val="00CF751A"/>
    <w:rsid w:val="00CF7984"/>
    <w:rsid w:val="00D00B9E"/>
    <w:rsid w:val="00D01E9A"/>
    <w:rsid w:val="00D036DB"/>
    <w:rsid w:val="00D03C2C"/>
    <w:rsid w:val="00D0528A"/>
    <w:rsid w:val="00D0665D"/>
    <w:rsid w:val="00D10A57"/>
    <w:rsid w:val="00D124D3"/>
    <w:rsid w:val="00D12649"/>
    <w:rsid w:val="00D12AFA"/>
    <w:rsid w:val="00D12C4A"/>
    <w:rsid w:val="00D13E08"/>
    <w:rsid w:val="00D1584E"/>
    <w:rsid w:val="00D1702E"/>
    <w:rsid w:val="00D17171"/>
    <w:rsid w:val="00D1786C"/>
    <w:rsid w:val="00D20C56"/>
    <w:rsid w:val="00D21F2D"/>
    <w:rsid w:val="00D233D1"/>
    <w:rsid w:val="00D24D01"/>
    <w:rsid w:val="00D24DFC"/>
    <w:rsid w:val="00D27314"/>
    <w:rsid w:val="00D27418"/>
    <w:rsid w:val="00D30612"/>
    <w:rsid w:val="00D3203B"/>
    <w:rsid w:val="00D4008D"/>
    <w:rsid w:val="00D40166"/>
    <w:rsid w:val="00D4300F"/>
    <w:rsid w:val="00D462CF"/>
    <w:rsid w:val="00D4737A"/>
    <w:rsid w:val="00D47FD8"/>
    <w:rsid w:val="00D50096"/>
    <w:rsid w:val="00D50141"/>
    <w:rsid w:val="00D50A55"/>
    <w:rsid w:val="00D51091"/>
    <w:rsid w:val="00D51496"/>
    <w:rsid w:val="00D5169E"/>
    <w:rsid w:val="00D5433F"/>
    <w:rsid w:val="00D558CD"/>
    <w:rsid w:val="00D56402"/>
    <w:rsid w:val="00D61519"/>
    <w:rsid w:val="00D6315C"/>
    <w:rsid w:val="00D6499F"/>
    <w:rsid w:val="00D668CF"/>
    <w:rsid w:val="00D66DA8"/>
    <w:rsid w:val="00D7066E"/>
    <w:rsid w:val="00D70BF6"/>
    <w:rsid w:val="00D70C74"/>
    <w:rsid w:val="00D70F4B"/>
    <w:rsid w:val="00D71557"/>
    <w:rsid w:val="00D738A0"/>
    <w:rsid w:val="00D74B19"/>
    <w:rsid w:val="00D75498"/>
    <w:rsid w:val="00D777DF"/>
    <w:rsid w:val="00D77E7D"/>
    <w:rsid w:val="00D819AC"/>
    <w:rsid w:val="00D830D2"/>
    <w:rsid w:val="00D83692"/>
    <w:rsid w:val="00D873F4"/>
    <w:rsid w:val="00D92678"/>
    <w:rsid w:val="00D943DD"/>
    <w:rsid w:val="00D946DE"/>
    <w:rsid w:val="00D95A7A"/>
    <w:rsid w:val="00D97A0C"/>
    <w:rsid w:val="00D97CBA"/>
    <w:rsid w:val="00DA06A9"/>
    <w:rsid w:val="00DA1074"/>
    <w:rsid w:val="00DA22B5"/>
    <w:rsid w:val="00DA2BFE"/>
    <w:rsid w:val="00DA2DBA"/>
    <w:rsid w:val="00DA3207"/>
    <w:rsid w:val="00DA4A44"/>
    <w:rsid w:val="00DA4E0B"/>
    <w:rsid w:val="00DA5502"/>
    <w:rsid w:val="00DA7B0A"/>
    <w:rsid w:val="00DB0379"/>
    <w:rsid w:val="00DB1134"/>
    <w:rsid w:val="00DB2D93"/>
    <w:rsid w:val="00DB3BFA"/>
    <w:rsid w:val="00DB489A"/>
    <w:rsid w:val="00DB4AC1"/>
    <w:rsid w:val="00DB5766"/>
    <w:rsid w:val="00DB642D"/>
    <w:rsid w:val="00DB6DDB"/>
    <w:rsid w:val="00DC0094"/>
    <w:rsid w:val="00DC201F"/>
    <w:rsid w:val="00DC56DF"/>
    <w:rsid w:val="00DC7F9F"/>
    <w:rsid w:val="00DD10B5"/>
    <w:rsid w:val="00DD2116"/>
    <w:rsid w:val="00DD32E4"/>
    <w:rsid w:val="00DD43E0"/>
    <w:rsid w:val="00DD4AB3"/>
    <w:rsid w:val="00DD4F5C"/>
    <w:rsid w:val="00DD5A85"/>
    <w:rsid w:val="00DD6AD6"/>
    <w:rsid w:val="00DD7643"/>
    <w:rsid w:val="00DE0238"/>
    <w:rsid w:val="00DE178F"/>
    <w:rsid w:val="00DE1CED"/>
    <w:rsid w:val="00DE7F40"/>
    <w:rsid w:val="00DF01B6"/>
    <w:rsid w:val="00DF147F"/>
    <w:rsid w:val="00DF3CDC"/>
    <w:rsid w:val="00DF4608"/>
    <w:rsid w:val="00DF4EC3"/>
    <w:rsid w:val="00DF615C"/>
    <w:rsid w:val="00DF752B"/>
    <w:rsid w:val="00DF7F40"/>
    <w:rsid w:val="00E01CCA"/>
    <w:rsid w:val="00E0200F"/>
    <w:rsid w:val="00E024BF"/>
    <w:rsid w:val="00E03102"/>
    <w:rsid w:val="00E04449"/>
    <w:rsid w:val="00E0788E"/>
    <w:rsid w:val="00E11798"/>
    <w:rsid w:val="00E15193"/>
    <w:rsid w:val="00E1706B"/>
    <w:rsid w:val="00E23208"/>
    <w:rsid w:val="00E26DAE"/>
    <w:rsid w:val="00E270DF"/>
    <w:rsid w:val="00E326CD"/>
    <w:rsid w:val="00E32D63"/>
    <w:rsid w:val="00E32E85"/>
    <w:rsid w:val="00E33720"/>
    <w:rsid w:val="00E34026"/>
    <w:rsid w:val="00E35A97"/>
    <w:rsid w:val="00E36F17"/>
    <w:rsid w:val="00E37138"/>
    <w:rsid w:val="00E37B34"/>
    <w:rsid w:val="00E37CB5"/>
    <w:rsid w:val="00E409D4"/>
    <w:rsid w:val="00E413DB"/>
    <w:rsid w:val="00E41D1A"/>
    <w:rsid w:val="00E42366"/>
    <w:rsid w:val="00E446D5"/>
    <w:rsid w:val="00E46D7A"/>
    <w:rsid w:val="00E51BDA"/>
    <w:rsid w:val="00E52230"/>
    <w:rsid w:val="00E53E1A"/>
    <w:rsid w:val="00E5570C"/>
    <w:rsid w:val="00E55E68"/>
    <w:rsid w:val="00E56E10"/>
    <w:rsid w:val="00E57F3A"/>
    <w:rsid w:val="00E63DD5"/>
    <w:rsid w:val="00E65382"/>
    <w:rsid w:val="00E67CE1"/>
    <w:rsid w:val="00E70A32"/>
    <w:rsid w:val="00E72726"/>
    <w:rsid w:val="00E74217"/>
    <w:rsid w:val="00E74689"/>
    <w:rsid w:val="00E77782"/>
    <w:rsid w:val="00E779D7"/>
    <w:rsid w:val="00E77F9D"/>
    <w:rsid w:val="00E80804"/>
    <w:rsid w:val="00E81BC1"/>
    <w:rsid w:val="00E82B82"/>
    <w:rsid w:val="00E82C35"/>
    <w:rsid w:val="00E830ED"/>
    <w:rsid w:val="00E84900"/>
    <w:rsid w:val="00E87551"/>
    <w:rsid w:val="00E87D47"/>
    <w:rsid w:val="00E92214"/>
    <w:rsid w:val="00E933F3"/>
    <w:rsid w:val="00E94C3F"/>
    <w:rsid w:val="00E94E0E"/>
    <w:rsid w:val="00E94F16"/>
    <w:rsid w:val="00E961AE"/>
    <w:rsid w:val="00E96B9F"/>
    <w:rsid w:val="00EA0E18"/>
    <w:rsid w:val="00EA1DB2"/>
    <w:rsid w:val="00EA2CDD"/>
    <w:rsid w:val="00EA3D0D"/>
    <w:rsid w:val="00EA6FAD"/>
    <w:rsid w:val="00EB0A32"/>
    <w:rsid w:val="00EB0D31"/>
    <w:rsid w:val="00EB10ED"/>
    <w:rsid w:val="00EB1DBD"/>
    <w:rsid w:val="00EB2665"/>
    <w:rsid w:val="00EB54AB"/>
    <w:rsid w:val="00EB5CCA"/>
    <w:rsid w:val="00EB6279"/>
    <w:rsid w:val="00EB6510"/>
    <w:rsid w:val="00EC1393"/>
    <w:rsid w:val="00EC20EB"/>
    <w:rsid w:val="00EC311A"/>
    <w:rsid w:val="00EC396B"/>
    <w:rsid w:val="00EC4608"/>
    <w:rsid w:val="00EC5184"/>
    <w:rsid w:val="00EC5C73"/>
    <w:rsid w:val="00EC71B6"/>
    <w:rsid w:val="00EC73A1"/>
    <w:rsid w:val="00ED110A"/>
    <w:rsid w:val="00ED199D"/>
    <w:rsid w:val="00ED1B2A"/>
    <w:rsid w:val="00ED1FE6"/>
    <w:rsid w:val="00ED4D8D"/>
    <w:rsid w:val="00ED4FD9"/>
    <w:rsid w:val="00ED5B5F"/>
    <w:rsid w:val="00ED6C05"/>
    <w:rsid w:val="00ED74B1"/>
    <w:rsid w:val="00EE1469"/>
    <w:rsid w:val="00EE2585"/>
    <w:rsid w:val="00EE4444"/>
    <w:rsid w:val="00EE5A0A"/>
    <w:rsid w:val="00EF0B6A"/>
    <w:rsid w:val="00EF2375"/>
    <w:rsid w:val="00EF2858"/>
    <w:rsid w:val="00EF47CD"/>
    <w:rsid w:val="00EF5339"/>
    <w:rsid w:val="00F01588"/>
    <w:rsid w:val="00F02AC6"/>
    <w:rsid w:val="00F06AE9"/>
    <w:rsid w:val="00F13670"/>
    <w:rsid w:val="00F14E84"/>
    <w:rsid w:val="00F15C75"/>
    <w:rsid w:val="00F164DC"/>
    <w:rsid w:val="00F17AED"/>
    <w:rsid w:val="00F20124"/>
    <w:rsid w:val="00F20C27"/>
    <w:rsid w:val="00F21459"/>
    <w:rsid w:val="00F2323D"/>
    <w:rsid w:val="00F23C43"/>
    <w:rsid w:val="00F2428E"/>
    <w:rsid w:val="00F249C7"/>
    <w:rsid w:val="00F265E9"/>
    <w:rsid w:val="00F312A7"/>
    <w:rsid w:val="00F31C07"/>
    <w:rsid w:val="00F32CEB"/>
    <w:rsid w:val="00F33BCB"/>
    <w:rsid w:val="00F361FC"/>
    <w:rsid w:val="00F37136"/>
    <w:rsid w:val="00F3742C"/>
    <w:rsid w:val="00F418CC"/>
    <w:rsid w:val="00F4395F"/>
    <w:rsid w:val="00F46B8C"/>
    <w:rsid w:val="00F47109"/>
    <w:rsid w:val="00F47BE4"/>
    <w:rsid w:val="00F50C90"/>
    <w:rsid w:val="00F50FD6"/>
    <w:rsid w:val="00F52D13"/>
    <w:rsid w:val="00F53035"/>
    <w:rsid w:val="00F57EC7"/>
    <w:rsid w:val="00F621A0"/>
    <w:rsid w:val="00F65547"/>
    <w:rsid w:val="00F6633C"/>
    <w:rsid w:val="00F740D9"/>
    <w:rsid w:val="00F74431"/>
    <w:rsid w:val="00F77049"/>
    <w:rsid w:val="00F80D42"/>
    <w:rsid w:val="00F8406D"/>
    <w:rsid w:val="00F85CF1"/>
    <w:rsid w:val="00F86218"/>
    <w:rsid w:val="00F86650"/>
    <w:rsid w:val="00F9221B"/>
    <w:rsid w:val="00F9271E"/>
    <w:rsid w:val="00F966F1"/>
    <w:rsid w:val="00F96E25"/>
    <w:rsid w:val="00FA1019"/>
    <w:rsid w:val="00FA380F"/>
    <w:rsid w:val="00FA5C67"/>
    <w:rsid w:val="00FA6BDE"/>
    <w:rsid w:val="00FB0016"/>
    <w:rsid w:val="00FB0158"/>
    <w:rsid w:val="00FB02E9"/>
    <w:rsid w:val="00FB0A5B"/>
    <w:rsid w:val="00FB40DE"/>
    <w:rsid w:val="00FC16B0"/>
    <w:rsid w:val="00FC1EB9"/>
    <w:rsid w:val="00FC2751"/>
    <w:rsid w:val="00FC4211"/>
    <w:rsid w:val="00FC42C0"/>
    <w:rsid w:val="00FC5608"/>
    <w:rsid w:val="00FC5711"/>
    <w:rsid w:val="00FC7879"/>
    <w:rsid w:val="00FC7910"/>
    <w:rsid w:val="00FC7B3F"/>
    <w:rsid w:val="00FD4341"/>
    <w:rsid w:val="00FD5348"/>
    <w:rsid w:val="00FD5425"/>
    <w:rsid w:val="00FD54E1"/>
    <w:rsid w:val="00FD59AD"/>
    <w:rsid w:val="00FD6B06"/>
    <w:rsid w:val="00FE2A2C"/>
    <w:rsid w:val="00FE5579"/>
    <w:rsid w:val="00FF3B7E"/>
    <w:rsid w:val="00FF50F2"/>
    <w:rsid w:val="00FF52A9"/>
    <w:rsid w:val="00FF5B40"/>
    <w:rsid w:val="00FF60C7"/>
    <w:rsid w:val="00FF60E8"/>
    <w:rsid w:val="00FF6458"/>
    <w:rsid w:val="00FF6CC7"/>
    <w:rsid w:val="00FF6E8B"/>
    <w:rsid w:val="00FF77C4"/>
    <w:rsid w:val="09B5DCC3"/>
    <w:rsid w:val="11E8AE83"/>
    <w:rsid w:val="13A2C7E3"/>
    <w:rsid w:val="1E24A5A8"/>
    <w:rsid w:val="20DF11D1"/>
    <w:rsid w:val="23FAC606"/>
    <w:rsid w:val="25DCB681"/>
    <w:rsid w:val="2843C295"/>
    <w:rsid w:val="28594DBF"/>
    <w:rsid w:val="2A9F99E7"/>
    <w:rsid w:val="2EA51D17"/>
    <w:rsid w:val="319D8961"/>
    <w:rsid w:val="334A8A01"/>
    <w:rsid w:val="37CE37E1"/>
    <w:rsid w:val="396C4500"/>
    <w:rsid w:val="45F3BB45"/>
    <w:rsid w:val="4A5D212E"/>
    <w:rsid w:val="4F7F02BA"/>
    <w:rsid w:val="501C393C"/>
    <w:rsid w:val="5DB75E29"/>
    <w:rsid w:val="5F084192"/>
    <w:rsid w:val="61B8F681"/>
    <w:rsid w:val="6413471C"/>
    <w:rsid w:val="756D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34A8A01"/>
  <w15:chartTrackingRefBased/>
  <w15:docId w15:val="{35D0179D-D341-F840-B797-E2947C60B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6780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uiPriority w:val="1"/>
    <w:qFormat/>
    <w:rsid w:val="002B01EC"/>
    <w:pPr>
      <w:keepNext/>
      <w:spacing w:before="360" w:after="240" w:line="240" w:lineRule="atLeast"/>
      <w:outlineLvl w:val="0"/>
    </w:pPr>
    <w:rPr>
      <w:rFonts w:ascii="Arial" w:hAnsi="Arial" w:cs="Arial"/>
      <w:b/>
      <w:bCs/>
      <w:color w:val="000000"/>
      <w:sz w:val="36"/>
    </w:rPr>
  </w:style>
  <w:style w:type="paragraph" w:styleId="Overskrift2">
    <w:name w:val="heading 2"/>
    <w:basedOn w:val="Normal"/>
    <w:next w:val="Normal"/>
    <w:link w:val="Overskrift2Tegn"/>
    <w:uiPriority w:val="1"/>
    <w:qFormat/>
    <w:rsid w:val="002B01EC"/>
    <w:pPr>
      <w:keepNext/>
      <w:spacing w:before="360" w:after="60"/>
      <w:outlineLvl w:val="1"/>
    </w:pPr>
    <w:rPr>
      <w:rFonts w:ascii="Arial" w:hAnsi="Arial" w:cs="Arial"/>
      <w:b/>
      <w:bCs/>
      <w:iCs/>
      <w:szCs w:val="28"/>
    </w:rPr>
  </w:style>
  <w:style w:type="paragraph" w:styleId="Overskrift3">
    <w:name w:val="heading 3"/>
    <w:basedOn w:val="Normal"/>
    <w:next w:val="Normal"/>
    <w:link w:val="Overskrift3Tegn"/>
    <w:uiPriority w:val="1"/>
    <w:qFormat/>
    <w:rsid w:val="002B01EC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1"/>
    <w:rsid w:val="001078C3"/>
    <w:rPr>
      <w:rFonts w:ascii="Arial" w:eastAsia="Times New Roman" w:hAnsi="Arial" w:cs="Arial"/>
      <w:b/>
      <w:bCs/>
      <w:color w:val="000000"/>
      <w:sz w:val="36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1"/>
    <w:rsid w:val="001078C3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1"/>
    <w:rsid w:val="001078C3"/>
    <w:rPr>
      <w:rFonts w:ascii="Arial" w:eastAsia="Times New Roman" w:hAnsi="Arial" w:cs="Arial"/>
      <w:b/>
      <w:bCs/>
      <w:sz w:val="20"/>
      <w:szCs w:val="26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2B01EC"/>
    <w:pPr>
      <w:tabs>
        <w:tab w:val="center" w:pos="4680"/>
        <w:tab w:val="right" w:pos="9360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078C3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2B01EC"/>
    <w:pPr>
      <w:tabs>
        <w:tab w:val="center" w:pos="4680"/>
        <w:tab w:val="right" w:pos="9360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078C3"/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KUtitel">
    <w:name w:val="KU titel"/>
    <w:basedOn w:val="Normal"/>
    <w:uiPriority w:val="99"/>
    <w:semiHidden/>
    <w:rsid w:val="002B01EC"/>
    <w:pPr>
      <w:spacing w:line="560" w:lineRule="exact"/>
    </w:pPr>
    <w:rPr>
      <w:rFonts w:ascii="Arial" w:hAnsi="Arial" w:cs="Arial"/>
      <w:b/>
      <w:spacing w:val="12"/>
      <w:sz w:val="48"/>
      <w:szCs w:val="51"/>
    </w:rPr>
  </w:style>
  <w:style w:type="paragraph" w:customStyle="1" w:styleId="KUundertitel">
    <w:name w:val="KU undertitel"/>
    <w:basedOn w:val="Normal"/>
    <w:uiPriority w:val="99"/>
    <w:semiHidden/>
    <w:rsid w:val="002B01EC"/>
    <w:pPr>
      <w:spacing w:line="560" w:lineRule="exact"/>
    </w:pPr>
    <w:rPr>
      <w:rFonts w:ascii="Arial" w:hAnsi="Arial" w:cs="Arial"/>
      <w:spacing w:val="14"/>
      <w:sz w:val="36"/>
      <w:szCs w:val="40"/>
    </w:rPr>
  </w:style>
  <w:style w:type="paragraph" w:customStyle="1" w:styleId="Template-Hoved1">
    <w:name w:val="Template - Hoved 1"/>
    <w:basedOn w:val="Normal"/>
    <w:next w:val="Normal"/>
    <w:autoRedefine/>
    <w:uiPriority w:val="99"/>
    <w:semiHidden/>
    <w:rsid w:val="002B01EC"/>
    <w:pPr>
      <w:spacing w:line="300" w:lineRule="exact"/>
    </w:pPr>
    <w:rPr>
      <w:caps/>
      <w:noProof/>
      <w:spacing w:val="42"/>
      <w:lang w:val="en-GB"/>
    </w:rPr>
  </w:style>
  <w:style w:type="paragraph" w:customStyle="1" w:styleId="Template-Hoved2">
    <w:name w:val="Template - Hoved 2"/>
    <w:basedOn w:val="Normal"/>
    <w:next w:val="Normal"/>
    <w:autoRedefine/>
    <w:uiPriority w:val="99"/>
    <w:semiHidden/>
    <w:rsid w:val="002B01EC"/>
    <w:pPr>
      <w:spacing w:line="280" w:lineRule="exact"/>
    </w:pPr>
    <w:rPr>
      <w:caps/>
      <w:noProof/>
      <w:spacing w:val="42"/>
      <w:sz w:val="18"/>
      <w:szCs w:val="20"/>
      <w:lang w:val="en-GB"/>
    </w:rPr>
  </w:style>
  <w:style w:type="paragraph" w:styleId="Indholdsfortegnelse1">
    <w:name w:val="toc 1"/>
    <w:basedOn w:val="Normal"/>
    <w:next w:val="Normal"/>
    <w:uiPriority w:val="39"/>
    <w:rsid w:val="002B01EC"/>
    <w:pPr>
      <w:tabs>
        <w:tab w:val="right" w:leader="dot" w:pos="9628"/>
      </w:tabs>
      <w:spacing w:before="360" w:line="240" w:lineRule="atLeast"/>
    </w:pPr>
    <w:rPr>
      <w:rFonts w:ascii="Arial" w:hAnsi="Arial" w:cs="Arial"/>
      <w:b/>
      <w:bCs/>
      <w:caps/>
      <w:szCs w:val="28"/>
    </w:rPr>
  </w:style>
  <w:style w:type="paragraph" w:styleId="Indholdsfortegnelse2">
    <w:name w:val="toc 2"/>
    <w:basedOn w:val="Normal"/>
    <w:next w:val="Normal"/>
    <w:uiPriority w:val="39"/>
    <w:rsid w:val="002B01EC"/>
    <w:pPr>
      <w:spacing w:before="240"/>
    </w:pPr>
    <w:rPr>
      <w:b/>
      <w:bCs/>
      <w:sz w:val="20"/>
    </w:rPr>
  </w:style>
  <w:style w:type="paragraph" w:styleId="Indholdsfortegnelse3">
    <w:name w:val="toc 3"/>
    <w:basedOn w:val="Normal"/>
    <w:next w:val="Normal"/>
    <w:uiPriority w:val="10"/>
    <w:semiHidden/>
    <w:rsid w:val="002B01EC"/>
    <w:pPr>
      <w:ind w:left="240"/>
    </w:pPr>
    <w:rPr>
      <w:sz w:val="20"/>
    </w:rPr>
  </w:style>
  <w:style w:type="character" w:styleId="Hyperlink">
    <w:name w:val="Hyperlink"/>
    <w:uiPriority w:val="99"/>
    <w:rsid w:val="001078C3"/>
    <w:rPr>
      <w:color w:val="0000FF"/>
      <w:u w:val="single"/>
    </w:rPr>
  </w:style>
  <w:style w:type="character" w:styleId="Sidetal">
    <w:name w:val="page number"/>
    <w:basedOn w:val="Standardskrifttypeiafsnit"/>
    <w:uiPriority w:val="99"/>
    <w:semiHidden/>
    <w:rsid w:val="001078C3"/>
  </w:style>
  <w:style w:type="table" w:styleId="Tabel-Gitter">
    <w:name w:val="Table Grid"/>
    <w:basedOn w:val="Tabel-Normal"/>
    <w:uiPriority w:val="99"/>
    <w:rsid w:val="001078C3"/>
    <w:pPr>
      <w:spacing w:after="0" w:line="300" w:lineRule="atLeast"/>
    </w:pPr>
    <w:rPr>
      <w:rFonts w:ascii="Times New Roman" w:eastAsia="Times New Roman" w:hAnsi="Times New Roman" w:cs="Times New Roman"/>
      <w:sz w:val="24"/>
      <w:szCs w:val="24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pplinfo">
    <w:name w:val="Suppl. info."/>
    <w:basedOn w:val="KUundertitel"/>
    <w:uiPriority w:val="99"/>
    <w:semiHidden/>
    <w:rsid w:val="001078C3"/>
    <w:rPr>
      <w:sz w:val="28"/>
    </w:rPr>
  </w:style>
  <w:style w:type="character" w:styleId="Pladsholdertekst">
    <w:name w:val="Placeholder Text"/>
    <w:basedOn w:val="Standardskrifttypeiafsnit"/>
    <w:uiPriority w:val="99"/>
    <w:semiHidden/>
    <w:rsid w:val="005B7DA5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856FB"/>
    <w:pPr>
      <w:spacing w:line="240" w:lineRule="auto"/>
    </w:pPr>
    <w:rPr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856FB"/>
    <w:rPr>
      <w:rFonts w:ascii="Times New Roman" w:eastAsia="Times New Roman" w:hAnsi="Times New Roman" w:cs="Times New Roman"/>
      <w:sz w:val="18"/>
      <w:szCs w:val="18"/>
      <w:lang w:eastAsia="da-DK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EB6279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EB6279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EB6279"/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B6279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B6279"/>
    <w:rPr>
      <w:rFonts w:ascii="Times New Roman" w:eastAsia="Times New Roman" w:hAnsi="Times New Roman" w:cs="Times New Roman"/>
      <w:b/>
      <w:bCs/>
      <w:sz w:val="20"/>
      <w:szCs w:val="20"/>
      <w:lang w:eastAsia="da-DK"/>
    </w:rPr>
  </w:style>
  <w:style w:type="paragraph" w:styleId="Listeafsnit">
    <w:name w:val="List Paragraph"/>
    <w:basedOn w:val="Normal"/>
    <w:uiPriority w:val="34"/>
    <w:qFormat/>
    <w:rsid w:val="003365A5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5E61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rrektur">
    <w:name w:val="Revision"/>
    <w:hidden/>
    <w:uiPriority w:val="99"/>
    <w:semiHidden/>
    <w:rsid w:val="00757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alumni.sharepoint.com/sites/Romkuglerne/Shared%20Documents/Kognitionspsykologi/01%20Rapporter/03%20GSR/GSR2019-Dataark_fp192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alumni.sharepoint.com/sites/Romkuglerne/Shared%20Documents/Kognitionspsykologi/01%20Rapporter/03%20GSR/GSR2019-Dataark_fp192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alumni.sharepoint.com/sites/Romkuglerne/Shared%20Documents/Kognitionspsykologi/01%20Rapporter/03%20GSR/GSR2019-Dataark_fp192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US" sz="1200" b="1" i="0" u="none" strike="noStrike" baseline="0">
                <a:solidFill>
                  <a:srgbClr val="000000"/>
                </a:solidFill>
                <a:latin typeface="Calibri" charset="0"/>
                <a:cs typeface="Calibri" charset="0"/>
              </a:rPr>
              <a:t>RT for each word condition (FP19201)</a:t>
            </a:r>
            <a:endParaRPr lang="en-US" sz="1400" b="1" i="0" u="none" strike="noStrike" baseline="0">
              <a:solidFill>
                <a:srgbClr val="000000"/>
              </a:solidFill>
              <a:latin typeface="Calibri" charset="0"/>
              <a:cs typeface="Calibri" charset="0"/>
            </a:endParaRPr>
          </a:p>
        </c:rich>
      </c:tx>
      <c:layout>
        <c:manualLayout>
          <c:xMode val="edge"/>
          <c:yMode val="edge"/>
          <c:x val="0.33655648481224082"/>
          <c:y val="5.0709939148073022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284497541749394"/>
          <c:y val="0.19075204187911246"/>
          <c:w val="0.7656777973772364"/>
          <c:h val="0.7144757134092798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'Udfyldningsark m plots'!$E$74</c:f>
              <c:strCache>
                <c:ptCount val="1"/>
                <c:pt idx="0">
                  <c:v>RT</c:v>
                </c:pt>
              </c:strCache>
            </c:strRef>
          </c:tx>
          <c:spPr>
            <a:gradFill rotWithShape="0">
              <a:gsLst>
                <a:gs pos="0">
                  <a:srgbClr val="4780C5"/>
                </a:gs>
                <a:gs pos="50000">
                  <a:srgbClr val="3A6BA5"/>
                </a:gs>
                <a:gs pos="100000">
                  <a:srgbClr val="254872"/>
                </a:gs>
              </a:gsLst>
              <a:lin ang="5400000" scaled="1"/>
            </a:gradFill>
            <a:ln w="25400">
              <a:noFill/>
            </a:ln>
          </c:spPr>
          <c:invertIfNegative val="0"/>
          <c:errBars>
            <c:errBarType val="both"/>
            <c:errValType val="cust"/>
            <c:noEndCap val="0"/>
            <c:plus>
              <c:numRef>
                <c:f>'Udfyldningsark m plots'!$E$79:$E$81</c:f>
                <c:numCache>
                  <c:formatCode>General</c:formatCode>
                  <c:ptCount val="3"/>
                  <c:pt idx="0">
                    <c:v>9.7488321128277933E-2</c:v>
                  </c:pt>
                  <c:pt idx="1">
                    <c:v>0.3906888503371681</c:v>
                  </c:pt>
                  <c:pt idx="2">
                    <c:v>0.3222138696235432</c:v>
                  </c:pt>
                </c:numCache>
              </c:numRef>
            </c:plus>
            <c:minus>
              <c:numRef>
                <c:f>'Udfyldningsark m plots'!$E$79:$E$81</c:f>
                <c:numCache>
                  <c:formatCode>General</c:formatCode>
                  <c:ptCount val="3"/>
                  <c:pt idx="0">
                    <c:v>9.7488321128277933E-2</c:v>
                  </c:pt>
                  <c:pt idx="1">
                    <c:v>0.3906888503371681</c:v>
                  </c:pt>
                  <c:pt idx="2">
                    <c:v>0.3222138696235432</c:v>
                  </c:pt>
                </c:numCache>
              </c:numRef>
            </c:minus>
            <c:spPr>
              <a:ln w="3175">
                <a:solidFill>
                  <a:srgbClr val="000000"/>
                </a:solidFill>
                <a:prstDash val="solid"/>
              </a:ln>
            </c:spPr>
          </c:errBars>
          <c:cat>
            <c:strRef>
              <c:f>'Udfyldningsark m plots'!$D$75:$D$77</c:f>
              <c:strCache>
                <c:ptCount val="3"/>
                <c:pt idx="0">
                  <c:v>Neutral words</c:v>
                </c:pt>
                <c:pt idx="1">
                  <c:v>Sexual words</c:v>
                </c:pt>
                <c:pt idx="2">
                  <c:v>Emotional words</c:v>
                </c:pt>
              </c:strCache>
            </c:strRef>
          </c:cat>
          <c:val>
            <c:numRef>
              <c:f>'Udfyldningsark m plots'!$E$75:$E$77</c:f>
              <c:numCache>
                <c:formatCode>0.00</c:formatCode>
                <c:ptCount val="3"/>
                <c:pt idx="0">
                  <c:v>2.5327500000000001</c:v>
                </c:pt>
                <c:pt idx="1">
                  <c:v>3.85</c:v>
                </c:pt>
                <c:pt idx="2">
                  <c:v>3.1680000000000001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5B-4094-A66A-DD7AA59A90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5686528"/>
        <c:axId val="85688320"/>
      </c:barChart>
      <c:catAx>
        <c:axId val="85686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808080"/>
            </a:solidFill>
            <a:prstDash val="solid"/>
          </a:ln>
        </c:spPr>
        <c:txPr>
          <a:bodyPr rot="0" vert="horz"/>
          <a:lstStyle/>
          <a:p>
            <a:pPr>
              <a:defRPr sz="14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da-DK"/>
          </a:p>
        </c:txPr>
        <c:crossAx val="85688320"/>
        <c:crosses val="autoZero"/>
        <c:auto val="1"/>
        <c:lblAlgn val="ctr"/>
        <c:lblOffset val="100"/>
        <c:noMultiLvlLbl val="0"/>
      </c:catAx>
      <c:valAx>
        <c:axId val="85688320"/>
        <c:scaling>
          <c:orientation val="minMax"/>
          <c:max val="4"/>
          <c:min val="0"/>
        </c:scaling>
        <c:delete val="0"/>
        <c:axPos val="l"/>
        <c:majorGridlines>
          <c:spPr>
            <a:ln w="3175">
              <a:solidFill>
                <a:srgbClr val="80808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4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b="0"/>
                  <a:t>RT (Seconds)</a:t>
                </a:r>
              </a:p>
            </c:rich>
          </c:tx>
          <c:layout>
            <c:manualLayout>
              <c:xMode val="edge"/>
              <c:yMode val="edge"/>
              <c:x val="2.9112136844963346E-2"/>
              <c:y val="0.46355162287882334"/>
            </c:manualLayout>
          </c:layout>
          <c:overlay val="0"/>
          <c:spPr>
            <a:noFill/>
            <a:ln w="25400"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 w="3175">
            <a:solidFill>
              <a:srgbClr val="808080"/>
            </a:solidFill>
            <a:prstDash val="solid"/>
          </a:ln>
        </c:spPr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da-DK"/>
          </a:p>
        </c:txPr>
        <c:crossAx val="85686528"/>
        <c:crosses val="autoZero"/>
        <c:crossBetween val="between"/>
        <c:majorUnit val="1"/>
      </c:valAx>
      <c:spPr>
        <a:solidFill>
          <a:srgbClr val="FFFFFF"/>
        </a:solidFill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808080"/>
      </a:solidFill>
      <a:prstDash val="solid"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da-DK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US" sz="1200" b="1" i="0" u="none" strike="noStrike" baseline="0">
                <a:solidFill>
                  <a:srgbClr val="000000"/>
                </a:solidFill>
                <a:latin typeface="Calibri" charset="0"/>
                <a:cs typeface="Calibri" charset="0"/>
              </a:rPr>
              <a:t>GSR</a:t>
            </a:r>
            <a:r>
              <a:rPr lang="en-US" sz="1200" b="1" i="0" u="none" strike="noStrike" baseline="-25000">
                <a:solidFill>
                  <a:srgbClr val="000000"/>
                </a:solidFill>
                <a:latin typeface="Calibri" charset="0"/>
                <a:cs typeface="Calibri" charset="0"/>
              </a:rPr>
              <a:t>z</a:t>
            </a:r>
            <a:r>
              <a:rPr lang="en-US" sz="1200" b="1" i="0" u="none" strike="noStrike" baseline="0">
                <a:solidFill>
                  <a:srgbClr val="000000"/>
                </a:solidFill>
                <a:latin typeface="Calibri" charset="0"/>
                <a:cs typeface="Calibri" charset="0"/>
              </a:rPr>
              <a:t> for each word condition, list 1 (FP19201)</a:t>
            </a:r>
            <a:endParaRPr lang="en-US" sz="1400" b="1" i="0" u="none" strike="noStrike" baseline="0">
              <a:solidFill>
                <a:srgbClr val="000000"/>
              </a:solidFill>
              <a:latin typeface="Calibri" charset="0"/>
              <a:cs typeface="Calibri" charset="0"/>
            </a:endParaRPr>
          </a:p>
        </c:rich>
      </c:tx>
      <c:layout>
        <c:manualLayout>
          <c:xMode val="edge"/>
          <c:yMode val="edge"/>
          <c:x val="0.26703991581878161"/>
          <c:y val="9.1277813938217489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284497541749394"/>
          <c:y val="0.19075204187911246"/>
          <c:w val="0.7656777973772364"/>
          <c:h val="0.7144757134092798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'Udfyldningsark m plots'!$F$74</c:f>
              <c:strCache>
                <c:ptCount val="1"/>
                <c:pt idx="0">
                  <c:v>GSRZ</c:v>
                </c:pt>
              </c:strCache>
            </c:strRef>
          </c:tx>
          <c:spPr>
            <a:gradFill rotWithShape="0">
              <a:gsLst>
                <a:gs pos="0">
                  <a:srgbClr val="42B1CF"/>
                </a:gs>
                <a:gs pos="50000">
                  <a:srgbClr val="3694AE"/>
                </a:gs>
                <a:gs pos="100000">
                  <a:srgbClr val="226678"/>
                </a:gs>
              </a:gsLst>
              <a:lin ang="5400000" scaled="1"/>
            </a:gradFill>
            <a:ln w="25400">
              <a:noFill/>
            </a:ln>
          </c:spPr>
          <c:invertIfNegative val="0"/>
          <c:errBars>
            <c:errBarType val="both"/>
            <c:errValType val="cust"/>
            <c:noEndCap val="0"/>
            <c:plus>
              <c:numRef>
                <c:f>'Udfyldningsark m plots'!$F$79:$F$81</c:f>
                <c:numCache>
                  <c:formatCode>General</c:formatCode>
                  <c:ptCount val="3"/>
                  <c:pt idx="0">
                    <c:v>0.11790993175952016</c:v>
                  </c:pt>
                  <c:pt idx="1">
                    <c:v>0.38922794521980131</c:v>
                  </c:pt>
                  <c:pt idx="2">
                    <c:v>0.21453607296957455</c:v>
                  </c:pt>
                </c:numCache>
              </c:numRef>
            </c:plus>
            <c:minus>
              <c:numRef>
                <c:f>'Udfyldningsark m plots'!$F$79:$F$81</c:f>
                <c:numCache>
                  <c:formatCode>General</c:formatCode>
                  <c:ptCount val="3"/>
                  <c:pt idx="0">
                    <c:v>0.11790993175952016</c:v>
                  </c:pt>
                  <c:pt idx="1">
                    <c:v>0.38922794521980131</c:v>
                  </c:pt>
                  <c:pt idx="2">
                    <c:v>0.21453607296957455</c:v>
                  </c:pt>
                </c:numCache>
              </c:numRef>
            </c:minus>
            <c:spPr>
              <a:ln w="3175">
                <a:solidFill>
                  <a:srgbClr val="000000"/>
                </a:solidFill>
                <a:prstDash val="solid"/>
              </a:ln>
            </c:spPr>
          </c:errBars>
          <c:cat>
            <c:strRef>
              <c:f>'Udfyldningsark m plots'!$D$75:$D$77</c:f>
              <c:strCache>
                <c:ptCount val="3"/>
                <c:pt idx="0">
                  <c:v>Neutral words</c:v>
                </c:pt>
                <c:pt idx="1">
                  <c:v>Sexual words</c:v>
                </c:pt>
                <c:pt idx="2">
                  <c:v>Emotional words</c:v>
                </c:pt>
              </c:strCache>
            </c:strRef>
          </c:cat>
          <c:val>
            <c:numRef>
              <c:f>'Udfyldningsark m plots'!$F$75:$F$77</c:f>
              <c:numCache>
                <c:formatCode>0.00</c:formatCode>
                <c:ptCount val="3"/>
                <c:pt idx="0">
                  <c:v>-0.37845606832510359</c:v>
                </c:pt>
                <c:pt idx="1">
                  <c:v>1.0994801295306889</c:v>
                </c:pt>
                <c:pt idx="2">
                  <c:v>0.41434414376972556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13-457F-BC01-9B1B98B339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5721856"/>
        <c:axId val="85723392"/>
      </c:barChart>
      <c:catAx>
        <c:axId val="85721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75">
            <a:solidFill>
              <a:srgbClr val="808080"/>
            </a:solidFill>
            <a:prstDash val="solid"/>
          </a:ln>
        </c:spPr>
        <c:txPr>
          <a:bodyPr rot="0" vert="horz"/>
          <a:lstStyle/>
          <a:p>
            <a:pPr>
              <a:defRPr sz="14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da-DK"/>
          </a:p>
        </c:txPr>
        <c:crossAx val="85723392"/>
        <c:crosses val="autoZero"/>
        <c:auto val="1"/>
        <c:lblAlgn val="ctr"/>
        <c:lblOffset val="100"/>
        <c:noMultiLvlLbl val="0"/>
      </c:catAx>
      <c:valAx>
        <c:axId val="85723392"/>
        <c:scaling>
          <c:orientation val="minMax"/>
          <c:max val="2"/>
          <c:min val="-2"/>
        </c:scaling>
        <c:delete val="0"/>
        <c:axPos val="l"/>
        <c:majorGridlines>
          <c:spPr>
            <a:ln w="3175">
              <a:solidFill>
                <a:srgbClr val="80808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4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z score</a:t>
                </a:r>
              </a:p>
            </c:rich>
          </c:tx>
          <c:layout>
            <c:manualLayout>
              <c:xMode val="edge"/>
              <c:yMode val="edge"/>
              <c:x val="2.9112136844963346E-2"/>
              <c:y val="0.46355162287882334"/>
            </c:manualLayout>
          </c:layout>
          <c:overlay val="0"/>
          <c:spPr>
            <a:noFill/>
            <a:ln w="25400">
              <a:noFill/>
            </a:ln>
          </c:spPr>
        </c:title>
        <c:numFmt formatCode="0" sourceLinked="0"/>
        <c:majorTickMark val="out"/>
        <c:minorTickMark val="none"/>
        <c:tickLblPos val="low"/>
        <c:spPr>
          <a:ln w="3175">
            <a:solidFill>
              <a:srgbClr val="808080"/>
            </a:solidFill>
            <a:prstDash val="solid"/>
          </a:ln>
        </c:spPr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da-DK"/>
          </a:p>
        </c:txPr>
        <c:crossAx val="85721856"/>
        <c:crosses val="autoZero"/>
        <c:crossBetween val="between"/>
        <c:majorUnit val="1"/>
      </c:valAx>
      <c:spPr>
        <a:solidFill>
          <a:srgbClr val="FFFFFF"/>
        </a:solidFill>
        <a:ln w="25400">
          <a:noFill/>
        </a:ln>
      </c:spPr>
    </c:plotArea>
    <c:plotVisOnly val="1"/>
    <c:dispBlanksAs val="gap"/>
    <c:showDLblsOverMax val="0"/>
  </c:chart>
  <c:spPr>
    <a:solidFill>
      <a:srgbClr val="FFFFFF"/>
    </a:solidFill>
    <a:ln w="3175">
      <a:solidFill>
        <a:srgbClr val="808080"/>
      </a:solidFill>
      <a:prstDash val="solid"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da-DK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a-D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en-US" sz="1200" b="1" i="0" u="none" strike="noStrike" baseline="0">
                <a:solidFill>
                  <a:srgbClr val="000000"/>
                </a:solidFill>
                <a:latin typeface="Calibri" charset="0"/>
                <a:cs typeface="Calibri" charset="0"/>
              </a:rPr>
              <a:t>Correlation GSR</a:t>
            </a:r>
            <a:r>
              <a:rPr lang="en-US" sz="1200" b="1" i="0" u="none" strike="noStrike" baseline="-25000">
                <a:solidFill>
                  <a:srgbClr val="000000"/>
                </a:solidFill>
                <a:latin typeface="Calibri" charset="0"/>
                <a:cs typeface="Calibri" charset="0"/>
              </a:rPr>
              <a:t>z</a:t>
            </a:r>
            <a:r>
              <a:rPr lang="en-US" sz="1200" b="1" i="0" u="none" strike="noStrike" baseline="0">
                <a:solidFill>
                  <a:srgbClr val="000000"/>
                </a:solidFill>
                <a:latin typeface="Calibri" charset="0"/>
                <a:cs typeface="Calibri" charset="0"/>
              </a:rPr>
              <a:t> and RT for each item in list 1 (FP19201)</a:t>
            </a:r>
          </a:p>
        </c:rich>
      </c:tx>
      <c:layout>
        <c:manualLayout>
          <c:xMode val="edge"/>
          <c:yMode val="edge"/>
          <c:x val="0.19081277685277931"/>
          <c:y val="6.0908050342538607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4406694454602523"/>
          <c:y val="0.16809072288166754"/>
          <c:w val="0.59058898491246969"/>
          <c:h val="0.67429280793010726"/>
        </c:manualLayout>
      </c:layout>
      <c:scatterChart>
        <c:scatterStyle val="lineMarker"/>
        <c:varyColors val="0"/>
        <c:ser>
          <c:idx val="0"/>
          <c:order val="0"/>
          <c:tx>
            <c:v>GSRz</c:v>
          </c:tx>
          <c:spPr>
            <a:ln w="28575">
              <a:noFill/>
            </a:ln>
          </c:spPr>
          <c:marker>
            <c:spPr>
              <a:solidFill>
                <a:srgbClr val="4F81BD"/>
              </a:solidFill>
              <a:ln>
                <a:solidFill>
                  <a:srgbClr val="666699"/>
                </a:solidFill>
                <a:prstDash val="solid"/>
              </a:ln>
            </c:spPr>
          </c:marker>
          <c:trendline>
            <c:name>Linear (GSRz)</c:name>
            <c:spPr>
              <a:ln w="3175">
                <a:solidFill>
                  <a:srgbClr val="000000"/>
                </a:solidFill>
                <a:prstDash val="solid"/>
              </a:ln>
            </c:spPr>
            <c:trendlineType val="linear"/>
            <c:dispRSqr val="1"/>
            <c:dispEq val="1"/>
            <c:trendlineLbl>
              <c:layout>
                <c:manualLayout>
                  <c:x val="0.28733344587669268"/>
                  <c:y val="-0.2057723518505141"/>
                </c:manualLayout>
              </c:layout>
              <c:tx>
                <c:rich>
                  <a:bodyPr/>
                  <a:lstStyle/>
                  <a:p>
                    <a:pPr>
                      <a:defRPr sz="1200" b="0" i="0" u="none" strike="noStrike" baseline="0">
                        <a:solidFill>
                          <a:srgbClr val="000000"/>
                        </a:solidFill>
                        <a:latin typeface="Calibri"/>
                        <a:ea typeface="Calibri"/>
                        <a:cs typeface="Calibri"/>
                      </a:defRPr>
                    </a:pPr>
                    <a:r>
                      <a:rPr lang="en-US"/>
                      <a:t>R² = 0.2109</a:t>
                    </a:r>
                  </a:p>
                </c:rich>
              </c:tx>
              <c:numFmt formatCode="General" sourceLinked="0"/>
              <c:spPr>
                <a:noFill/>
                <a:ln w="25400">
                  <a:noFill/>
                </a:ln>
              </c:spPr>
            </c:trendlineLbl>
          </c:trendline>
          <c:xVal>
            <c:numRef>
              <c:f>'Udfyldningsark m plots'!$E$12:$E$71</c:f>
              <c:numCache>
                <c:formatCode>0.00</c:formatCode>
                <c:ptCount val="60"/>
                <c:pt idx="0">
                  <c:v>1.63</c:v>
                </c:pt>
                <c:pt idx="1">
                  <c:v>2.16</c:v>
                </c:pt>
                <c:pt idx="2">
                  <c:v>2.5</c:v>
                </c:pt>
                <c:pt idx="3">
                  <c:v>2.94</c:v>
                </c:pt>
                <c:pt idx="4">
                  <c:v>2.65</c:v>
                </c:pt>
                <c:pt idx="5">
                  <c:v>2.19</c:v>
                </c:pt>
                <c:pt idx="6">
                  <c:v>2.62</c:v>
                </c:pt>
                <c:pt idx="7">
                  <c:v>4.09</c:v>
                </c:pt>
                <c:pt idx="8">
                  <c:v>1.94</c:v>
                </c:pt>
                <c:pt idx="9">
                  <c:v>2.4700000000000002</c:v>
                </c:pt>
                <c:pt idx="10">
                  <c:v>3.03</c:v>
                </c:pt>
                <c:pt idx="11">
                  <c:v>1.97</c:v>
                </c:pt>
                <c:pt idx="12">
                  <c:v>4</c:v>
                </c:pt>
                <c:pt idx="13">
                  <c:v>1.6</c:v>
                </c:pt>
                <c:pt idx="14">
                  <c:v>2.44</c:v>
                </c:pt>
                <c:pt idx="15">
                  <c:v>2.72</c:v>
                </c:pt>
                <c:pt idx="16">
                  <c:v>2.94</c:v>
                </c:pt>
                <c:pt idx="17">
                  <c:v>2.25</c:v>
                </c:pt>
                <c:pt idx="18">
                  <c:v>2.56</c:v>
                </c:pt>
                <c:pt idx="19">
                  <c:v>2.65</c:v>
                </c:pt>
                <c:pt idx="20">
                  <c:v>4.75</c:v>
                </c:pt>
                <c:pt idx="21" formatCode="General">
                  <c:v>3.62</c:v>
                </c:pt>
                <c:pt idx="22" formatCode="General">
                  <c:v>6.82</c:v>
                </c:pt>
                <c:pt idx="23" formatCode="General">
                  <c:v>2.78</c:v>
                </c:pt>
                <c:pt idx="24">
                  <c:v>1.97</c:v>
                </c:pt>
                <c:pt idx="25">
                  <c:v>2.59</c:v>
                </c:pt>
                <c:pt idx="26">
                  <c:v>3.44</c:v>
                </c:pt>
                <c:pt idx="27">
                  <c:v>2.5299999999999998</c:v>
                </c:pt>
                <c:pt idx="28">
                  <c:v>2.5299999999999998</c:v>
                </c:pt>
                <c:pt idx="29">
                  <c:v>3.72</c:v>
                </c:pt>
                <c:pt idx="30">
                  <c:v>2.68</c:v>
                </c:pt>
                <c:pt idx="31">
                  <c:v>3.94</c:v>
                </c:pt>
                <c:pt idx="32">
                  <c:v>2.1</c:v>
                </c:pt>
                <c:pt idx="33">
                  <c:v>2.4700000000000002</c:v>
                </c:pt>
                <c:pt idx="34">
                  <c:v>2.37</c:v>
                </c:pt>
                <c:pt idx="35">
                  <c:v>2.44</c:v>
                </c:pt>
                <c:pt idx="36">
                  <c:v>3.5</c:v>
                </c:pt>
                <c:pt idx="37">
                  <c:v>3</c:v>
                </c:pt>
                <c:pt idx="38">
                  <c:v>2.78</c:v>
                </c:pt>
                <c:pt idx="39">
                  <c:v>4.71</c:v>
                </c:pt>
                <c:pt idx="40">
                  <c:v>1.91</c:v>
                </c:pt>
                <c:pt idx="41">
                  <c:v>2.65</c:v>
                </c:pt>
                <c:pt idx="42">
                  <c:v>2.41</c:v>
                </c:pt>
                <c:pt idx="43">
                  <c:v>2.65</c:v>
                </c:pt>
                <c:pt idx="44">
                  <c:v>2.54</c:v>
                </c:pt>
                <c:pt idx="45">
                  <c:v>2.75</c:v>
                </c:pt>
                <c:pt idx="46">
                  <c:v>4</c:v>
                </c:pt>
                <c:pt idx="47">
                  <c:v>2.04</c:v>
                </c:pt>
                <c:pt idx="48">
                  <c:v>2.38</c:v>
                </c:pt>
                <c:pt idx="49">
                  <c:v>2.25</c:v>
                </c:pt>
                <c:pt idx="50">
                  <c:v>2.56</c:v>
                </c:pt>
                <c:pt idx="51">
                  <c:v>3.53</c:v>
                </c:pt>
                <c:pt idx="52">
                  <c:v>4.6900000000000004</c:v>
                </c:pt>
                <c:pt idx="53">
                  <c:v>2.15</c:v>
                </c:pt>
                <c:pt idx="54">
                  <c:v>1.75</c:v>
                </c:pt>
                <c:pt idx="55">
                  <c:v>2.5</c:v>
                </c:pt>
                <c:pt idx="56">
                  <c:v>1.94</c:v>
                </c:pt>
                <c:pt idx="57">
                  <c:v>2.5299999999999998</c:v>
                </c:pt>
                <c:pt idx="58">
                  <c:v>3.21</c:v>
                </c:pt>
                <c:pt idx="59">
                  <c:v>4.96</c:v>
                </c:pt>
              </c:numCache>
            </c:numRef>
          </c:xVal>
          <c:yVal>
            <c:numRef>
              <c:f>'Udfyldningsark m plots'!$F$12:$F$71</c:f>
              <c:numCache>
                <c:formatCode>0.00</c:formatCode>
                <c:ptCount val="60"/>
                <c:pt idx="0">
                  <c:v>-0.50569560853785389</c:v>
                </c:pt>
                <c:pt idx="1">
                  <c:v>1.4518357793506129</c:v>
                </c:pt>
                <c:pt idx="2">
                  <c:v>0.146814854091635</c:v>
                </c:pt>
                <c:pt idx="3">
                  <c:v>0.53832113166932838</c:v>
                </c:pt>
                <c:pt idx="4">
                  <c:v>-1.5497123487450362</c:v>
                </c:pt>
                <c:pt idx="5">
                  <c:v>-0.76669979358964946</c:v>
                </c:pt>
                <c:pt idx="6">
                  <c:v>0.66882322419522611</c:v>
                </c:pt>
                <c:pt idx="7">
                  <c:v>3.4093671672390795</c:v>
                </c:pt>
                <c:pt idx="8">
                  <c:v>-0.11418933096016057</c:v>
                </c:pt>
                <c:pt idx="9">
                  <c:v>-0.83195083985259843</c:v>
                </c:pt>
                <c:pt idx="10">
                  <c:v>-1.027703978641445</c:v>
                </c:pt>
                <c:pt idx="11">
                  <c:v>0.4078190391434306</c:v>
                </c:pt>
                <c:pt idx="12">
                  <c:v>0.66882322419522611</c:v>
                </c:pt>
                <c:pt idx="13">
                  <c:v>-0.24469142348605835</c:v>
                </c:pt>
                <c:pt idx="14">
                  <c:v>0.53832113166932838</c:v>
                </c:pt>
                <c:pt idx="15">
                  <c:v>-0.76669979358964946</c:v>
                </c:pt>
                <c:pt idx="16">
                  <c:v>1.6312761565737223E-2</c:v>
                </c:pt>
                <c:pt idx="17">
                  <c:v>1.0603295017729195</c:v>
                </c:pt>
                <c:pt idx="18">
                  <c:v>0.21206590035458389</c:v>
                </c:pt>
                <c:pt idx="19">
                  <c:v>-0.70144874732670059</c:v>
                </c:pt>
                <c:pt idx="20">
                  <c:v>1.0603295017729195</c:v>
                </c:pt>
                <c:pt idx="21">
                  <c:v>0.4078190391434306</c:v>
                </c:pt>
                <c:pt idx="22">
                  <c:v>-1.5497123487450362</c:v>
                </c:pt>
                <c:pt idx="23">
                  <c:v>-0.57094665480080287</c:v>
                </c:pt>
                <c:pt idx="24">
                  <c:v>0.4078190391434306</c:v>
                </c:pt>
                <c:pt idx="25">
                  <c:v>0.146814854091635</c:v>
                </c:pt>
                <c:pt idx="26">
                  <c:v>1.5823378718765106</c:v>
                </c:pt>
                <c:pt idx="27">
                  <c:v>0.47307008540637946</c:v>
                </c:pt>
                <c:pt idx="28">
                  <c:v>-0.24469142348605835</c:v>
                </c:pt>
                <c:pt idx="29">
                  <c:v>1.5823378718765106</c:v>
                </c:pt>
                <c:pt idx="30">
                  <c:v>-0.76669979358964946</c:v>
                </c:pt>
                <c:pt idx="31">
                  <c:v>1.0603295017729195</c:v>
                </c:pt>
                <c:pt idx="32">
                  <c:v>-4.8938284697211669E-2</c:v>
                </c:pt>
                <c:pt idx="33">
                  <c:v>0.60357217793227724</c:v>
                </c:pt>
                <c:pt idx="34">
                  <c:v>0.146814854091635</c:v>
                </c:pt>
                <c:pt idx="35">
                  <c:v>-0.11418933096016057</c:v>
                </c:pt>
                <c:pt idx="36">
                  <c:v>0.99507845550997065</c:v>
                </c:pt>
                <c:pt idx="37">
                  <c:v>-0.11418933096016057</c:v>
                </c:pt>
                <c:pt idx="38">
                  <c:v>-1.2887081636932407</c:v>
                </c:pt>
                <c:pt idx="39">
                  <c:v>1.3213336868247152</c:v>
                </c:pt>
                <c:pt idx="40">
                  <c:v>-1.9412186263227296</c:v>
                </c:pt>
                <c:pt idx="41">
                  <c:v>-0.24469142348605835</c:v>
                </c:pt>
                <c:pt idx="42">
                  <c:v>0.4078190391434306</c:v>
                </c:pt>
                <c:pt idx="43">
                  <c:v>0.66882322419522611</c:v>
                </c:pt>
                <c:pt idx="44">
                  <c:v>-0.57094665480080287</c:v>
                </c:pt>
                <c:pt idx="45">
                  <c:v>-0.63619770106375173</c:v>
                </c:pt>
                <c:pt idx="46">
                  <c:v>0.66882322419522611</c:v>
                </c:pt>
                <c:pt idx="47">
                  <c:v>-1.027703978641445</c:v>
                </c:pt>
                <c:pt idx="48">
                  <c:v>-0.17944037722310946</c:v>
                </c:pt>
                <c:pt idx="49">
                  <c:v>-0.63619770106375173</c:v>
                </c:pt>
                <c:pt idx="50">
                  <c:v>-1.092955024904394</c:v>
                </c:pt>
                <c:pt idx="51">
                  <c:v>-0.96245293237849616</c:v>
                </c:pt>
                <c:pt idx="52">
                  <c:v>1.0603295017729195</c:v>
                </c:pt>
                <c:pt idx="53">
                  <c:v>-1.9412186263227296</c:v>
                </c:pt>
                <c:pt idx="54">
                  <c:v>-0.76669979358964946</c:v>
                </c:pt>
                <c:pt idx="55">
                  <c:v>1.6312761565737223E-2</c:v>
                </c:pt>
                <c:pt idx="56">
                  <c:v>-0.8972018861155473</c:v>
                </c:pt>
                <c:pt idx="57">
                  <c:v>0.146814854091635</c:v>
                </c:pt>
                <c:pt idx="58">
                  <c:v>1.6475889181394596</c:v>
                </c:pt>
                <c:pt idx="59">
                  <c:v>-1.4192102562191384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D14-4B68-ADF8-401844E4BF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890560"/>
        <c:axId val="83892480"/>
      </c:scatterChart>
      <c:valAx>
        <c:axId val="83890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b="0"/>
                  <a:t>RT (Seconds)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.00" sourceLinked="1"/>
        <c:majorTickMark val="out"/>
        <c:minorTickMark val="none"/>
        <c:tickLblPos val="low"/>
        <c:spPr>
          <a:ln w="3175">
            <a:solidFill>
              <a:srgbClr val="808080"/>
            </a:solidFill>
            <a:prstDash val="solid"/>
          </a:ln>
        </c:spPr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da-DK"/>
          </a:p>
        </c:txPr>
        <c:crossAx val="83892480"/>
        <c:crosses val="autoZero"/>
        <c:crossBetween val="midCat"/>
      </c:valAx>
      <c:valAx>
        <c:axId val="83892480"/>
        <c:scaling>
          <c:orientation val="minMax"/>
          <c:max val="3"/>
          <c:min val="-3"/>
        </c:scaling>
        <c:delete val="0"/>
        <c:axPos val="l"/>
        <c:majorGridlines>
          <c:spPr>
            <a:ln w="3175">
              <a:solidFill>
                <a:srgbClr val="808080"/>
              </a:solidFill>
              <a:prstDash val="solid"/>
            </a:ln>
          </c:spPr>
        </c:majorGridlines>
        <c:title>
          <c:tx>
            <c:rich>
              <a:bodyPr/>
              <a:lstStyle/>
              <a:p>
                <a:pPr>
                  <a:defRPr sz="12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1200" b="0" i="0" u="none" strike="noStrike" baseline="0">
                    <a:solidFill>
                      <a:srgbClr val="000000"/>
                    </a:solidFill>
                    <a:latin typeface="Calibri" charset="0"/>
                    <a:cs typeface="Calibri" charset="0"/>
                  </a:rPr>
                  <a:t>GSR</a:t>
                </a:r>
                <a:r>
                  <a:rPr lang="en-US" sz="1200" b="0" i="0" u="none" strike="noStrike" baseline="-25000">
                    <a:solidFill>
                      <a:srgbClr val="000000"/>
                    </a:solidFill>
                    <a:latin typeface="Calibri" charset="0"/>
                    <a:cs typeface="Calibri" charset="0"/>
                  </a:rPr>
                  <a:t>Z</a:t>
                </a:r>
              </a:p>
            </c:rich>
          </c:tx>
          <c:overlay val="0"/>
          <c:spPr>
            <a:noFill/>
            <a:ln w="25400">
              <a:noFill/>
            </a:ln>
          </c:spPr>
        </c:title>
        <c:numFmt formatCode="0.00" sourceLinked="1"/>
        <c:majorTickMark val="out"/>
        <c:minorTickMark val="none"/>
        <c:tickLblPos val="nextTo"/>
        <c:spPr>
          <a:ln w="3175">
            <a:solidFill>
              <a:srgbClr val="808080"/>
            </a:solidFill>
            <a:prstDash val="solid"/>
          </a:ln>
        </c:spPr>
        <c:txPr>
          <a:bodyPr rot="0" vert="horz"/>
          <a:lstStyle/>
          <a:p>
            <a:pPr>
              <a:defRPr sz="12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da-DK"/>
          </a:p>
        </c:txPr>
        <c:crossAx val="83890560"/>
        <c:crosses val="autoZero"/>
        <c:crossBetween val="midCat"/>
        <c:majorUnit val="1"/>
      </c:valAx>
      <c:spPr>
        <a:solidFill>
          <a:srgbClr val="FFFFFF"/>
        </a:solidFill>
        <a:ln w="25400">
          <a:noFill/>
        </a:ln>
      </c:spPr>
    </c:plotArea>
    <c:legend>
      <c:legendPos val="r"/>
      <c:legendEntry>
        <c:idx val="0"/>
        <c:delete val="1"/>
      </c:legendEntry>
      <c:layout>
        <c:manualLayout>
          <c:xMode val="edge"/>
          <c:yMode val="edge"/>
          <c:x val="0.75384024068201272"/>
          <c:y val="0.22335837607455034"/>
          <c:w val="0.17900185669562385"/>
          <c:h val="6.666658831825123E-2"/>
        </c:manualLayout>
      </c:layout>
      <c:overlay val="0"/>
    </c:legend>
    <c:plotVisOnly val="1"/>
    <c:dispBlanksAs val="gap"/>
    <c:showDLblsOverMax val="0"/>
  </c:chart>
  <c:spPr>
    <a:solidFill>
      <a:srgbClr val="FFFFFF"/>
    </a:solidFill>
    <a:ln w="3175">
      <a:solidFill>
        <a:srgbClr val="808080"/>
      </a:solidFill>
      <a:prstDash val="solid"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da-DK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b6c7e61-9e04-432a-86ea-c8fcd8f5f58b">
      <UserInfo>
        <DisplayName>Primula Amanda Teilmann Aalund</DisplayName>
        <AccountId>18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73BD1-8E0A-4E0C-B2CD-3DC4F7C931AC}"/>
</file>

<file path=customXml/itemProps2.xml><?xml version="1.0" encoding="utf-8"?>
<ds:datastoreItem xmlns:ds="http://schemas.openxmlformats.org/officeDocument/2006/customXml" ds:itemID="{7FB1E711-026D-4BC0-88C5-C2DC205A70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AEE255-C9A0-4A6C-9486-6350F54F4A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1077</Words>
  <Characters>6574</Characters>
  <Application>Microsoft Office Word</Application>
  <DocSecurity>0</DocSecurity>
  <Lines>54</Lines>
  <Paragraphs>15</Paragraphs>
  <ScaleCrop>false</ScaleCrop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Misfeldt Beck</dc:creator>
  <cp:keywords/>
  <dc:description/>
  <cp:lastModifiedBy>Roselil Aalund</cp:lastModifiedBy>
  <cp:revision>355</cp:revision>
  <cp:lastPrinted>2019-09-26T00:03:00Z</cp:lastPrinted>
  <dcterms:created xsi:type="dcterms:W3CDTF">2019-09-20T04:34:00Z</dcterms:created>
  <dcterms:modified xsi:type="dcterms:W3CDTF">2019-12-03T17:07:00Z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0x010100A83773082F1AB1439E113D0586F6EBD4</vt:lpwstr>
  </property>
</Properties>
</file>