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455E2" w14:textId="16E03DBB" w:rsidR="00395607" w:rsidRDefault="009C1073">
      <w:pPr>
        <w:spacing w:after="160" w:line="259" w:lineRule="auto"/>
        <w:rPr>
          <w:rFonts w:ascii="Arial" w:hAnsi="Arial" w:cs="Arial"/>
          <w:b/>
          <w:bCs/>
          <w:color w:val="000000"/>
          <w:sz w:val="36"/>
          <w:lang w:val="en-GB"/>
        </w:rPr>
      </w:pPr>
      <w:r>
        <w:rPr>
          <w:rFonts w:ascii="Arial" w:hAnsi="Arial" w:cs="Arial"/>
          <w:b/>
          <w:bCs/>
          <w:color w:val="000000"/>
          <w:sz w:val="36"/>
          <w:lang w:val="en-GB"/>
        </w:rPr>
        <w:t>Free Recall</w:t>
      </w:r>
    </w:p>
    <w:p w14:paraId="7EB2F007" w14:textId="06982A1D" w:rsidR="001078C3" w:rsidRPr="00B416C6" w:rsidRDefault="006F034F" w:rsidP="00145CD8">
      <w:pPr>
        <w:pStyle w:val="Overskrift1"/>
        <w:jc w:val="both"/>
        <w:rPr>
          <w:lang w:val="en-GB"/>
        </w:rPr>
      </w:pPr>
      <w:bookmarkStart w:id="0" w:name="_Toc21950171"/>
      <w:r w:rsidRPr="00B416C6">
        <w:rPr>
          <w:lang w:val="en-GB"/>
        </w:rPr>
        <w:t>Introduction</w:t>
      </w:r>
      <w:bookmarkEnd w:id="0"/>
    </w:p>
    <w:p w14:paraId="17DA7A67" w14:textId="7F77A137" w:rsidR="00BE70E7" w:rsidRDefault="00D74A26" w:rsidP="00145CD8">
      <w:pPr>
        <w:jc w:val="both"/>
        <w:rPr>
          <w:lang w:val="en-GB"/>
        </w:rPr>
      </w:pPr>
      <w:r>
        <w:rPr>
          <w:lang w:val="en-GB"/>
        </w:rPr>
        <w:t xml:space="preserve">This </w:t>
      </w:r>
      <w:r w:rsidR="00825B29">
        <w:rPr>
          <w:lang w:val="en-GB"/>
        </w:rPr>
        <w:t xml:space="preserve">paper examines </w:t>
      </w:r>
      <w:r w:rsidR="00A81A04">
        <w:rPr>
          <w:lang w:val="en-GB"/>
        </w:rPr>
        <w:t xml:space="preserve">memory through </w:t>
      </w:r>
      <w:r w:rsidR="006A4E6C">
        <w:rPr>
          <w:lang w:val="en-GB"/>
        </w:rPr>
        <w:t>a free recall test inspired by Ebbinghaus</w:t>
      </w:r>
      <w:r w:rsidR="001F501E">
        <w:rPr>
          <w:lang w:val="en-GB"/>
        </w:rPr>
        <w:t>’</w:t>
      </w:r>
      <w:r w:rsidR="006A4E6C">
        <w:rPr>
          <w:lang w:val="en-GB"/>
        </w:rPr>
        <w:t xml:space="preserve"> original experiments</w:t>
      </w:r>
      <w:r w:rsidR="00226621">
        <w:rPr>
          <w:lang w:val="en-GB"/>
        </w:rPr>
        <w:t xml:space="preserve">. </w:t>
      </w:r>
      <w:r w:rsidR="003F540B">
        <w:rPr>
          <w:lang w:val="en-GB"/>
        </w:rPr>
        <w:t xml:space="preserve">The experiment is designed to investigate </w:t>
      </w:r>
      <w:r w:rsidR="006865B6">
        <w:rPr>
          <w:lang w:val="en-GB"/>
        </w:rPr>
        <w:t>the recency and primacy effects observed by Ebbinghaus</w:t>
      </w:r>
      <w:r w:rsidR="00056351">
        <w:rPr>
          <w:lang w:val="en-GB"/>
        </w:rPr>
        <w:t xml:space="preserve"> </w:t>
      </w:r>
      <w:r w:rsidR="00056351">
        <w:rPr>
          <w:lang w:val="en-GB"/>
        </w:rPr>
        <w:fldChar w:fldCharType="begin" w:fldLock="1"/>
      </w:r>
      <w:r w:rsidR="007827A9">
        <w:rPr>
          <w:lang w:val="en-GB"/>
        </w:rPr>
        <w:instrText>ADDIN CSL_CITATION {"citationItems":[{"id":"ITEM-1","itemData":{"ISBN":"9783540773405","abstract":"MÅ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River","title":"Cognition","type":"book"},"uris":["http://www.mendeley.com/documents/?uuid=a23bbf12-1499-47e7-af77-d77c26baa3e6"]}],"mendeley":{"formattedCitation":"(Radvansky &amp; Ashcraft, 2014)","plainTextFormattedCitation":"(Radvansky &amp; Ashcraft, 2014)","previouslyFormattedCitation":"(Radvansky &amp; Ashcraft, 2014)"},"properties":{"noteIndex":0},"schema":"https://github.com/citation-style-language/schema/raw/master/csl-citation.json"}</w:instrText>
      </w:r>
      <w:r w:rsidR="00056351">
        <w:rPr>
          <w:lang w:val="en-GB"/>
        </w:rPr>
        <w:fldChar w:fldCharType="separate"/>
      </w:r>
      <w:r w:rsidR="00056351" w:rsidRPr="00056351">
        <w:rPr>
          <w:noProof/>
          <w:lang w:val="en-GB"/>
        </w:rPr>
        <w:t>(Radvansky &amp; Ashcraft, 2014)</w:t>
      </w:r>
      <w:r w:rsidR="00056351">
        <w:rPr>
          <w:lang w:val="en-GB"/>
        </w:rPr>
        <w:fldChar w:fldCharType="end"/>
      </w:r>
      <w:r w:rsidR="007F15FF">
        <w:rPr>
          <w:lang w:val="en-GB"/>
        </w:rPr>
        <w:t>.</w:t>
      </w:r>
      <w:r w:rsidR="00540E1C">
        <w:rPr>
          <w:lang w:val="en-GB"/>
        </w:rPr>
        <w:t xml:space="preserve"> If such effects are present </w:t>
      </w:r>
      <w:r w:rsidR="00D526D2">
        <w:rPr>
          <w:lang w:val="en-GB"/>
        </w:rPr>
        <w:t>the first and last few words of each list should have a higher probability of recall.</w:t>
      </w:r>
      <w:r w:rsidR="000B6282">
        <w:rPr>
          <w:lang w:val="en-GB"/>
        </w:rPr>
        <w:t xml:space="preserve"> </w:t>
      </w:r>
      <w:r w:rsidR="00B84CF5">
        <w:rPr>
          <w:lang w:val="en-GB"/>
        </w:rPr>
        <w:t xml:space="preserve">Such effects would </w:t>
      </w:r>
      <w:r w:rsidR="009019CD">
        <w:rPr>
          <w:lang w:val="en-GB"/>
        </w:rPr>
        <w:t xml:space="preserve">be in line with </w:t>
      </w:r>
      <w:r w:rsidR="00F42741">
        <w:rPr>
          <w:lang w:val="en-GB"/>
        </w:rPr>
        <w:t>both the</w:t>
      </w:r>
      <w:r w:rsidR="008D35FC">
        <w:rPr>
          <w:lang w:val="en-GB"/>
        </w:rPr>
        <w:t xml:space="preserve"> </w:t>
      </w:r>
      <w:r w:rsidR="00DC3EF0" w:rsidRPr="00DC3EF0">
        <w:rPr>
          <w:lang w:val="en-GB"/>
        </w:rPr>
        <w:t>Atkinson</w:t>
      </w:r>
      <w:r w:rsidR="008D35FC">
        <w:rPr>
          <w:lang w:val="en-GB"/>
        </w:rPr>
        <w:t>-</w:t>
      </w:r>
      <w:r w:rsidR="00DC3EF0" w:rsidRPr="00DC3EF0">
        <w:rPr>
          <w:lang w:val="en-GB"/>
        </w:rPr>
        <w:t>Shiffrin</w:t>
      </w:r>
      <w:r w:rsidR="00545AB5">
        <w:rPr>
          <w:lang w:val="en-GB"/>
        </w:rPr>
        <w:t xml:space="preserve"> </w:t>
      </w:r>
      <w:r w:rsidR="004D7069">
        <w:rPr>
          <w:lang w:val="en-GB"/>
        </w:rPr>
        <w:t>multi-store</w:t>
      </w:r>
      <w:r w:rsidR="002A7461">
        <w:rPr>
          <w:lang w:val="en-GB"/>
        </w:rPr>
        <w:t xml:space="preserve"> model and </w:t>
      </w:r>
      <w:r w:rsidR="007827A9">
        <w:rPr>
          <w:lang w:val="en-GB"/>
        </w:rPr>
        <w:t>Baddeley’s model of working memory</w:t>
      </w:r>
      <w:r w:rsidR="00FF6F3D">
        <w:rPr>
          <w:lang w:val="en-GB"/>
        </w:rPr>
        <w:t xml:space="preserve">, both of which present rehearsal as crucial for </w:t>
      </w:r>
      <w:r w:rsidR="001E2A61">
        <w:rPr>
          <w:lang w:val="en-GB"/>
        </w:rPr>
        <w:t>maintenance of short term memory</w:t>
      </w:r>
      <w:r w:rsidR="007827A9">
        <w:rPr>
          <w:lang w:val="en-GB"/>
        </w:rPr>
        <w:t xml:space="preserve"> </w:t>
      </w:r>
      <w:r w:rsidR="007827A9">
        <w:rPr>
          <w:lang w:val="en-GB"/>
        </w:rPr>
        <w:fldChar w:fldCharType="begin" w:fldLock="1"/>
      </w:r>
      <w:r w:rsidR="00607471">
        <w:rPr>
          <w:lang w:val="en-GB"/>
        </w:rPr>
        <w:instrText>ADDIN CSL_CITATION {"citationItems":[{"id":"ITEM-1","itemData":{"ISBN":"9783540773405","abstract":"MÅ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River","title":"Cognition","type":"book"},"uris":["http://www.mendeley.com/documents/?uuid=a23bbf12-1499-47e7-af77-d77c26baa3e6"]}],"mendeley":{"formattedCitation":"(Radvansky &amp; Ashcraft, 2014)","plainTextFormattedCitation":"(Radvansky &amp; Ashcraft, 2014)","previouslyFormattedCitation":"(Radvansky &amp; Ashcraft, 2014)"},"properties":{"noteIndex":0},"schema":"https://github.com/citation-style-language/schema/raw/master/csl-citation.json"}</w:instrText>
      </w:r>
      <w:r w:rsidR="007827A9">
        <w:rPr>
          <w:lang w:val="en-GB"/>
        </w:rPr>
        <w:fldChar w:fldCharType="separate"/>
      </w:r>
      <w:r w:rsidR="007827A9" w:rsidRPr="007827A9">
        <w:rPr>
          <w:noProof/>
          <w:lang w:val="en-GB"/>
        </w:rPr>
        <w:t>(Radvansky &amp; Ashcraft, 2014)</w:t>
      </w:r>
      <w:r w:rsidR="007827A9">
        <w:rPr>
          <w:lang w:val="en-GB"/>
        </w:rPr>
        <w:fldChar w:fldCharType="end"/>
      </w:r>
      <w:r w:rsidR="007827A9">
        <w:rPr>
          <w:lang w:val="en-GB"/>
        </w:rPr>
        <w:t>.</w:t>
      </w:r>
    </w:p>
    <w:p w14:paraId="206483CA" w14:textId="590AC09E" w:rsidR="00C871AF" w:rsidRDefault="00EA3448" w:rsidP="00EA3448">
      <w:pPr>
        <w:tabs>
          <w:tab w:val="left" w:pos="567"/>
        </w:tabs>
        <w:jc w:val="both"/>
        <w:rPr>
          <w:lang w:val="en-GB"/>
        </w:rPr>
      </w:pPr>
      <w:r>
        <w:rPr>
          <w:lang w:val="en-GB"/>
        </w:rPr>
        <w:tab/>
      </w:r>
      <w:r w:rsidR="00363C8A">
        <w:rPr>
          <w:lang w:val="en-GB"/>
        </w:rPr>
        <w:t xml:space="preserve">Contrary to </w:t>
      </w:r>
      <w:r w:rsidR="008F3A92">
        <w:rPr>
          <w:lang w:val="en-GB"/>
        </w:rPr>
        <w:t>Ebbinghaus’</w:t>
      </w:r>
      <w:r w:rsidR="00F07FEC">
        <w:rPr>
          <w:lang w:val="en-GB"/>
        </w:rPr>
        <w:t>,</w:t>
      </w:r>
      <w:r w:rsidR="008F3A92">
        <w:rPr>
          <w:lang w:val="en-GB"/>
        </w:rPr>
        <w:t xml:space="preserve"> this </w:t>
      </w:r>
      <w:r w:rsidR="002C708D">
        <w:rPr>
          <w:lang w:val="en-GB"/>
        </w:rPr>
        <w:t xml:space="preserve">experiment </w:t>
      </w:r>
      <w:r w:rsidR="00272D77">
        <w:rPr>
          <w:lang w:val="en-GB"/>
        </w:rPr>
        <w:t>does not use nonsense words</w:t>
      </w:r>
      <w:r w:rsidR="0076013B">
        <w:rPr>
          <w:lang w:val="en-GB"/>
        </w:rPr>
        <w:t xml:space="preserve"> allowing an investigation into </w:t>
      </w:r>
      <w:r w:rsidR="009A58A8">
        <w:rPr>
          <w:lang w:val="en-GB"/>
        </w:rPr>
        <w:t xml:space="preserve">the </w:t>
      </w:r>
      <w:r w:rsidR="00BE70E7">
        <w:rPr>
          <w:lang w:val="en-GB"/>
        </w:rPr>
        <w:t>concreteness effect.</w:t>
      </w:r>
      <w:r w:rsidR="00E71F50">
        <w:rPr>
          <w:lang w:val="en-GB"/>
        </w:rPr>
        <w:t xml:space="preserve"> This effect predicts a higher probability of recall </w:t>
      </w:r>
      <w:r w:rsidR="002C127F">
        <w:rPr>
          <w:lang w:val="en-GB"/>
        </w:rPr>
        <w:t xml:space="preserve">for concrete </w:t>
      </w:r>
      <w:r w:rsidR="00E71F50">
        <w:rPr>
          <w:lang w:val="en-GB"/>
        </w:rPr>
        <w:t>than abstract words</w:t>
      </w:r>
      <w:r w:rsidR="00C27962">
        <w:rPr>
          <w:lang w:val="en-GB"/>
        </w:rPr>
        <w:t xml:space="preserve">. </w:t>
      </w:r>
      <w:r w:rsidR="00D419AF">
        <w:rPr>
          <w:lang w:val="en-GB"/>
        </w:rPr>
        <w:t xml:space="preserve">The concreteness effect </w:t>
      </w:r>
      <w:r w:rsidR="000556BA">
        <w:rPr>
          <w:lang w:val="en-GB"/>
        </w:rPr>
        <w:t>can be</w:t>
      </w:r>
      <w:r w:rsidR="00D419AF">
        <w:rPr>
          <w:lang w:val="en-GB"/>
        </w:rPr>
        <w:t xml:space="preserve"> explained by </w:t>
      </w:r>
      <w:r w:rsidR="00806653">
        <w:rPr>
          <w:lang w:val="en-GB"/>
        </w:rPr>
        <w:t>both Pai</w:t>
      </w:r>
      <w:r w:rsidR="006F30E1">
        <w:rPr>
          <w:lang w:val="en-GB"/>
        </w:rPr>
        <w:t>vio’s dual coding hypothesis</w:t>
      </w:r>
      <w:r w:rsidR="006C3F16">
        <w:rPr>
          <w:lang w:val="en-GB"/>
        </w:rPr>
        <w:t xml:space="preserve"> and </w:t>
      </w:r>
      <w:r w:rsidR="004E1C4E">
        <w:rPr>
          <w:lang w:val="en-GB"/>
        </w:rPr>
        <w:t>the context</w:t>
      </w:r>
      <w:r w:rsidR="0016004A">
        <w:rPr>
          <w:lang w:val="en-GB"/>
        </w:rPr>
        <w:t>-availability model</w:t>
      </w:r>
      <w:r w:rsidR="00CA2B56">
        <w:rPr>
          <w:lang w:val="en-GB"/>
        </w:rPr>
        <w:t xml:space="preserve"> </w:t>
      </w:r>
      <w:r w:rsidR="00CA2B56">
        <w:rPr>
          <w:lang w:val="en-GB"/>
        </w:rPr>
        <w:fldChar w:fldCharType="begin" w:fldLock="1"/>
      </w:r>
      <w:r w:rsidR="0017427A">
        <w:rPr>
          <w:lang w:val="en-GB"/>
        </w:rPr>
        <w:instrText>ADDIN CSL_CITATION {"citationItems":[{"id":"ITEM-1","itemData":{"ISBN":"9783540773405","abstract":"MÅ ALDRIG DELES Det er ikke en fejl at den er uploadet to gange, det er to forskellige filer.","author":[{"dropping-particle":"","family":"Radvansky","given":"Gabriel A.","non-dropping-particle":"","parse-names":false,"suffix":""},{"dropping-particle":"","family":"Ashcraft","given":"Mark H.","non-dropping-particle":"","parse-names":false,"suffix":""}],"edition":"6","id":"ITEM-1","issued":{"date-parts":[["2014"]]},"publisher":"Pearson Education","publisher-place":"Upper Saddle River","title":"Cognition","type":"book"},"uris":["http://www.mendeley.com/documents/?uuid=a23bbf12-1499-47e7-af77-d77c26baa3e6"]},{"id":"ITEM-2","itemData":{"abstract":"Behavioral, patient, and electrophysiological studies have been taken as support for the assumption that processing of abstract words is confined to the left hemisphere, whereas concrete words are processed also by right-hemispheric brain areas. These are thought to provide additional information from an imaginal representational system, as postulated in the dual-coding theory of memory and cognition. Here we report new event-related fMRI data on the processing of concrete and abstract words in a lexical decision task. While abstract words activated a subregion of the left inferior frontal gyrus (BA 45) more strongly than concrete words, specific activity for concrete words was observed in the left basal temporal cortex. These data as well as data from other neuroimaging studies reviewed here are not compatible with the assumption of a specific right-hemispheric involvement for concrete words. The combined findings rather suggest a revised view of the neuroanatomical bases of the imaginal representational system assumed in the dual-coding theory, at least with respect to word recognition.","author":[{"dropping-particle":"","family":"Fiebach","given":"Christian J","non-dropping-particle":"","parse-names":false,"suffix":""},{"dropping-particle":"","family":"Friederici","given":"Angela D","non-dropping-particle":"","parse-names":false,"suffix":""}],"container-title":"Neuropsychologia","id":"ITEM-2","issued":{"date-parts":[["2003"]]},"page":"62-70","title":"Processing concrete words: fMRI evidence against a specific right-hemisphere involvement","type":"article-journal","volume":"42"},"uris":["http://www.mendeley.com/documents/?uuid=f8045c69-1731-4715-9595-65fd24211a26"]}],"mendeley":{"formattedCitation":"(Fiebach &amp; Friederici, 2003; Radvansky &amp; Ashcraft, 2014)","plainTextFormattedCitation":"(Fiebach &amp; Friederici, 2003; Radvansky &amp; Ashcraft, 2014)","previouslyFormattedCitation":"(Fiebach &amp; Friederici, 2003; Radvansky &amp; Ashcraft, 2014)"},"properties":{"noteIndex":0},"schema":"https://github.com/citation-style-language/schema/raw/master/csl-citation.json"}</w:instrText>
      </w:r>
      <w:r w:rsidR="00CA2B56">
        <w:rPr>
          <w:lang w:val="en-GB"/>
        </w:rPr>
        <w:fldChar w:fldCharType="separate"/>
      </w:r>
      <w:r w:rsidR="00CA2B56" w:rsidRPr="00CA2B56">
        <w:rPr>
          <w:noProof/>
          <w:lang w:val="en-GB"/>
        </w:rPr>
        <w:t>(Fiebach &amp; Friederici, 2003; Radvansky &amp; Ashcraft, 2014)</w:t>
      </w:r>
      <w:r w:rsidR="00CA2B56">
        <w:rPr>
          <w:lang w:val="en-GB"/>
        </w:rPr>
        <w:fldChar w:fldCharType="end"/>
      </w:r>
      <w:r w:rsidR="00514252">
        <w:rPr>
          <w:lang w:val="en-GB"/>
        </w:rPr>
        <w:t>.</w:t>
      </w:r>
    </w:p>
    <w:p w14:paraId="5FCBD273" w14:textId="732AAD18" w:rsidR="009B47B6" w:rsidRPr="00D74A26" w:rsidRDefault="009B47B6" w:rsidP="00EA3448">
      <w:pPr>
        <w:tabs>
          <w:tab w:val="left" w:pos="567"/>
        </w:tabs>
        <w:jc w:val="both"/>
        <w:rPr>
          <w:lang w:val="en-GB"/>
        </w:rPr>
      </w:pPr>
      <w:r>
        <w:rPr>
          <w:lang w:val="en-GB"/>
        </w:rPr>
        <w:tab/>
      </w:r>
      <w:r w:rsidR="006E7CF2">
        <w:rPr>
          <w:lang w:val="en-GB"/>
        </w:rPr>
        <w:t xml:space="preserve">Data from this experiment is </w:t>
      </w:r>
      <w:r w:rsidR="00E36E2C">
        <w:rPr>
          <w:lang w:val="en-GB"/>
        </w:rPr>
        <w:t>expected</w:t>
      </w:r>
      <w:r w:rsidR="006E7CF2">
        <w:rPr>
          <w:lang w:val="en-GB"/>
        </w:rPr>
        <w:t xml:space="preserve"> to support the concreteness</w:t>
      </w:r>
      <w:r w:rsidR="00F35FA9">
        <w:rPr>
          <w:lang w:val="en-GB"/>
        </w:rPr>
        <w:t>, recency and primacy effects.</w:t>
      </w:r>
    </w:p>
    <w:p w14:paraId="33F0F61A" w14:textId="3838A956" w:rsidR="001078C3" w:rsidRPr="00DB623B" w:rsidRDefault="006F034F" w:rsidP="00145CD8">
      <w:pPr>
        <w:pStyle w:val="Overskrift1"/>
        <w:jc w:val="both"/>
        <w:rPr>
          <w:lang w:val="en-US"/>
        </w:rPr>
      </w:pPr>
      <w:bookmarkStart w:id="1" w:name="_Toc21950172"/>
      <w:r w:rsidRPr="00DB623B">
        <w:rPr>
          <w:lang w:val="en-US"/>
        </w:rPr>
        <w:t>Method</w:t>
      </w:r>
      <w:bookmarkEnd w:id="1"/>
    </w:p>
    <w:p w14:paraId="0D32102F" w14:textId="4C24C70A" w:rsidR="00A678F0" w:rsidRDefault="002D595C" w:rsidP="00145CD8">
      <w:pPr>
        <w:jc w:val="both"/>
        <w:rPr>
          <w:rStyle w:val="normaltextrun"/>
          <w:color w:val="000000"/>
          <w:shd w:val="clear" w:color="auto" w:fill="FFFFFF"/>
          <w:lang w:val="en-GB"/>
        </w:rPr>
      </w:pPr>
      <w:r>
        <w:rPr>
          <w:rStyle w:val="normaltextrun"/>
          <w:color w:val="000000"/>
          <w:shd w:val="clear" w:color="auto" w:fill="FFFFFF"/>
          <w:lang w:val="en-GB"/>
        </w:rPr>
        <w:t xml:space="preserve">This experiment included </w:t>
      </w:r>
      <w:r>
        <w:rPr>
          <w:rStyle w:val="normaltextrun"/>
          <w:i/>
          <w:iCs/>
          <w:color w:val="000000"/>
          <w:shd w:val="clear" w:color="auto" w:fill="FFFFFF"/>
          <w:lang w:val="en-GB"/>
        </w:rPr>
        <w:t xml:space="preserve">N </w:t>
      </w:r>
      <w:r>
        <w:rPr>
          <w:rStyle w:val="normaltextrun"/>
          <w:color w:val="000000"/>
          <w:shd w:val="clear" w:color="auto" w:fill="FFFFFF"/>
          <w:lang w:val="en-GB"/>
        </w:rPr>
        <w:t>= 86 participants</w:t>
      </w:r>
      <w:r w:rsidR="00616F97">
        <w:rPr>
          <w:rStyle w:val="normaltextrun"/>
          <w:color w:val="000000"/>
          <w:shd w:val="clear" w:color="auto" w:fill="FFFFFF"/>
          <w:lang w:val="en-GB"/>
        </w:rPr>
        <w:t xml:space="preserve">, </w:t>
      </w:r>
      <w:r>
        <w:rPr>
          <w:rStyle w:val="normaltextrun"/>
          <w:color w:val="000000"/>
          <w:shd w:val="clear" w:color="auto" w:fill="FFFFFF"/>
          <w:lang w:val="en-GB"/>
        </w:rPr>
        <w:t>all psychology students</w:t>
      </w:r>
      <w:r w:rsidR="00616F97">
        <w:rPr>
          <w:rStyle w:val="normaltextrun"/>
          <w:color w:val="000000"/>
          <w:shd w:val="clear" w:color="auto" w:fill="FFFFFF"/>
          <w:lang w:val="en-GB"/>
        </w:rPr>
        <w:t xml:space="preserve"> </w:t>
      </w:r>
      <w:r>
        <w:rPr>
          <w:rStyle w:val="normaltextrun"/>
          <w:color w:val="000000"/>
          <w:shd w:val="clear" w:color="auto" w:fill="FFFFFF"/>
          <w:lang w:val="en-GB"/>
        </w:rPr>
        <w:t>at UCPH. Age and sex differences were not considered</w:t>
      </w:r>
      <w:r w:rsidR="00057DB4">
        <w:rPr>
          <w:rStyle w:val="normaltextrun"/>
          <w:color w:val="000000"/>
          <w:shd w:val="clear" w:color="auto" w:fill="FFFFFF"/>
          <w:lang w:val="en-GB"/>
        </w:rPr>
        <w:t xml:space="preserve">. </w:t>
      </w:r>
    </w:p>
    <w:p w14:paraId="23249770" w14:textId="6E7B5AB3" w:rsidR="00A678F0" w:rsidRDefault="00A678F0" w:rsidP="00A678F0">
      <w:pPr>
        <w:pStyle w:val="Overskrift2"/>
        <w:rPr>
          <w:lang w:val="en-US"/>
        </w:rPr>
      </w:pPr>
      <w:bookmarkStart w:id="2" w:name="_Toc21950173"/>
      <w:r>
        <w:rPr>
          <w:lang w:val="en-US"/>
        </w:rPr>
        <w:t>Materials</w:t>
      </w:r>
      <w:bookmarkEnd w:id="2"/>
    </w:p>
    <w:p w14:paraId="653A1A8E" w14:textId="15A92232" w:rsidR="005E4F78" w:rsidRDefault="001C11FA" w:rsidP="00A678F0">
      <w:pPr>
        <w:pStyle w:val="Listeafsnit"/>
        <w:numPr>
          <w:ilvl w:val="0"/>
          <w:numId w:val="1"/>
        </w:numPr>
        <w:rPr>
          <w:lang w:val="en-US"/>
        </w:rPr>
      </w:pPr>
      <w:r>
        <w:rPr>
          <w:lang w:val="en-US"/>
        </w:rPr>
        <w:t>Four lists of 20 concrete words</w:t>
      </w:r>
    </w:p>
    <w:p w14:paraId="14918978" w14:textId="7B19B467" w:rsidR="005A043C" w:rsidRDefault="005A043C" w:rsidP="00A678F0">
      <w:pPr>
        <w:pStyle w:val="Listeafsnit"/>
        <w:numPr>
          <w:ilvl w:val="0"/>
          <w:numId w:val="1"/>
        </w:numPr>
        <w:rPr>
          <w:lang w:val="en-US"/>
        </w:rPr>
      </w:pPr>
      <w:r>
        <w:rPr>
          <w:lang w:val="en-US"/>
        </w:rPr>
        <w:t>Four lists of 20 abstract words</w:t>
      </w:r>
    </w:p>
    <w:p w14:paraId="241744EF" w14:textId="0BC47769" w:rsidR="00392367" w:rsidRPr="00DA6E00" w:rsidRDefault="005A043C" w:rsidP="00392367">
      <w:pPr>
        <w:pStyle w:val="Listeafsnit"/>
        <w:numPr>
          <w:ilvl w:val="0"/>
          <w:numId w:val="1"/>
        </w:numPr>
        <w:rPr>
          <w:lang w:val="en-US"/>
        </w:rPr>
      </w:pPr>
      <w:r>
        <w:rPr>
          <w:lang w:val="en-US"/>
        </w:rPr>
        <w:t>One interference list</w:t>
      </w:r>
    </w:p>
    <w:p w14:paraId="5A3D992D" w14:textId="353E5E4E" w:rsidR="00392367" w:rsidRDefault="00203FD8" w:rsidP="00203FD8">
      <w:pPr>
        <w:pStyle w:val="Overskrift2"/>
        <w:rPr>
          <w:lang w:val="en-US"/>
        </w:rPr>
      </w:pPr>
      <w:bookmarkStart w:id="3" w:name="_Toc21950174"/>
      <w:r>
        <w:rPr>
          <w:lang w:val="en-US"/>
        </w:rPr>
        <w:t>Test procedure</w:t>
      </w:r>
      <w:bookmarkEnd w:id="3"/>
    </w:p>
    <w:p w14:paraId="34B4A709" w14:textId="2DBC2EEC" w:rsidR="00203FD8" w:rsidRPr="00203FD8" w:rsidRDefault="00437277" w:rsidP="00203FD8">
      <w:pPr>
        <w:rPr>
          <w:lang w:val="en-US"/>
        </w:rPr>
      </w:pPr>
      <w:r>
        <w:rPr>
          <w:rStyle w:val="normaltextrun"/>
          <w:color w:val="000000"/>
          <w:bdr w:val="none" w:sz="0" w:space="0" w:color="auto" w:frame="1"/>
          <w:lang w:val="en-US"/>
        </w:rPr>
        <w:t>The experimenter (E), an observer (OB), and the participant (P) were present during the study.</w:t>
      </w:r>
      <w:r w:rsidR="00FF31FF">
        <w:rPr>
          <w:rStyle w:val="normaltextrun"/>
          <w:color w:val="000000"/>
          <w:bdr w:val="none" w:sz="0" w:space="0" w:color="auto" w:frame="1"/>
          <w:lang w:val="en-US"/>
        </w:rPr>
        <w:t xml:space="preserve"> E instructed P of the task and </w:t>
      </w:r>
      <w:r w:rsidR="000E551F">
        <w:rPr>
          <w:rStyle w:val="normaltextrun"/>
          <w:color w:val="000000"/>
          <w:bdr w:val="none" w:sz="0" w:space="0" w:color="auto" w:frame="1"/>
          <w:lang w:val="en-US"/>
        </w:rPr>
        <w:t xml:space="preserve">read </w:t>
      </w:r>
      <w:r w:rsidR="003324ED">
        <w:rPr>
          <w:rStyle w:val="normaltextrun"/>
          <w:color w:val="000000"/>
          <w:bdr w:val="none" w:sz="0" w:space="0" w:color="auto" w:frame="1"/>
          <w:lang w:val="en-US"/>
        </w:rPr>
        <w:t>aloud</w:t>
      </w:r>
      <w:r w:rsidR="00D37C79">
        <w:rPr>
          <w:rStyle w:val="normaltextrun"/>
          <w:color w:val="000000"/>
          <w:bdr w:val="none" w:sz="0" w:space="0" w:color="auto" w:frame="1"/>
          <w:lang w:val="en-US"/>
        </w:rPr>
        <w:t xml:space="preserve"> </w:t>
      </w:r>
      <w:r w:rsidR="00381619">
        <w:rPr>
          <w:rStyle w:val="normaltextrun"/>
          <w:color w:val="000000"/>
          <w:bdr w:val="none" w:sz="0" w:space="0" w:color="auto" w:frame="1"/>
          <w:lang w:val="en-US"/>
        </w:rPr>
        <w:t xml:space="preserve">each </w:t>
      </w:r>
      <w:r w:rsidR="00D37C79">
        <w:rPr>
          <w:rStyle w:val="normaltextrun"/>
          <w:color w:val="000000"/>
          <w:bdr w:val="none" w:sz="0" w:space="0" w:color="auto" w:frame="1"/>
          <w:lang w:val="en-US"/>
        </w:rPr>
        <w:t>list</w:t>
      </w:r>
      <w:r w:rsidR="003324ED">
        <w:rPr>
          <w:rStyle w:val="normaltextrun"/>
          <w:color w:val="000000"/>
          <w:bdr w:val="none" w:sz="0" w:space="0" w:color="auto" w:frame="1"/>
          <w:lang w:val="en-US"/>
        </w:rPr>
        <w:t xml:space="preserve"> at a speed of one word per two seconds</w:t>
      </w:r>
      <w:r w:rsidR="006514B7">
        <w:rPr>
          <w:rStyle w:val="normaltextrun"/>
          <w:color w:val="000000"/>
          <w:bdr w:val="none" w:sz="0" w:space="0" w:color="auto" w:frame="1"/>
          <w:lang w:val="en-US"/>
        </w:rPr>
        <w:t xml:space="preserve">. </w:t>
      </w:r>
      <w:r w:rsidR="00DA0393">
        <w:rPr>
          <w:rStyle w:val="normaltextrun"/>
          <w:color w:val="000000"/>
          <w:bdr w:val="none" w:sz="0" w:space="0" w:color="auto" w:frame="1"/>
          <w:lang w:val="en-US"/>
        </w:rPr>
        <w:t xml:space="preserve">P </w:t>
      </w:r>
      <w:r w:rsidR="00E230EC">
        <w:rPr>
          <w:rStyle w:val="normaltextrun"/>
          <w:color w:val="000000"/>
          <w:bdr w:val="none" w:sz="0" w:space="0" w:color="auto" w:frame="1"/>
          <w:lang w:val="en-US"/>
        </w:rPr>
        <w:t>would then recall as many words as possible</w:t>
      </w:r>
      <w:r w:rsidR="00717DF6">
        <w:rPr>
          <w:rStyle w:val="normaltextrun"/>
          <w:color w:val="000000"/>
          <w:bdr w:val="none" w:sz="0" w:space="0" w:color="auto" w:frame="1"/>
          <w:lang w:val="en-US"/>
        </w:rPr>
        <w:t xml:space="preserve">. </w:t>
      </w:r>
      <w:r w:rsidR="00EF20F0">
        <w:rPr>
          <w:rStyle w:val="normaltextrun"/>
          <w:color w:val="000000"/>
          <w:bdr w:val="none" w:sz="0" w:space="0" w:color="auto" w:frame="1"/>
          <w:lang w:val="en-US"/>
        </w:rPr>
        <w:t xml:space="preserve">Responses </w:t>
      </w:r>
      <w:r w:rsidR="007239EB">
        <w:rPr>
          <w:rStyle w:val="normaltextrun"/>
          <w:color w:val="000000"/>
          <w:bdr w:val="none" w:sz="0" w:space="0" w:color="auto" w:frame="1"/>
          <w:lang w:val="en-US"/>
        </w:rPr>
        <w:t>were</w:t>
      </w:r>
      <w:r w:rsidR="00EF20F0">
        <w:rPr>
          <w:rStyle w:val="normaltextrun"/>
          <w:color w:val="000000"/>
          <w:bdr w:val="none" w:sz="0" w:space="0" w:color="auto" w:frame="1"/>
          <w:lang w:val="en-US"/>
        </w:rPr>
        <w:t xml:space="preserve"> noted </w:t>
      </w:r>
      <w:r w:rsidR="00D34321">
        <w:rPr>
          <w:rStyle w:val="normaltextrun"/>
          <w:color w:val="000000"/>
          <w:bdr w:val="none" w:sz="0" w:space="0" w:color="auto" w:frame="1"/>
          <w:lang w:val="en-US"/>
        </w:rPr>
        <w:t>by OB</w:t>
      </w:r>
      <w:r w:rsidR="000308E9">
        <w:rPr>
          <w:rStyle w:val="normaltextrun"/>
          <w:color w:val="000000"/>
          <w:bdr w:val="none" w:sz="0" w:space="0" w:color="auto" w:frame="1"/>
          <w:lang w:val="en-US"/>
        </w:rPr>
        <w:t>. For the interference list, which was randomly assigned for each P</w:t>
      </w:r>
      <w:r w:rsidR="005704FC">
        <w:rPr>
          <w:rStyle w:val="normaltextrun"/>
          <w:color w:val="000000"/>
          <w:bdr w:val="none" w:sz="0" w:space="0" w:color="auto" w:frame="1"/>
          <w:lang w:val="en-US"/>
        </w:rPr>
        <w:t xml:space="preserve">, </w:t>
      </w:r>
      <w:r w:rsidR="0084767A">
        <w:rPr>
          <w:rStyle w:val="normaltextrun"/>
          <w:color w:val="000000"/>
          <w:bdr w:val="none" w:sz="0" w:space="0" w:color="auto" w:frame="1"/>
          <w:lang w:val="en-US"/>
        </w:rPr>
        <w:t>P</w:t>
      </w:r>
      <w:r w:rsidR="006F3862">
        <w:rPr>
          <w:rStyle w:val="normaltextrun"/>
          <w:color w:val="000000"/>
          <w:bdr w:val="none" w:sz="0" w:space="0" w:color="auto" w:frame="1"/>
          <w:lang w:val="en-US"/>
        </w:rPr>
        <w:t xml:space="preserve"> was asked</w:t>
      </w:r>
      <w:r w:rsidR="0084767A">
        <w:rPr>
          <w:rStyle w:val="normaltextrun"/>
          <w:color w:val="000000"/>
          <w:bdr w:val="none" w:sz="0" w:space="0" w:color="auto" w:frame="1"/>
          <w:lang w:val="en-US"/>
        </w:rPr>
        <w:t xml:space="preserve"> to count backwards</w:t>
      </w:r>
      <w:r w:rsidR="006F3862">
        <w:rPr>
          <w:rStyle w:val="normaltextrun"/>
          <w:color w:val="000000"/>
          <w:bdr w:val="none" w:sz="0" w:space="0" w:color="auto" w:frame="1"/>
          <w:lang w:val="en-US"/>
        </w:rPr>
        <w:t xml:space="preserve"> by three</w:t>
      </w:r>
      <w:r w:rsidR="0084767A">
        <w:rPr>
          <w:rStyle w:val="normaltextrun"/>
          <w:color w:val="000000"/>
          <w:bdr w:val="none" w:sz="0" w:space="0" w:color="auto" w:frame="1"/>
          <w:lang w:val="en-US"/>
        </w:rPr>
        <w:t xml:space="preserve"> from </w:t>
      </w:r>
      <w:r w:rsidR="00971596">
        <w:rPr>
          <w:rStyle w:val="normaltextrun"/>
          <w:color w:val="000000"/>
          <w:bdr w:val="none" w:sz="0" w:space="0" w:color="auto" w:frame="1"/>
          <w:lang w:val="en-US"/>
        </w:rPr>
        <w:t>392</w:t>
      </w:r>
      <w:r w:rsidR="00B4349F">
        <w:rPr>
          <w:rStyle w:val="normaltextrun"/>
          <w:color w:val="000000"/>
          <w:bdr w:val="none" w:sz="0" w:space="0" w:color="auto" w:frame="1"/>
          <w:lang w:val="en-US"/>
        </w:rPr>
        <w:t xml:space="preserve"> before recalling</w:t>
      </w:r>
      <w:r w:rsidR="00971596">
        <w:rPr>
          <w:rStyle w:val="normaltextrun"/>
          <w:color w:val="000000"/>
          <w:bdr w:val="none" w:sz="0" w:space="0" w:color="auto" w:frame="1"/>
          <w:lang w:val="en-US"/>
        </w:rPr>
        <w:t>.</w:t>
      </w:r>
      <w:r w:rsidR="008B06CF">
        <w:rPr>
          <w:rStyle w:val="normaltextrun"/>
          <w:color w:val="000000"/>
          <w:bdr w:val="none" w:sz="0" w:space="0" w:color="auto" w:frame="1"/>
          <w:lang w:val="en-US"/>
        </w:rPr>
        <w:t xml:space="preserve"> After </w:t>
      </w:r>
      <w:r w:rsidR="000B6C36">
        <w:rPr>
          <w:rStyle w:val="normaltextrun"/>
          <w:color w:val="000000"/>
          <w:bdr w:val="none" w:sz="0" w:space="0" w:color="auto" w:frame="1"/>
          <w:lang w:val="en-US"/>
        </w:rPr>
        <w:t xml:space="preserve">P had </w:t>
      </w:r>
      <w:r w:rsidR="008B06CF">
        <w:rPr>
          <w:rStyle w:val="normaltextrun"/>
          <w:color w:val="000000"/>
          <w:bdr w:val="none" w:sz="0" w:space="0" w:color="auto" w:frame="1"/>
          <w:lang w:val="en-US"/>
        </w:rPr>
        <w:t>recall</w:t>
      </w:r>
      <w:r w:rsidR="000B6C36">
        <w:rPr>
          <w:rStyle w:val="normaltextrun"/>
          <w:color w:val="000000"/>
          <w:bdr w:val="none" w:sz="0" w:space="0" w:color="auto" w:frame="1"/>
          <w:lang w:val="en-US"/>
        </w:rPr>
        <w:t xml:space="preserve">ed </w:t>
      </w:r>
      <w:r w:rsidR="008B06CF">
        <w:rPr>
          <w:rStyle w:val="normaltextrun"/>
          <w:color w:val="000000"/>
          <w:bdr w:val="none" w:sz="0" w:space="0" w:color="auto" w:frame="1"/>
          <w:lang w:val="en-US"/>
        </w:rPr>
        <w:t>as many words as possible</w:t>
      </w:r>
      <w:r w:rsidR="00021E72">
        <w:rPr>
          <w:rStyle w:val="normaltextrun"/>
          <w:color w:val="000000"/>
          <w:bdr w:val="none" w:sz="0" w:space="0" w:color="auto" w:frame="1"/>
          <w:lang w:val="en-US"/>
        </w:rPr>
        <w:t xml:space="preserve">, E waited approximately one minute before </w:t>
      </w:r>
      <w:r w:rsidR="00182CF7">
        <w:rPr>
          <w:rStyle w:val="normaltextrun"/>
          <w:color w:val="000000"/>
          <w:bdr w:val="none" w:sz="0" w:space="0" w:color="auto" w:frame="1"/>
          <w:lang w:val="en-US"/>
        </w:rPr>
        <w:t>reading the next list.</w:t>
      </w:r>
    </w:p>
    <w:p w14:paraId="41FCDF12" w14:textId="77777777" w:rsidR="008B0876" w:rsidRDefault="008B0876" w:rsidP="00145CD8">
      <w:pPr>
        <w:jc w:val="both"/>
        <w:rPr>
          <w:lang w:val="en-GB"/>
        </w:rPr>
      </w:pPr>
    </w:p>
    <w:p w14:paraId="1EE84C8A" w14:textId="62D209EC" w:rsidR="00490B75" w:rsidRPr="00B416C6" w:rsidRDefault="00490B75" w:rsidP="00145CD8">
      <w:pPr>
        <w:jc w:val="both"/>
        <w:rPr>
          <w:lang w:val="en-GB"/>
        </w:rPr>
      </w:pPr>
      <w:r>
        <w:rPr>
          <w:lang w:val="en-GB"/>
        </w:rPr>
        <w:t>Statistical analysis was carried out using SPSS.</w:t>
      </w:r>
    </w:p>
    <w:p w14:paraId="7EA2AA2D" w14:textId="16FD6256" w:rsidR="00330C86" w:rsidRDefault="00734925" w:rsidP="00C479FE">
      <w:pPr>
        <w:pStyle w:val="Overskrift1"/>
        <w:jc w:val="both"/>
        <w:rPr>
          <w:lang w:val="en-GB"/>
        </w:rPr>
      </w:pPr>
      <w:bookmarkStart w:id="4" w:name="_Toc21950175"/>
      <w:r w:rsidRPr="00B416C6">
        <w:rPr>
          <w:lang w:val="en-GB"/>
        </w:rPr>
        <w:t>Results</w:t>
      </w:r>
      <w:bookmarkEnd w:id="4"/>
    </w:p>
    <w:p w14:paraId="6452B81E" w14:textId="4EF15944" w:rsidR="003E29E2" w:rsidRPr="005E0BA8" w:rsidRDefault="00635EE4" w:rsidP="00145CD8">
      <w:pPr>
        <w:jc w:val="both"/>
        <w:rPr>
          <w:lang w:val="en-GB"/>
        </w:rPr>
      </w:pPr>
      <w:r>
        <w:rPr>
          <w:lang w:val="en-GB"/>
        </w:rPr>
        <w:t xml:space="preserve">Figure 1 shows mean probability </w:t>
      </w:r>
      <w:r w:rsidR="00E643BA">
        <w:rPr>
          <w:lang w:val="en-GB"/>
        </w:rPr>
        <w:t>of recall</w:t>
      </w:r>
      <w:r w:rsidR="00626CE0">
        <w:rPr>
          <w:lang w:val="en-GB"/>
        </w:rPr>
        <w:t xml:space="preserve"> for </w:t>
      </w:r>
      <w:r w:rsidR="000A5AD6">
        <w:rPr>
          <w:lang w:val="en-GB"/>
        </w:rPr>
        <w:t>all three lists</w:t>
      </w:r>
      <w:r w:rsidR="00760179">
        <w:rPr>
          <w:lang w:val="en-GB"/>
        </w:rPr>
        <w:t>.</w:t>
      </w:r>
      <w:r w:rsidR="002513B5">
        <w:rPr>
          <w:lang w:val="en-GB"/>
        </w:rPr>
        <w:t xml:space="preserve"> </w:t>
      </w:r>
      <w:r w:rsidR="00760179">
        <w:rPr>
          <w:lang w:val="en-GB"/>
        </w:rPr>
        <w:t xml:space="preserve">The recency and primacy effects are </w:t>
      </w:r>
      <w:r w:rsidR="00E440AB">
        <w:rPr>
          <w:lang w:val="en-GB"/>
        </w:rPr>
        <w:t xml:space="preserve">evident </w:t>
      </w:r>
      <w:r w:rsidR="007319B0">
        <w:rPr>
          <w:lang w:val="en-GB"/>
        </w:rPr>
        <w:t xml:space="preserve">for both concrete and abstract lists </w:t>
      </w:r>
      <w:r w:rsidR="00E440AB">
        <w:rPr>
          <w:lang w:val="en-GB"/>
        </w:rPr>
        <w:t xml:space="preserve">by the </w:t>
      </w:r>
      <w:r w:rsidR="00ED172A">
        <w:rPr>
          <w:lang w:val="en-GB"/>
        </w:rPr>
        <w:t>inverse bell shape of the curves.</w:t>
      </w:r>
      <w:r w:rsidR="002F4D6F">
        <w:rPr>
          <w:lang w:val="en-GB"/>
        </w:rPr>
        <w:t xml:space="preserve"> T</w:t>
      </w:r>
      <w:r w:rsidR="00F921EA">
        <w:rPr>
          <w:lang w:val="en-GB"/>
        </w:rPr>
        <w:t>he concrete lists</w:t>
      </w:r>
      <w:r w:rsidR="00EF46B1">
        <w:rPr>
          <w:lang w:val="en-GB"/>
        </w:rPr>
        <w:t xml:space="preserve"> </w:t>
      </w:r>
      <w:r w:rsidR="004161A8">
        <w:rPr>
          <w:lang w:val="en-GB"/>
        </w:rPr>
        <w:t xml:space="preserve">generally </w:t>
      </w:r>
      <w:r w:rsidR="00EF46B1">
        <w:rPr>
          <w:lang w:val="en-GB"/>
        </w:rPr>
        <w:t>follow a higher curve than the abstract lists</w:t>
      </w:r>
      <w:r w:rsidR="004161A8">
        <w:rPr>
          <w:lang w:val="en-GB"/>
        </w:rPr>
        <w:t>.</w:t>
      </w:r>
      <w:r w:rsidR="00ED172A">
        <w:rPr>
          <w:lang w:val="en-GB"/>
        </w:rPr>
        <w:t xml:space="preserve"> </w:t>
      </w:r>
      <w:r w:rsidR="004D5E52">
        <w:rPr>
          <w:lang w:val="en-GB"/>
        </w:rPr>
        <w:t>The recency effect seems to be missing for the interference lists.</w:t>
      </w:r>
    </w:p>
    <w:p w14:paraId="073D2E37" w14:textId="77777777" w:rsidR="007E1688" w:rsidRPr="00417C79" w:rsidRDefault="006507BE" w:rsidP="00145CD8">
      <w:pPr>
        <w:keepNext/>
        <w:jc w:val="both"/>
        <w:rPr>
          <w:lang w:val="en-US"/>
        </w:rPr>
      </w:pPr>
      <w:r>
        <w:rPr>
          <w:noProof/>
        </w:rPr>
        <w:drawing>
          <wp:inline distT="0" distB="0" distL="0" distR="0" wp14:anchorId="7E37FBAD" wp14:editId="44BF04BF">
            <wp:extent cx="5731510" cy="3376295"/>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6BA6B9C1" w14:textId="49C3AF21" w:rsidR="00B416C6" w:rsidRPr="007E1688" w:rsidRDefault="007E1688" w:rsidP="00145CD8">
      <w:pPr>
        <w:pStyle w:val="Billedtekst"/>
        <w:jc w:val="both"/>
        <w:rPr>
          <w:b/>
          <w:bCs/>
          <w:lang w:val="en-US"/>
        </w:rPr>
      </w:pPr>
      <w:r w:rsidRPr="007E1688">
        <w:rPr>
          <w:lang w:val="en-US"/>
        </w:rPr>
        <w:t xml:space="preserve">Figure </w:t>
      </w:r>
      <w:r>
        <w:fldChar w:fldCharType="begin"/>
      </w:r>
      <w:r w:rsidRPr="007E1688">
        <w:rPr>
          <w:lang w:val="en-US"/>
        </w:rPr>
        <w:instrText xml:space="preserve"> SEQ Figure \* ARABIC </w:instrText>
      </w:r>
      <w:r>
        <w:fldChar w:fldCharType="separate"/>
      </w:r>
      <w:r w:rsidR="00CE501B">
        <w:rPr>
          <w:noProof/>
          <w:lang w:val="en-US"/>
        </w:rPr>
        <w:t>1</w:t>
      </w:r>
      <w:r>
        <w:fldChar w:fldCharType="end"/>
      </w:r>
      <w:r w:rsidRPr="007E1688">
        <w:rPr>
          <w:lang w:val="en-US"/>
        </w:rPr>
        <w:t>: Graph showing recency and prima</w:t>
      </w:r>
      <w:r w:rsidR="00F63419">
        <w:rPr>
          <w:lang w:val="en-US"/>
        </w:rPr>
        <w:t>cy</w:t>
      </w:r>
      <w:r w:rsidRPr="007E1688">
        <w:rPr>
          <w:lang w:val="en-US"/>
        </w:rPr>
        <w:t xml:space="preserve"> effect and effect of word type on probability of recall</w:t>
      </w:r>
    </w:p>
    <w:p w14:paraId="7CD3DE67" w14:textId="05DFACA2" w:rsidR="00047D34" w:rsidRDefault="00DA0FFC" w:rsidP="00047D34">
      <w:pPr>
        <w:pStyle w:val="Overskrift2"/>
        <w:rPr>
          <w:lang w:val="en-GB"/>
        </w:rPr>
      </w:pPr>
      <w:r>
        <w:rPr>
          <w:lang w:val="en-GB"/>
        </w:rPr>
        <w:t>Probability of recall depends on list type and word position</w:t>
      </w:r>
    </w:p>
    <w:p w14:paraId="109A4836" w14:textId="6A628963" w:rsidR="00417C79" w:rsidRDefault="00417C79" w:rsidP="00145CD8">
      <w:pPr>
        <w:jc w:val="both"/>
        <w:rPr>
          <w:lang w:val="en-GB"/>
        </w:rPr>
      </w:pPr>
      <w:r>
        <w:rPr>
          <w:lang w:val="en-GB"/>
        </w:rPr>
        <w:t xml:space="preserve">To test </w:t>
      </w:r>
      <w:r w:rsidR="00561E5F">
        <w:rPr>
          <w:lang w:val="en-GB"/>
        </w:rPr>
        <w:t xml:space="preserve">the </w:t>
      </w:r>
      <w:r w:rsidR="002F4D6F">
        <w:rPr>
          <w:lang w:val="en-GB"/>
        </w:rPr>
        <w:t>validity of these observations</w:t>
      </w:r>
      <w:r w:rsidR="00130630">
        <w:rPr>
          <w:lang w:val="en-GB"/>
        </w:rPr>
        <w:t xml:space="preserve">, a repeated measures ANOVA </w:t>
      </w:r>
      <w:r w:rsidR="00A167D6">
        <w:rPr>
          <w:lang w:val="en-GB"/>
        </w:rPr>
        <w:t>was conducted</w:t>
      </w:r>
      <w:r w:rsidR="00767DA6">
        <w:rPr>
          <w:lang w:val="en-GB"/>
        </w:rPr>
        <w:t xml:space="preserve"> of </w:t>
      </w:r>
      <w:r w:rsidR="00A167D6">
        <w:rPr>
          <w:lang w:val="en-GB"/>
        </w:rPr>
        <w:t xml:space="preserve">the effect of </w:t>
      </w:r>
      <w:r w:rsidR="00D754F8">
        <w:rPr>
          <w:lang w:val="en-GB"/>
        </w:rPr>
        <w:t>list type and word position on probability of recall.</w:t>
      </w:r>
    </w:p>
    <w:p w14:paraId="005A6CD5" w14:textId="77777777" w:rsidR="008B0876" w:rsidRDefault="008B0876" w:rsidP="00145CD8">
      <w:pPr>
        <w:jc w:val="both"/>
        <w:rPr>
          <w:lang w:val="en-GB"/>
        </w:rPr>
      </w:pPr>
    </w:p>
    <w:p w14:paraId="527C1EF2" w14:textId="2888D6AE" w:rsidR="00B416C6" w:rsidRDefault="00D754F8" w:rsidP="00145CD8">
      <w:pPr>
        <w:jc w:val="both"/>
        <w:rPr>
          <w:lang w:val="en-GB"/>
        </w:rPr>
      </w:pPr>
      <w:r>
        <w:rPr>
          <w:lang w:val="en-GB"/>
        </w:rPr>
        <w:t>The test</w:t>
      </w:r>
      <w:r w:rsidR="00B416C6" w:rsidRPr="00B416C6">
        <w:rPr>
          <w:lang w:val="en-GB"/>
        </w:rPr>
        <w:t xml:space="preserve"> showed significant main effects of list type, </w:t>
      </w:r>
      <w:r w:rsidR="00B416C6" w:rsidRPr="00B416C6">
        <w:rPr>
          <w:i/>
          <w:iCs/>
          <w:lang w:val="en-GB"/>
        </w:rPr>
        <w:t>F</w:t>
      </w:r>
      <w:r w:rsidR="00B416C6" w:rsidRPr="00B416C6">
        <w:rPr>
          <w:lang w:val="en-GB"/>
        </w:rPr>
        <w:t xml:space="preserve">(1.69, 143.86) = 25.23, </w:t>
      </w:r>
      <w:r w:rsidR="00B416C6" w:rsidRPr="00B416C6">
        <w:rPr>
          <w:i/>
          <w:iCs/>
          <w:lang w:val="en-GB"/>
        </w:rPr>
        <w:t>p</w:t>
      </w:r>
      <w:r w:rsidR="00B416C6" w:rsidRPr="00B416C6">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B416C6" w:rsidRPr="00B416C6">
        <w:rPr>
          <w:lang w:val="en-GB"/>
        </w:rPr>
        <w:t xml:space="preserve"> = .23 (Huyhn-Feldt corrected), and of word position, </w:t>
      </w:r>
      <w:r w:rsidR="00B416C6" w:rsidRPr="00B416C6">
        <w:rPr>
          <w:i/>
          <w:iCs/>
          <w:lang w:val="en-GB"/>
        </w:rPr>
        <w:t>F</w:t>
      </w:r>
      <w:r w:rsidR="00B416C6" w:rsidRPr="00B416C6">
        <w:rPr>
          <w:lang w:val="en-GB"/>
        </w:rPr>
        <w:t xml:space="preserve">(16.05, 1364.42) = 50.23, </w:t>
      </w:r>
      <w:r w:rsidR="00B416C6" w:rsidRPr="00B416C6">
        <w:rPr>
          <w:i/>
          <w:iCs/>
          <w:lang w:val="en-GB"/>
        </w:rPr>
        <w:t>p</w:t>
      </w:r>
      <w:r w:rsidR="00B416C6" w:rsidRPr="00B416C6">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B416C6" w:rsidRPr="00B416C6">
        <w:rPr>
          <w:lang w:val="en-GB"/>
        </w:rPr>
        <w:t xml:space="preserve"> = .37 (Huyhn-Feldt corrected). There was a significant interaction between list type and word position, </w:t>
      </w:r>
      <w:r w:rsidR="00B416C6" w:rsidRPr="00B416C6">
        <w:rPr>
          <w:i/>
          <w:iCs/>
          <w:lang w:val="en-GB"/>
        </w:rPr>
        <w:t>F</w:t>
      </w:r>
      <w:r w:rsidR="00B416C6" w:rsidRPr="00B416C6">
        <w:rPr>
          <w:lang w:val="en-GB"/>
        </w:rPr>
        <w:t xml:space="preserve">(28.24, 2400.28) = 7.82, </w:t>
      </w:r>
      <w:r w:rsidR="00B416C6" w:rsidRPr="00B416C6">
        <w:rPr>
          <w:i/>
          <w:iCs/>
          <w:lang w:val="en-GB"/>
        </w:rPr>
        <w:t>p</w:t>
      </w:r>
      <w:r w:rsidR="00B416C6" w:rsidRPr="00B416C6">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B416C6" w:rsidRPr="00B416C6">
        <w:rPr>
          <w:lang w:val="en-GB"/>
        </w:rPr>
        <w:t xml:space="preserve"> = .08 (Huyhn-Feldt corrected).</w:t>
      </w:r>
    </w:p>
    <w:p w14:paraId="03E4DBA3" w14:textId="77777777" w:rsidR="008570E7" w:rsidRDefault="008570E7" w:rsidP="00145CD8">
      <w:pPr>
        <w:jc w:val="both"/>
        <w:rPr>
          <w:lang w:val="en-GB"/>
        </w:rPr>
      </w:pPr>
    </w:p>
    <w:p w14:paraId="3B42FA28" w14:textId="49865C52" w:rsidR="00585777" w:rsidRPr="00B416C6" w:rsidRDefault="00A4008E" w:rsidP="00826C9E">
      <w:pPr>
        <w:jc w:val="both"/>
        <w:rPr>
          <w:lang w:val="en-GB"/>
        </w:rPr>
      </w:pPr>
      <w:r>
        <w:rPr>
          <w:lang w:val="en-GB"/>
        </w:rPr>
        <w:lastRenderedPageBreak/>
        <w:t>This</w:t>
      </w:r>
      <w:r w:rsidR="00370DB5">
        <w:rPr>
          <w:lang w:val="en-GB"/>
        </w:rPr>
        <w:t xml:space="preserve"> </w:t>
      </w:r>
      <w:r w:rsidR="00AA6790">
        <w:rPr>
          <w:lang w:val="en-GB"/>
        </w:rPr>
        <w:t xml:space="preserve">confirms that the observed primacy and recency </w:t>
      </w:r>
      <w:r w:rsidR="005A5C3C">
        <w:rPr>
          <w:lang w:val="en-GB"/>
        </w:rPr>
        <w:t xml:space="preserve">effects are </w:t>
      </w:r>
      <w:r w:rsidR="00876B48">
        <w:rPr>
          <w:lang w:val="en-GB"/>
        </w:rPr>
        <w:t xml:space="preserve">significant. </w:t>
      </w:r>
      <w:r>
        <w:rPr>
          <w:lang w:val="en-GB"/>
        </w:rPr>
        <w:t>The</w:t>
      </w:r>
      <w:r w:rsidR="00876B48">
        <w:rPr>
          <w:lang w:val="en-GB"/>
        </w:rPr>
        <w:t xml:space="preserve"> effect</w:t>
      </w:r>
      <w:r>
        <w:rPr>
          <w:lang w:val="en-GB"/>
        </w:rPr>
        <w:t>s</w:t>
      </w:r>
      <w:r w:rsidR="00876B48">
        <w:rPr>
          <w:lang w:val="en-GB"/>
        </w:rPr>
        <w:t xml:space="preserve"> differ between word lists, </w:t>
      </w:r>
      <w:r w:rsidR="003A7B3F">
        <w:rPr>
          <w:lang w:val="en-GB"/>
        </w:rPr>
        <w:t>as evidenced by the interaction</w:t>
      </w:r>
      <w:r w:rsidR="006A1A15">
        <w:rPr>
          <w:lang w:val="en-GB"/>
        </w:rPr>
        <w:t>, supporting</w:t>
      </w:r>
      <w:r w:rsidR="00933A1E">
        <w:rPr>
          <w:lang w:val="en-GB"/>
        </w:rPr>
        <w:t xml:space="preserve"> the supposed</w:t>
      </w:r>
      <w:r w:rsidR="006A1A15">
        <w:rPr>
          <w:lang w:val="en-GB"/>
        </w:rPr>
        <w:t xml:space="preserve"> </w:t>
      </w:r>
      <w:r w:rsidR="003C78F0">
        <w:rPr>
          <w:lang w:val="en-GB"/>
        </w:rPr>
        <w:t>function of the interference lists.</w:t>
      </w:r>
    </w:p>
    <w:p w14:paraId="3B1A1F86" w14:textId="25B99020" w:rsidR="00826C9E" w:rsidRDefault="00826C9E" w:rsidP="00826C9E">
      <w:pPr>
        <w:ind w:firstLine="567"/>
        <w:jc w:val="both"/>
        <w:rPr>
          <w:lang w:val="en-GB"/>
        </w:rPr>
      </w:pPr>
      <w:r>
        <w:rPr>
          <w:lang w:val="en-GB"/>
        </w:rPr>
        <w:t>Further, the results indicate that the</w:t>
      </w:r>
      <w:r w:rsidR="00D652AA">
        <w:rPr>
          <w:lang w:val="en-GB"/>
        </w:rPr>
        <w:t xml:space="preserve"> </w:t>
      </w:r>
      <w:r>
        <w:rPr>
          <w:lang w:val="en-GB"/>
        </w:rPr>
        <w:t xml:space="preserve">difference between concrete and abstract lists is significant. </w:t>
      </w:r>
      <w:r w:rsidRPr="00826C9E">
        <w:rPr>
          <w:lang w:val="en-GB"/>
        </w:rPr>
        <w:t>However, such a claim cannot be made in confidence until the influence of the interference lists is controlled for.</w:t>
      </w:r>
    </w:p>
    <w:p w14:paraId="6BF80838" w14:textId="67AF5445" w:rsidR="003A40BA" w:rsidRDefault="003A40BA" w:rsidP="00145CD8">
      <w:pPr>
        <w:jc w:val="both"/>
        <w:rPr>
          <w:lang w:val="en-GB"/>
        </w:rPr>
      </w:pPr>
    </w:p>
    <w:p w14:paraId="53556CF1" w14:textId="45ACDDEB" w:rsidR="00D76D6C" w:rsidRDefault="00EB65FD" w:rsidP="00C27276">
      <w:pPr>
        <w:jc w:val="both"/>
        <w:rPr>
          <w:lang w:val="en-US"/>
        </w:rPr>
      </w:pPr>
      <w:r>
        <w:rPr>
          <w:lang w:val="en-US"/>
        </w:rPr>
        <w:t>T</w:t>
      </w:r>
      <w:r w:rsidR="00DF3CCC">
        <w:rPr>
          <w:lang w:val="en-US"/>
        </w:rPr>
        <w:t>he test was repeated</w:t>
      </w:r>
      <w:r w:rsidR="00817FCE">
        <w:rPr>
          <w:lang w:val="en-US"/>
        </w:rPr>
        <w:t xml:space="preserve"> without</w:t>
      </w:r>
      <w:r w:rsidR="00846303">
        <w:rPr>
          <w:lang w:val="en-US"/>
        </w:rPr>
        <w:t xml:space="preserve"> the interference lists</w:t>
      </w:r>
      <w:r w:rsidR="00C30732">
        <w:rPr>
          <w:lang w:val="en-US"/>
        </w:rPr>
        <w:t xml:space="preserve">, showing a </w:t>
      </w:r>
      <w:r w:rsidR="003C319A">
        <w:rPr>
          <w:lang w:val="en-US"/>
        </w:rPr>
        <w:t xml:space="preserve">significant main effect of list type, </w:t>
      </w:r>
      <w:r w:rsidR="003C319A">
        <w:rPr>
          <w:i/>
          <w:iCs/>
          <w:lang w:val="en-US"/>
        </w:rPr>
        <w:t>F</w:t>
      </w:r>
      <w:r w:rsidR="003C319A">
        <w:rPr>
          <w:lang w:val="en-US"/>
        </w:rPr>
        <w:t xml:space="preserve">(1, 85) = 52.67, </w:t>
      </w:r>
      <w:r w:rsidR="003C319A">
        <w:rPr>
          <w:i/>
          <w:iCs/>
          <w:lang w:val="en-US"/>
        </w:rPr>
        <w:t>p</w:t>
      </w:r>
      <w:r w:rsidR="003C319A">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3C319A">
        <w:rPr>
          <w:lang w:val="en-US"/>
        </w:rPr>
        <w:t xml:space="preserve"> = .38</w:t>
      </w:r>
      <w:r w:rsidR="00063884">
        <w:rPr>
          <w:lang w:val="en-US"/>
        </w:rPr>
        <w:t>,</w:t>
      </w:r>
      <w:r w:rsidR="00D30117">
        <w:rPr>
          <w:lang w:val="en-US"/>
        </w:rPr>
        <w:t xml:space="preserve"> and</w:t>
      </w:r>
      <w:r w:rsidR="00063884">
        <w:rPr>
          <w:lang w:val="en-US"/>
        </w:rPr>
        <w:t xml:space="preserve"> supporting the claim that</w:t>
      </w:r>
      <w:r w:rsidR="00CB625A">
        <w:rPr>
          <w:lang w:val="en-US"/>
        </w:rPr>
        <w:t xml:space="preserve"> concrete words have a higher probability of recall than abstract ones</w:t>
      </w:r>
      <w:r w:rsidR="00331187">
        <w:rPr>
          <w:lang w:val="en-US"/>
        </w:rPr>
        <w:t xml:space="preserve"> (Figure 1). </w:t>
      </w:r>
    </w:p>
    <w:p w14:paraId="68637437" w14:textId="55E0EB1D" w:rsidR="009F6311" w:rsidRDefault="009F6311" w:rsidP="00145CD8">
      <w:pPr>
        <w:jc w:val="both"/>
        <w:rPr>
          <w:lang w:val="en-US"/>
        </w:rPr>
      </w:pPr>
    </w:p>
    <w:p w14:paraId="30A8968C" w14:textId="52BF8634" w:rsidR="0006338D" w:rsidRDefault="0006338D" w:rsidP="00145CD8">
      <w:pPr>
        <w:jc w:val="both"/>
        <w:rPr>
          <w:lang w:val="en-US"/>
        </w:rPr>
      </w:pPr>
      <w:r>
        <w:rPr>
          <w:lang w:val="en-US"/>
        </w:rPr>
        <w:t xml:space="preserve">To </w:t>
      </w:r>
      <w:r w:rsidR="00960AE9">
        <w:rPr>
          <w:lang w:val="en-US"/>
        </w:rPr>
        <w:t xml:space="preserve">test whether this effect is present </w:t>
      </w:r>
      <w:r w:rsidR="00074D92">
        <w:rPr>
          <w:lang w:val="en-US"/>
        </w:rPr>
        <w:t>independently of word position</w:t>
      </w:r>
      <w:r w:rsidR="000B034E">
        <w:rPr>
          <w:lang w:val="en-US"/>
        </w:rPr>
        <w:t>, a repeated measures ANOVA</w:t>
      </w:r>
      <w:r w:rsidR="00695DE0">
        <w:rPr>
          <w:lang w:val="en-US"/>
        </w:rPr>
        <w:t xml:space="preserve"> of the effect of </w:t>
      </w:r>
      <w:r w:rsidR="00E312F4">
        <w:rPr>
          <w:lang w:val="en-US"/>
        </w:rPr>
        <w:t xml:space="preserve">list type on probability of recall was conducted using only the first two </w:t>
      </w:r>
      <w:r w:rsidR="00882E0B">
        <w:rPr>
          <w:lang w:val="en-US"/>
        </w:rPr>
        <w:t>words of each list.</w:t>
      </w:r>
    </w:p>
    <w:p w14:paraId="16AB491E" w14:textId="1F6EABD0" w:rsidR="00224BD7" w:rsidRDefault="009B2F99" w:rsidP="006E0BC3">
      <w:pPr>
        <w:ind w:firstLine="567"/>
        <w:jc w:val="both"/>
        <w:rPr>
          <w:lang w:val="en-US"/>
        </w:rPr>
      </w:pPr>
      <w:r>
        <w:rPr>
          <w:lang w:val="en-US"/>
        </w:rPr>
        <w:t xml:space="preserve">The test </w:t>
      </w:r>
      <w:r w:rsidR="004730C6" w:rsidRPr="003874F9">
        <w:rPr>
          <w:lang w:val="en-US"/>
        </w:rPr>
        <w:t>showed a signi</w:t>
      </w:r>
      <w:r w:rsidR="004730C6">
        <w:rPr>
          <w:lang w:val="en-US"/>
        </w:rPr>
        <w:t xml:space="preserve">ficant main effect, </w:t>
      </w:r>
      <w:r w:rsidR="004730C6">
        <w:rPr>
          <w:i/>
          <w:iCs/>
          <w:lang w:val="en-US"/>
        </w:rPr>
        <w:t>F</w:t>
      </w:r>
      <w:r w:rsidR="004730C6">
        <w:rPr>
          <w:lang w:val="en-US"/>
        </w:rPr>
        <w:t xml:space="preserve">(1.65, 140.49) = 13.05, </w:t>
      </w:r>
      <w:r w:rsidR="004730C6">
        <w:rPr>
          <w:i/>
          <w:iCs/>
          <w:lang w:val="en-US"/>
        </w:rPr>
        <w:t>p</w:t>
      </w:r>
      <w:r w:rsidR="004730C6">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4730C6">
        <w:rPr>
          <w:lang w:val="en-US"/>
        </w:rPr>
        <w:t xml:space="preserve"> = .13</w:t>
      </w:r>
      <w:r w:rsidR="006E0BC3">
        <w:rPr>
          <w:lang w:val="en-US"/>
        </w:rPr>
        <w:t>, meaning that t</w:t>
      </w:r>
      <w:r w:rsidR="00012558">
        <w:rPr>
          <w:lang w:val="en-US"/>
        </w:rPr>
        <w:t>he concreteness effects remains</w:t>
      </w:r>
      <w:r w:rsidR="00B471BE">
        <w:rPr>
          <w:lang w:val="en-US"/>
        </w:rPr>
        <w:t xml:space="preserve"> </w:t>
      </w:r>
      <w:r w:rsidR="00025219">
        <w:rPr>
          <w:lang w:val="en-US"/>
        </w:rPr>
        <w:t>relevant independently of word position</w:t>
      </w:r>
      <w:r w:rsidR="00EC3D74">
        <w:rPr>
          <w:lang w:val="en-US"/>
        </w:rPr>
        <w:t xml:space="preserve">, </w:t>
      </w:r>
      <w:r w:rsidR="008048EA">
        <w:rPr>
          <w:lang w:val="en-US"/>
        </w:rPr>
        <w:t xml:space="preserve">separating it from primacy and recency effects </w:t>
      </w:r>
      <w:r w:rsidR="0025586B">
        <w:rPr>
          <w:lang w:val="en-US"/>
        </w:rPr>
        <w:t xml:space="preserve">and </w:t>
      </w:r>
      <w:r w:rsidR="00D87392">
        <w:rPr>
          <w:lang w:val="en-US"/>
        </w:rPr>
        <w:t>suggesting</w:t>
      </w:r>
      <w:r w:rsidR="0025586B">
        <w:rPr>
          <w:lang w:val="en-US"/>
        </w:rPr>
        <w:t xml:space="preserve"> its relevance for long term memory.</w:t>
      </w:r>
    </w:p>
    <w:p w14:paraId="521392E7" w14:textId="0A037057" w:rsidR="004730C6" w:rsidRDefault="00FC7FB2" w:rsidP="00FC7FB2">
      <w:pPr>
        <w:pStyle w:val="Overskrift2"/>
        <w:rPr>
          <w:rStyle w:val="eop"/>
          <w:lang w:val="en-US"/>
        </w:rPr>
      </w:pPr>
      <w:r w:rsidRPr="00DB623B">
        <w:rPr>
          <w:rStyle w:val="eop"/>
          <w:lang w:val="en-US"/>
        </w:rPr>
        <w:t>Primacy and recency effects prove significant</w:t>
      </w:r>
    </w:p>
    <w:p w14:paraId="40F96B82" w14:textId="21579444" w:rsidR="00F11AF3" w:rsidRPr="00F11AF3" w:rsidRDefault="00F11AF3" w:rsidP="00F11AF3">
      <w:pPr>
        <w:jc w:val="both"/>
        <w:rPr>
          <w:color w:val="000000"/>
          <w:shd w:val="clear" w:color="auto" w:fill="FFFFFF"/>
          <w:lang w:val="en-US"/>
        </w:rPr>
      </w:pPr>
      <w:r w:rsidRPr="005B2141">
        <w:rPr>
          <w:rStyle w:val="eop"/>
          <w:color w:val="000000"/>
          <w:shd w:val="clear" w:color="auto" w:fill="FFFFFF"/>
          <w:lang w:val="en-US"/>
        </w:rPr>
        <w:t xml:space="preserve">Table 1 shows </w:t>
      </w:r>
      <w:r>
        <w:rPr>
          <w:rStyle w:val="eop"/>
          <w:color w:val="000000"/>
          <w:shd w:val="clear" w:color="auto" w:fill="FFFFFF"/>
          <w:lang w:val="en-US"/>
        </w:rPr>
        <w:t>the average probability of recall</w:t>
      </w:r>
      <w:r w:rsidR="000F6684">
        <w:rPr>
          <w:rStyle w:val="eop"/>
          <w:color w:val="000000"/>
          <w:shd w:val="clear" w:color="auto" w:fill="FFFFFF"/>
          <w:lang w:val="en-US"/>
        </w:rPr>
        <w:t xml:space="preserve"> </w:t>
      </w:r>
      <w:r>
        <w:rPr>
          <w:rStyle w:val="eop"/>
          <w:color w:val="000000"/>
          <w:shd w:val="clear" w:color="auto" w:fill="FFFFFF"/>
          <w:lang w:val="en-US"/>
        </w:rPr>
        <w:t>for the first two, middle four, and last two words,</w:t>
      </w:r>
      <w:r w:rsidR="00F369D5">
        <w:rPr>
          <w:rStyle w:val="eop"/>
          <w:color w:val="000000"/>
          <w:shd w:val="clear" w:color="auto" w:fill="FFFFFF"/>
          <w:lang w:val="en-US"/>
        </w:rPr>
        <w:t xml:space="preserve"> </w:t>
      </w:r>
      <w:r w:rsidRPr="00F369D5">
        <w:rPr>
          <w:rStyle w:val="eop"/>
          <w:shd w:val="clear" w:color="auto" w:fill="FFFFFF"/>
          <w:lang w:val="en-US"/>
        </w:rPr>
        <w:t>displaying the primacy effect for all lists and recency effects for all but the interference lists.</w:t>
      </w:r>
    </w:p>
    <w:tbl>
      <w:tblPr>
        <w:tblW w:w="8080" w:type="dxa"/>
        <w:jc w:val="center"/>
        <w:tblLayout w:type="fixed"/>
        <w:tblCellMar>
          <w:left w:w="70" w:type="dxa"/>
          <w:right w:w="70" w:type="dxa"/>
        </w:tblCellMar>
        <w:tblLook w:val="04A0" w:firstRow="1" w:lastRow="0" w:firstColumn="1" w:lastColumn="0" w:noHBand="0" w:noVBand="1"/>
      </w:tblPr>
      <w:tblGrid>
        <w:gridCol w:w="2268"/>
        <w:gridCol w:w="993"/>
        <w:gridCol w:w="664"/>
        <w:gridCol w:w="328"/>
        <w:gridCol w:w="567"/>
        <w:gridCol w:w="1417"/>
        <w:gridCol w:w="190"/>
        <w:gridCol w:w="661"/>
        <w:gridCol w:w="992"/>
      </w:tblGrid>
      <w:tr w:rsidR="0025371F" w:rsidRPr="00700BA5" w14:paraId="4960CEB5" w14:textId="77777777" w:rsidTr="00591703">
        <w:trPr>
          <w:trHeight w:val="645"/>
          <w:jc w:val="center"/>
        </w:trPr>
        <w:tc>
          <w:tcPr>
            <w:tcW w:w="8080" w:type="dxa"/>
            <w:gridSpan w:val="9"/>
            <w:tcBorders>
              <w:top w:val="nil"/>
              <w:left w:val="nil"/>
              <w:bottom w:val="single" w:sz="4" w:space="0" w:color="auto"/>
              <w:right w:val="nil"/>
            </w:tcBorders>
            <w:shd w:val="clear" w:color="auto" w:fill="auto"/>
            <w:vAlign w:val="bottom"/>
            <w:hideMark/>
          </w:tcPr>
          <w:p w14:paraId="1121665E" w14:textId="03EE8AC6" w:rsidR="0025371F" w:rsidRPr="00CB40D4" w:rsidRDefault="0025371F" w:rsidP="00C76CC3">
            <w:pPr>
              <w:spacing w:line="240" w:lineRule="auto"/>
              <w:rPr>
                <w:rFonts w:ascii="Calibri" w:hAnsi="Calibri" w:cs="Calibri"/>
                <w:color w:val="000000"/>
                <w:sz w:val="22"/>
                <w:szCs w:val="22"/>
                <w:lang w:val="en-US"/>
              </w:rPr>
            </w:pPr>
            <w:r w:rsidRPr="00CB40D4">
              <w:rPr>
                <w:rFonts w:ascii="Calibri" w:hAnsi="Calibri" w:cs="Calibri"/>
                <w:color w:val="000000"/>
                <w:sz w:val="22"/>
                <w:szCs w:val="22"/>
                <w:lang w:val="en-US"/>
              </w:rPr>
              <w:t>Table 1</w:t>
            </w:r>
            <w:r w:rsidRPr="00CB40D4">
              <w:rPr>
                <w:rFonts w:ascii="Calibri" w:hAnsi="Calibri" w:cs="Calibri"/>
                <w:color w:val="000000"/>
                <w:sz w:val="22"/>
                <w:szCs w:val="22"/>
                <w:lang w:val="en-US"/>
              </w:rPr>
              <w:br/>
            </w:r>
            <w:r w:rsidRPr="00CB40D4">
              <w:rPr>
                <w:rFonts w:ascii="Calibri" w:hAnsi="Calibri" w:cs="Calibri"/>
                <w:i/>
                <w:color w:val="000000"/>
                <w:sz w:val="22"/>
                <w:szCs w:val="22"/>
                <w:lang w:val="en-US"/>
              </w:rPr>
              <w:t>Average probability of recall for each list type for select word positions</w:t>
            </w:r>
            <w:r w:rsidRPr="00CB40D4">
              <w:rPr>
                <w:rFonts w:ascii="Calibri" w:hAnsi="Calibri" w:cs="Calibri"/>
                <w:i/>
                <w:iCs/>
                <w:color w:val="000000"/>
                <w:sz w:val="22"/>
                <w:szCs w:val="22"/>
                <w:lang w:val="en-US"/>
              </w:rPr>
              <w:t>.</w:t>
            </w:r>
          </w:p>
        </w:tc>
      </w:tr>
      <w:tr w:rsidR="0025371F" w:rsidRPr="00CB40D4" w14:paraId="4D22DBD5" w14:textId="77777777" w:rsidTr="00591703">
        <w:trPr>
          <w:trHeight w:val="288"/>
          <w:jc w:val="center"/>
        </w:trPr>
        <w:tc>
          <w:tcPr>
            <w:tcW w:w="2268" w:type="dxa"/>
            <w:tcBorders>
              <w:top w:val="nil"/>
              <w:left w:val="nil"/>
              <w:bottom w:val="nil"/>
              <w:right w:val="nil"/>
            </w:tcBorders>
            <w:shd w:val="clear" w:color="auto" w:fill="auto"/>
            <w:noWrap/>
            <w:vAlign w:val="bottom"/>
            <w:hideMark/>
          </w:tcPr>
          <w:p w14:paraId="21E6D630" w14:textId="77777777" w:rsidR="0025371F" w:rsidRPr="00CB40D4" w:rsidRDefault="0025371F" w:rsidP="00145CD8">
            <w:pPr>
              <w:spacing w:line="240" w:lineRule="auto"/>
              <w:jc w:val="both"/>
              <w:rPr>
                <w:rFonts w:ascii="Calibri" w:hAnsi="Calibri" w:cs="Calibri"/>
                <w:color w:val="000000"/>
                <w:sz w:val="22"/>
                <w:szCs w:val="22"/>
                <w:lang w:val="en-US"/>
              </w:rPr>
            </w:pPr>
          </w:p>
        </w:tc>
        <w:tc>
          <w:tcPr>
            <w:tcW w:w="1657" w:type="dxa"/>
            <w:gridSpan w:val="2"/>
            <w:tcBorders>
              <w:top w:val="nil"/>
              <w:left w:val="nil"/>
              <w:bottom w:val="single" w:sz="4" w:space="0" w:color="auto"/>
              <w:right w:val="nil"/>
            </w:tcBorders>
            <w:shd w:val="clear" w:color="auto" w:fill="auto"/>
            <w:noWrap/>
            <w:vAlign w:val="bottom"/>
            <w:hideMark/>
          </w:tcPr>
          <w:p w14:paraId="2FB3C083"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First Two Words</w:t>
            </w:r>
          </w:p>
        </w:tc>
        <w:tc>
          <w:tcPr>
            <w:tcW w:w="328" w:type="dxa"/>
            <w:tcBorders>
              <w:top w:val="nil"/>
              <w:left w:val="nil"/>
              <w:bottom w:val="nil"/>
              <w:right w:val="nil"/>
            </w:tcBorders>
            <w:shd w:val="clear" w:color="auto" w:fill="auto"/>
            <w:noWrap/>
            <w:vAlign w:val="bottom"/>
            <w:hideMark/>
          </w:tcPr>
          <w:p w14:paraId="1DED2999" w14:textId="77777777" w:rsidR="0025371F" w:rsidRPr="00CB40D4" w:rsidRDefault="0025371F" w:rsidP="00145CD8">
            <w:pPr>
              <w:spacing w:line="240" w:lineRule="auto"/>
              <w:jc w:val="both"/>
              <w:rPr>
                <w:rFonts w:ascii="Calibri" w:hAnsi="Calibri" w:cs="Calibri"/>
                <w:color w:val="000000"/>
                <w:sz w:val="22"/>
                <w:szCs w:val="22"/>
              </w:rPr>
            </w:pPr>
          </w:p>
        </w:tc>
        <w:tc>
          <w:tcPr>
            <w:tcW w:w="1984" w:type="dxa"/>
            <w:gridSpan w:val="2"/>
            <w:tcBorders>
              <w:top w:val="nil"/>
              <w:left w:val="nil"/>
              <w:bottom w:val="single" w:sz="4" w:space="0" w:color="auto"/>
              <w:right w:val="nil"/>
            </w:tcBorders>
            <w:shd w:val="clear" w:color="auto" w:fill="auto"/>
            <w:noWrap/>
            <w:vAlign w:val="bottom"/>
            <w:hideMark/>
          </w:tcPr>
          <w:p w14:paraId="2E619B6A"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Middle Four Words</w:t>
            </w:r>
          </w:p>
        </w:tc>
        <w:tc>
          <w:tcPr>
            <w:tcW w:w="190" w:type="dxa"/>
            <w:tcBorders>
              <w:top w:val="nil"/>
              <w:left w:val="nil"/>
              <w:bottom w:val="nil"/>
              <w:right w:val="nil"/>
            </w:tcBorders>
            <w:shd w:val="clear" w:color="auto" w:fill="auto"/>
            <w:noWrap/>
            <w:vAlign w:val="bottom"/>
            <w:hideMark/>
          </w:tcPr>
          <w:p w14:paraId="7193FA43" w14:textId="77777777" w:rsidR="0025371F" w:rsidRPr="00CB40D4" w:rsidRDefault="0025371F" w:rsidP="00145CD8">
            <w:pPr>
              <w:spacing w:line="240" w:lineRule="auto"/>
              <w:jc w:val="both"/>
              <w:rPr>
                <w:rFonts w:ascii="Calibri" w:hAnsi="Calibri" w:cs="Calibri"/>
                <w:color w:val="000000"/>
                <w:sz w:val="22"/>
                <w:szCs w:val="22"/>
              </w:rPr>
            </w:pPr>
          </w:p>
        </w:tc>
        <w:tc>
          <w:tcPr>
            <w:tcW w:w="1653" w:type="dxa"/>
            <w:gridSpan w:val="2"/>
            <w:tcBorders>
              <w:top w:val="nil"/>
              <w:left w:val="nil"/>
              <w:bottom w:val="single" w:sz="4" w:space="0" w:color="auto"/>
              <w:right w:val="nil"/>
            </w:tcBorders>
            <w:shd w:val="clear" w:color="auto" w:fill="auto"/>
            <w:noWrap/>
            <w:vAlign w:val="bottom"/>
            <w:hideMark/>
          </w:tcPr>
          <w:p w14:paraId="54F4C47D"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Last Two Words</w:t>
            </w:r>
          </w:p>
        </w:tc>
      </w:tr>
      <w:tr w:rsidR="0025371F" w:rsidRPr="00CB40D4" w14:paraId="3FFA2B50" w14:textId="77777777" w:rsidTr="00591703">
        <w:trPr>
          <w:trHeight w:val="288"/>
          <w:jc w:val="center"/>
        </w:trPr>
        <w:tc>
          <w:tcPr>
            <w:tcW w:w="2268" w:type="dxa"/>
            <w:tcBorders>
              <w:top w:val="nil"/>
              <w:left w:val="nil"/>
              <w:bottom w:val="single" w:sz="4" w:space="0" w:color="auto"/>
              <w:right w:val="nil"/>
            </w:tcBorders>
            <w:shd w:val="clear" w:color="auto" w:fill="auto"/>
            <w:noWrap/>
            <w:vAlign w:val="bottom"/>
            <w:hideMark/>
          </w:tcPr>
          <w:p w14:paraId="4D584DD9"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Word list</w:t>
            </w:r>
          </w:p>
        </w:tc>
        <w:tc>
          <w:tcPr>
            <w:tcW w:w="993" w:type="dxa"/>
            <w:tcBorders>
              <w:top w:val="nil"/>
              <w:left w:val="nil"/>
              <w:bottom w:val="single" w:sz="4" w:space="0" w:color="auto"/>
              <w:right w:val="nil"/>
            </w:tcBorders>
            <w:shd w:val="clear" w:color="auto" w:fill="auto"/>
            <w:noWrap/>
            <w:vAlign w:val="bottom"/>
            <w:hideMark/>
          </w:tcPr>
          <w:p w14:paraId="4FAF6502"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M</w:t>
            </w:r>
          </w:p>
        </w:tc>
        <w:tc>
          <w:tcPr>
            <w:tcW w:w="664" w:type="dxa"/>
            <w:tcBorders>
              <w:top w:val="nil"/>
              <w:left w:val="nil"/>
              <w:bottom w:val="single" w:sz="4" w:space="0" w:color="auto"/>
              <w:right w:val="nil"/>
            </w:tcBorders>
            <w:shd w:val="clear" w:color="auto" w:fill="auto"/>
            <w:noWrap/>
            <w:vAlign w:val="bottom"/>
            <w:hideMark/>
          </w:tcPr>
          <w:p w14:paraId="16C2DC24"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SD</w:t>
            </w:r>
          </w:p>
        </w:tc>
        <w:tc>
          <w:tcPr>
            <w:tcW w:w="328" w:type="dxa"/>
            <w:tcBorders>
              <w:top w:val="nil"/>
              <w:left w:val="nil"/>
              <w:bottom w:val="single" w:sz="4" w:space="0" w:color="auto"/>
              <w:right w:val="nil"/>
            </w:tcBorders>
            <w:shd w:val="clear" w:color="auto" w:fill="auto"/>
            <w:noWrap/>
            <w:vAlign w:val="bottom"/>
            <w:hideMark/>
          </w:tcPr>
          <w:p w14:paraId="4C83FF75" w14:textId="77777777" w:rsidR="0025371F" w:rsidRPr="00CB40D4" w:rsidRDefault="0025371F" w:rsidP="00145CD8">
            <w:pPr>
              <w:spacing w:line="240" w:lineRule="auto"/>
              <w:jc w:val="both"/>
              <w:rPr>
                <w:rFonts w:ascii="Calibri" w:hAnsi="Calibri" w:cs="Calibri"/>
                <w:i/>
                <w:iCs/>
                <w:color w:val="000000"/>
                <w:sz w:val="22"/>
                <w:szCs w:val="22"/>
              </w:rPr>
            </w:pPr>
          </w:p>
        </w:tc>
        <w:tc>
          <w:tcPr>
            <w:tcW w:w="567" w:type="dxa"/>
            <w:tcBorders>
              <w:top w:val="nil"/>
              <w:left w:val="nil"/>
              <w:bottom w:val="single" w:sz="4" w:space="0" w:color="auto"/>
              <w:right w:val="nil"/>
            </w:tcBorders>
            <w:shd w:val="clear" w:color="auto" w:fill="auto"/>
            <w:noWrap/>
            <w:vAlign w:val="bottom"/>
            <w:hideMark/>
          </w:tcPr>
          <w:p w14:paraId="7EEC160C"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M</w:t>
            </w:r>
          </w:p>
        </w:tc>
        <w:tc>
          <w:tcPr>
            <w:tcW w:w="1417" w:type="dxa"/>
            <w:tcBorders>
              <w:top w:val="nil"/>
              <w:left w:val="nil"/>
              <w:bottom w:val="single" w:sz="4" w:space="0" w:color="auto"/>
              <w:right w:val="nil"/>
            </w:tcBorders>
            <w:shd w:val="clear" w:color="auto" w:fill="auto"/>
            <w:noWrap/>
            <w:vAlign w:val="bottom"/>
            <w:hideMark/>
          </w:tcPr>
          <w:p w14:paraId="4216D5CD"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SD</w:t>
            </w:r>
          </w:p>
        </w:tc>
        <w:tc>
          <w:tcPr>
            <w:tcW w:w="190" w:type="dxa"/>
            <w:tcBorders>
              <w:top w:val="nil"/>
              <w:left w:val="nil"/>
              <w:bottom w:val="single" w:sz="4" w:space="0" w:color="auto"/>
              <w:right w:val="nil"/>
            </w:tcBorders>
            <w:shd w:val="clear" w:color="auto" w:fill="auto"/>
            <w:noWrap/>
            <w:vAlign w:val="bottom"/>
            <w:hideMark/>
          </w:tcPr>
          <w:p w14:paraId="0114F4AA" w14:textId="77777777" w:rsidR="0025371F" w:rsidRPr="00CB40D4" w:rsidRDefault="0025371F" w:rsidP="00145CD8">
            <w:pPr>
              <w:spacing w:line="240" w:lineRule="auto"/>
              <w:jc w:val="both"/>
              <w:rPr>
                <w:rFonts w:ascii="Calibri" w:hAnsi="Calibri" w:cs="Calibri"/>
                <w:i/>
                <w:iCs/>
                <w:color w:val="000000"/>
                <w:sz w:val="22"/>
                <w:szCs w:val="22"/>
              </w:rPr>
            </w:pPr>
          </w:p>
        </w:tc>
        <w:tc>
          <w:tcPr>
            <w:tcW w:w="661" w:type="dxa"/>
            <w:tcBorders>
              <w:top w:val="nil"/>
              <w:left w:val="nil"/>
              <w:bottom w:val="single" w:sz="4" w:space="0" w:color="auto"/>
              <w:right w:val="nil"/>
            </w:tcBorders>
            <w:shd w:val="clear" w:color="auto" w:fill="auto"/>
            <w:noWrap/>
            <w:vAlign w:val="bottom"/>
            <w:hideMark/>
          </w:tcPr>
          <w:p w14:paraId="1BFAD369"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M</w:t>
            </w:r>
          </w:p>
        </w:tc>
        <w:tc>
          <w:tcPr>
            <w:tcW w:w="992" w:type="dxa"/>
            <w:tcBorders>
              <w:top w:val="nil"/>
              <w:left w:val="nil"/>
              <w:bottom w:val="single" w:sz="4" w:space="0" w:color="auto"/>
              <w:right w:val="nil"/>
            </w:tcBorders>
            <w:shd w:val="clear" w:color="auto" w:fill="auto"/>
            <w:noWrap/>
            <w:vAlign w:val="bottom"/>
            <w:hideMark/>
          </w:tcPr>
          <w:p w14:paraId="008D18B9" w14:textId="77777777" w:rsidR="0025371F" w:rsidRPr="00CB40D4" w:rsidRDefault="0025371F" w:rsidP="00145CD8">
            <w:pPr>
              <w:spacing w:line="240" w:lineRule="auto"/>
              <w:jc w:val="both"/>
              <w:rPr>
                <w:rFonts w:ascii="Calibri" w:hAnsi="Calibri" w:cs="Calibri"/>
                <w:i/>
                <w:iCs/>
                <w:color w:val="000000"/>
                <w:sz w:val="22"/>
                <w:szCs w:val="22"/>
              </w:rPr>
            </w:pPr>
            <w:r w:rsidRPr="00CB40D4">
              <w:rPr>
                <w:rFonts w:ascii="Calibri" w:hAnsi="Calibri" w:cs="Calibri"/>
                <w:i/>
                <w:iCs/>
                <w:color w:val="000000"/>
                <w:sz w:val="22"/>
                <w:szCs w:val="22"/>
              </w:rPr>
              <w:t>SD</w:t>
            </w:r>
          </w:p>
        </w:tc>
      </w:tr>
      <w:tr w:rsidR="0025371F" w:rsidRPr="00CB40D4" w14:paraId="5FFA2F8C" w14:textId="77777777" w:rsidTr="00591703">
        <w:trPr>
          <w:trHeight w:val="288"/>
          <w:jc w:val="center"/>
        </w:trPr>
        <w:tc>
          <w:tcPr>
            <w:tcW w:w="2268" w:type="dxa"/>
            <w:tcBorders>
              <w:top w:val="nil"/>
              <w:left w:val="nil"/>
              <w:bottom w:val="nil"/>
              <w:right w:val="nil"/>
            </w:tcBorders>
            <w:shd w:val="clear" w:color="auto" w:fill="auto"/>
            <w:noWrap/>
            <w:vAlign w:val="bottom"/>
            <w:hideMark/>
          </w:tcPr>
          <w:p w14:paraId="7B5C83CC"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Concrete Lists</w:t>
            </w:r>
          </w:p>
        </w:tc>
        <w:tc>
          <w:tcPr>
            <w:tcW w:w="993" w:type="dxa"/>
            <w:tcBorders>
              <w:top w:val="nil"/>
              <w:left w:val="nil"/>
              <w:bottom w:val="nil"/>
              <w:right w:val="nil"/>
            </w:tcBorders>
            <w:shd w:val="clear" w:color="auto" w:fill="auto"/>
            <w:noWrap/>
            <w:vAlign w:val="bottom"/>
            <w:hideMark/>
          </w:tcPr>
          <w:p w14:paraId="2739341A"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0.75</w:t>
            </w:r>
          </w:p>
        </w:tc>
        <w:tc>
          <w:tcPr>
            <w:tcW w:w="664" w:type="dxa"/>
            <w:tcBorders>
              <w:top w:val="nil"/>
              <w:left w:val="nil"/>
              <w:bottom w:val="nil"/>
              <w:right w:val="nil"/>
            </w:tcBorders>
            <w:shd w:val="clear" w:color="auto" w:fill="auto"/>
            <w:noWrap/>
            <w:vAlign w:val="bottom"/>
            <w:hideMark/>
          </w:tcPr>
          <w:p w14:paraId="5890A12F"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(0.22)</w:t>
            </w:r>
          </w:p>
        </w:tc>
        <w:tc>
          <w:tcPr>
            <w:tcW w:w="328" w:type="dxa"/>
            <w:tcBorders>
              <w:top w:val="nil"/>
              <w:left w:val="nil"/>
              <w:bottom w:val="nil"/>
              <w:right w:val="nil"/>
            </w:tcBorders>
            <w:shd w:val="clear" w:color="auto" w:fill="auto"/>
            <w:noWrap/>
            <w:vAlign w:val="bottom"/>
            <w:hideMark/>
          </w:tcPr>
          <w:p w14:paraId="3F847CD0" w14:textId="77777777" w:rsidR="0025371F" w:rsidRPr="00CB40D4" w:rsidRDefault="0025371F" w:rsidP="00145CD8">
            <w:pPr>
              <w:spacing w:line="240" w:lineRule="auto"/>
              <w:jc w:val="both"/>
              <w:rPr>
                <w:rFonts w:ascii="Calibri" w:hAnsi="Calibri" w:cs="Calibri"/>
                <w:color w:val="000000"/>
                <w:sz w:val="22"/>
                <w:szCs w:val="22"/>
              </w:rPr>
            </w:pPr>
          </w:p>
        </w:tc>
        <w:tc>
          <w:tcPr>
            <w:tcW w:w="567" w:type="dxa"/>
            <w:tcBorders>
              <w:top w:val="nil"/>
              <w:left w:val="nil"/>
              <w:bottom w:val="nil"/>
              <w:right w:val="nil"/>
            </w:tcBorders>
            <w:shd w:val="clear" w:color="auto" w:fill="auto"/>
            <w:noWrap/>
            <w:vAlign w:val="bottom"/>
            <w:hideMark/>
          </w:tcPr>
          <w:p w14:paraId="58B51140"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0.38</w:t>
            </w:r>
          </w:p>
        </w:tc>
        <w:tc>
          <w:tcPr>
            <w:tcW w:w="1417" w:type="dxa"/>
            <w:tcBorders>
              <w:top w:val="nil"/>
              <w:left w:val="nil"/>
              <w:bottom w:val="nil"/>
              <w:right w:val="nil"/>
            </w:tcBorders>
            <w:shd w:val="clear" w:color="auto" w:fill="auto"/>
            <w:noWrap/>
            <w:vAlign w:val="bottom"/>
            <w:hideMark/>
          </w:tcPr>
          <w:p w14:paraId="3563AE59"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(0.20)</w:t>
            </w:r>
          </w:p>
        </w:tc>
        <w:tc>
          <w:tcPr>
            <w:tcW w:w="190" w:type="dxa"/>
            <w:tcBorders>
              <w:top w:val="nil"/>
              <w:left w:val="nil"/>
              <w:bottom w:val="nil"/>
              <w:right w:val="nil"/>
            </w:tcBorders>
            <w:shd w:val="clear" w:color="auto" w:fill="auto"/>
            <w:noWrap/>
            <w:vAlign w:val="bottom"/>
            <w:hideMark/>
          </w:tcPr>
          <w:p w14:paraId="4C246DF7" w14:textId="77777777" w:rsidR="0025371F" w:rsidRPr="00CB40D4" w:rsidRDefault="0025371F" w:rsidP="00145CD8">
            <w:pPr>
              <w:spacing w:line="240" w:lineRule="auto"/>
              <w:jc w:val="both"/>
              <w:rPr>
                <w:rFonts w:ascii="Calibri" w:hAnsi="Calibri" w:cs="Calibri"/>
                <w:color w:val="000000"/>
                <w:sz w:val="22"/>
                <w:szCs w:val="22"/>
              </w:rPr>
            </w:pPr>
          </w:p>
        </w:tc>
        <w:tc>
          <w:tcPr>
            <w:tcW w:w="661" w:type="dxa"/>
            <w:tcBorders>
              <w:top w:val="nil"/>
              <w:left w:val="nil"/>
              <w:bottom w:val="nil"/>
              <w:right w:val="nil"/>
            </w:tcBorders>
            <w:shd w:val="clear" w:color="auto" w:fill="auto"/>
            <w:noWrap/>
            <w:vAlign w:val="bottom"/>
            <w:hideMark/>
          </w:tcPr>
          <w:p w14:paraId="2C9B6A35"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0.73</w:t>
            </w:r>
          </w:p>
        </w:tc>
        <w:tc>
          <w:tcPr>
            <w:tcW w:w="992" w:type="dxa"/>
            <w:tcBorders>
              <w:top w:val="nil"/>
              <w:left w:val="nil"/>
              <w:bottom w:val="nil"/>
              <w:right w:val="nil"/>
            </w:tcBorders>
            <w:shd w:val="clear" w:color="auto" w:fill="auto"/>
            <w:noWrap/>
            <w:vAlign w:val="bottom"/>
            <w:hideMark/>
          </w:tcPr>
          <w:p w14:paraId="6146460C"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(0.22)</w:t>
            </w:r>
          </w:p>
        </w:tc>
      </w:tr>
      <w:tr w:rsidR="0025371F" w:rsidRPr="00CB40D4" w14:paraId="7980BB5D" w14:textId="77777777" w:rsidTr="00591703">
        <w:trPr>
          <w:trHeight w:val="288"/>
          <w:jc w:val="center"/>
        </w:trPr>
        <w:tc>
          <w:tcPr>
            <w:tcW w:w="2268" w:type="dxa"/>
            <w:tcBorders>
              <w:top w:val="nil"/>
              <w:left w:val="nil"/>
              <w:bottom w:val="nil"/>
              <w:right w:val="nil"/>
            </w:tcBorders>
            <w:shd w:val="clear" w:color="auto" w:fill="auto"/>
            <w:noWrap/>
            <w:vAlign w:val="bottom"/>
            <w:hideMark/>
          </w:tcPr>
          <w:p w14:paraId="1BFEEAFF"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Abstract Lists</w:t>
            </w:r>
          </w:p>
        </w:tc>
        <w:tc>
          <w:tcPr>
            <w:tcW w:w="993" w:type="dxa"/>
            <w:tcBorders>
              <w:top w:val="nil"/>
              <w:left w:val="nil"/>
              <w:bottom w:val="nil"/>
              <w:right w:val="nil"/>
            </w:tcBorders>
            <w:shd w:val="clear" w:color="auto" w:fill="auto"/>
            <w:noWrap/>
            <w:vAlign w:val="bottom"/>
            <w:hideMark/>
          </w:tcPr>
          <w:p w14:paraId="1D8A0A03"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0.61</w:t>
            </w:r>
          </w:p>
        </w:tc>
        <w:tc>
          <w:tcPr>
            <w:tcW w:w="664" w:type="dxa"/>
            <w:tcBorders>
              <w:top w:val="nil"/>
              <w:left w:val="nil"/>
              <w:bottom w:val="nil"/>
              <w:right w:val="nil"/>
            </w:tcBorders>
            <w:shd w:val="clear" w:color="auto" w:fill="auto"/>
            <w:noWrap/>
            <w:vAlign w:val="bottom"/>
            <w:hideMark/>
          </w:tcPr>
          <w:p w14:paraId="53AED29B"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(0.23)</w:t>
            </w:r>
          </w:p>
        </w:tc>
        <w:tc>
          <w:tcPr>
            <w:tcW w:w="328" w:type="dxa"/>
            <w:tcBorders>
              <w:top w:val="nil"/>
              <w:left w:val="nil"/>
              <w:bottom w:val="nil"/>
              <w:right w:val="nil"/>
            </w:tcBorders>
            <w:shd w:val="clear" w:color="auto" w:fill="auto"/>
            <w:noWrap/>
            <w:vAlign w:val="bottom"/>
            <w:hideMark/>
          </w:tcPr>
          <w:p w14:paraId="74D26304" w14:textId="77777777" w:rsidR="0025371F" w:rsidRPr="00CB40D4" w:rsidRDefault="0025371F" w:rsidP="00145CD8">
            <w:pPr>
              <w:spacing w:line="240" w:lineRule="auto"/>
              <w:jc w:val="both"/>
              <w:rPr>
                <w:rFonts w:ascii="Calibri" w:hAnsi="Calibri" w:cs="Calibri"/>
                <w:color w:val="000000"/>
                <w:sz w:val="22"/>
                <w:szCs w:val="22"/>
              </w:rPr>
            </w:pPr>
          </w:p>
        </w:tc>
        <w:tc>
          <w:tcPr>
            <w:tcW w:w="567" w:type="dxa"/>
            <w:tcBorders>
              <w:top w:val="nil"/>
              <w:left w:val="nil"/>
              <w:bottom w:val="nil"/>
              <w:right w:val="nil"/>
            </w:tcBorders>
            <w:shd w:val="clear" w:color="auto" w:fill="auto"/>
            <w:noWrap/>
            <w:vAlign w:val="bottom"/>
            <w:hideMark/>
          </w:tcPr>
          <w:p w14:paraId="462D8112"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0.27</w:t>
            </w:r>
          </w:p>
        </w:tc>
        <w:tc>
          <w:tcPr>
            <w:tcW w:w="1417" w:type="dxa"/>
            <w:tcBorders>
              <w:top w:val="nil"/>
              <w:left w:val="nil"/>
              <w:bottom w:val="nil"/>
              <w:right w:val="nil"/>
            </w:tcBorders>
            <w:shd w:val="clear" w:color="auto" w:fill="auto"/>
            <w:noWrap/>
            <w:vAlign w:val="bottom"/>
            <w:hideMark/>
          </w:tcPr>
          <w:p w14:paraId="5ABD69AD"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(0.17)</w:t>
            </w:r>
          </w:p>
        </w:tc>
        <w:tc>
          <w:tcPr>
            <w:tcW w:w="190" w:type="dxa"/>
            <w:tcBorders>
              <w:top w:val="nil"/>
              <w:left w:val="nil"/>
              <w:bottom w:val="nil"/>
              <w:right w:val="nil"/>
            </w:tcBorders>
            <w:shd w:val="clear" w:color="auto" w:fill="auto"/>
            <w:noWrap/>
            <w:vAlign w:val="bottom"/>
            <w:hideMark/>
          </w:tcPr>
          <w:p w14:paraId="2F8BFF65" w14:textId="77777777" w:rsidR="0025371F" w:rsidRPr="00CB40D4" w:rsidRDefault="0025371F" w:rsidP="00145CD8">
            <w:pPr>
              <w:spacing w:line="240" w:lineRule="auto"/>
              <w:jc w:val="both"/>
              <w:rPr>
                <w:rFonts w:ascii="Calibri" w:hAnsi="Calibri" w:cs="Calibri"/>
                <w:color w:val="000000"/>
                <w:sz w:val="22"/>
                <w:szCs w:val="22"/>
              </w:rPr>
            </w:pPr>
          </w:p>
        </w:tc>
        <w:tc>
          <w:tcPr>
            <w:tcW w:w="661" w:type="dxa"/>
            <w:tcBorders>
              <w:top w:val="nil"/>
              <w:left w:val="nil"/>
              <w:bottom w:val="nil"/>
              <w:right w:val="nil"/>
            </w:tcBorders>
            <w:shd w:val="clear" w:color="auto" w:fill="auto"/>
            <w:noWrap/>
            <w:vAlign w:val="bottom"/>
            <w:hideMark/>
          </w:tcPr>
          <w:p w14:paraId="28D18E99"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0.77</w:t>
            </w:r>
          </w:p>
        </w:tc>
        <w:tc>
          <w:tcPr>
            <w:tcW w:w="992" w:type="dxa"/>
            <w:tcBorders>
              <w:top w:val="nil"/>
              <w:left w:val="nil"/>
              <w:bottom w:val="nil"/>
              <w:right w:val="nil"/>
            </w:tcBorders>
            <w:shd w:val="clear" w:color="auto" w:fill="auto"/>
            <w:noWrap/>
            <w:vAlign w:val="bottom"/>
            <w:hideMark/>
          </w:tcPr>
          <w:p w14:paraId="0A58534F"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(0.23)</w:t>
            </w:r>
          </w:p>
        </w:tc>
      </w:tr>
      <w:tr w:rsidR="0025371F" w:rsidRPr="00CB40D4" w14:paraId="18DF9582" w14:textId="77777777" w:rsidTr="00591703">
        <w:trPr>
          <w:trHeight w:val="288"/>
          <w:jc w:val="center"/>
        </w:trPr>
        <w:tc>
          <w:tcPr>
            <w:tcW w:w="2268" w:type="dxa"/>
            <w:tcBorders>
              <w:top w:val="nil"/>
              <w:left w:val="nil"/>
              <w:bottom w:val="single" w:sz="4" w:space="0" w:color="auto"/>
              <w:right w:val="nil"/>
            </w:tcBorders>
            <w:shd w:val="clear" w:color="auto" w:fill="auto"/>
            <w:noWrap/>
            <w:vAlign w:val="bottom"/>
            <w:hideMark/>
          </w:tcPr>
          <w:p w14:paraId="5AA0CB6E"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Interference Lists</w:t>
            </w:r>
          </w:p>
        </w:tc>
        <w:tc>
          <w:tcPr>
            <w:tcW w:w="993" w:type="dxa"/>
            <w:tcBorders>
              <w:top w:val="nil"/>
              <w:left w:val="nil"/>
              <w:bottom w:val="single" w:sz="4" w:space="0" w:color="auto"/>
              <w:right w:val="nil"/>
            </w:tcBorders>
            <w:shd w:val="clear" w:color="auto" w:fill="auto"/>
            <w:noWrap/>
            <w:vAlign w:val="bottom"/>
            <w:hideMark/>
          </w:tcPr>
          <w:p w14:paraId="65A9237C"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0.78</w:t>
            </w:r>
          </w:p>
        </w:tc>
        <w:tc>
          <w:tcPr>
            <w:tcW w:w="664" w:type="dxa"/>
            <w:tcBorders>
              <w:top w:val="nil"/>
              <w:left w:val="nil"/>
              <w:bottom w:val="single" w:sz="4" w:space="0" w:color="auto"/>
              <w:right w:val="nil"/>
            </w:tcBorders>
            <w:shd w:val="clear" w:color="auto" w:fill="auto"/>
            <w:noWrap/>
            <w:vAlign w:val="bottom"/>
            <w:hideMark/>
          </w:tcPr>
          <w:p w14:paraId="24C334CC"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(0.33)</w:t>
            </w:r>
          </w:p>
        </w:tc>
        <w:tc>
          <w:tcPr>
            <w:tcW w:w="328" w:type="dxa"/>
            <w:tcBorders>
              <w:top w:val="nil"/>
              <w:left w:val="nil"/>
              <w:bottom w:val="single" w:sz="4" w:space="0" w:color="auto"/>
              <w:right w:val="nil"/>
            </w:tcBorders>
            <w:shd w:val="clear" w:color="auto" w:fill="auto"/>
            <w:noWrap/>
            <w:vAlign w:val="bottom"/>
            <w:hideMark/>
          </w:tcPr>
          <w:p w14:paraId="6FCD4D66" w14:textId="77777777" w:rsidR="0025371F" w:rsidRPr="00CB40D4" w:rsidRDefault="0025371F" w:rsidP="00145CD8">
            <w:pPr>
              <w:spacing w:line="240" w:lineRule="auto"/>
              <w:jc w:val="both"/>
              <w:rPr>
                <w:rFonts w:ascii="Calibri" w:hAnsi="Calibri" w:cs="Calibri"/>
                <w:color w:val="000000"/>
                <w:sz w:val="22"/>
                <w:szCs w:val="22"/>
              </w:rPr>
            </w:pPr>
          </w:p>
        </w:tc>
        <w:tc>
          <w:tcPr>
            <w:tcW w:w="567" w:type="dxa"/>
            <w:tcBorders>
              <w:top w:val="nil"/>
              <w:left w:val="nil"/>
              <w:bottom w:val="single" w:sz="4" w:space="0" w:color="auto"/>
              <w:right w:val="nil"/>
            </w:tcBorders>
            <w:shd w:val="clear" w:color="auto" w:fill="auto"/>
            <w:noWrap/>
            <w:vAlign w:val="bottom"/>
            <w:hideMark/>
          </w:tcPr>
          <w:p w14:paraId="321F3359"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0.32</w:t>
            </w:r>
          </w:p>
        </w:tc>
        <w:tc>
          <w:tcPr>
            <w:tcW w:w="1417" w:type="dxa"/>
            <w:tcBorders>
              <w:top w:val="nil"/>
              <w:left w:val="nil"/>
              <w:bottom w:val="single" w:sz="4" w:space="0" w:color="auto"/>
              <w:right w:val="nil"/>
            </w:tcBorders>
            <w:shd w:val="clear" w:color="auto" w:fill="auto"/>
            <w:noWrap/>
            <w:vAlign w:val="bottom"/>
            <w:hideMark/>
          </w:tcPr>
          <w:p w14:paraId="7201A962"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(0.30)</w:t>
            </w:r>
          </w:p>
        </w:tc>
        <w:tc>
          <w:tcPr>
            <w:tcW w:w="190" w:type="dxa"/>
            <w:tcBorders>
              <w:top w:val="nil"/>
              <w:left w:val="nil"/>
              <w:bottom w:val="single" w:sz="4" w:space="0" w:color="auto"/>
              <w:right w:val="nil"/>
            </w:tcBorders>
            <w:shd w:val="clear" w:color="auto" w:fill="auto"/>
            <w:noWrap/>
            <w:vAlign w:val="bottom"/>
            <w:hideMark/>
          </w:tcPr>
          <w:p w14:paraId="44CBFC74" w14:textId="77777777" w:rsidR="0025371F" w:rsidRPr="00CB40D4" w:rsidRDefault="0025371F" w:rsidP="00145CD8">
            <w:pPr>
              <w:spacing w:line="240" w:lineRule="auto"/>
              <w:jc w:val="both"/>
              <w:rPr>
                <w:rFonts w:ascii="Calibri" w:hAnsi="Calibri" w:cs="Calibri"/>
                <w:color w:val="000000"/>
                <w:sz w:val="22"/>
                <w:szCs w:val="22"/>
              </w:rPr>
            </w:pPr>
          </w:p>
        </w:tc>
        <w:tc>
          <w:tcPr>
            <w:tcW w:w="661" w:type="dxa"/>
            <w:tcBorders>
              <w:top w:val="nil"/>
              <w:left w:val="nil"/>
              <w:bottom w:val="single" w:sz="4" w:space="0" w:color="auto"/>
              <w:right w:val="nil"/>
            </w:tcBorders>
            <w:shd w:val="clear" w:color="auto" w:fill="auto"/>
            <w:noWrap/>
            <w:vAlign w:val="bottom"/>
            <w:hideMark/>
          </w:tcPr>
          <w:p w14:paraId="60A0BEB0"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0.34</w:t>
            </w:r>
          </w:p>
        </w:tc>
        <w:tc>
          <w:tcPr>
            <w:tcW w:w="992" w:type="dxa"/>
            <w:tcBorders>
              <w:top w:val="nil"/>
              <w:left w:val="nil"/>
              <w:bottom w:val="single" w:sz="4" w:space="0" w:color="auto"/>
              <w:right w:val="nil"/>
            </w:tcBorders>
            <w:shd w:val="clear" w:color="auto" w:fill="auto"/>
            <w:noWrap/>
            <w:vAlign w:val="bottom"/>
            <w:hideMark/>
          </w:tcPr>
          <w:p w14:paraId="11C049E5" w14:textId="77777777" w:rsidR="0025371F" w:rsidRPr="00CB40D4" w:rsidRDefault="0025371F" w:rsidP="00145CD8">
            <w:pPr>
              <w:spacing w:line="240" w:lineRule="auto"/>
              <w:jc w:val="both"/>
              <w:rPr>
                <w:rFonts w:ascii="Calibri" w:hAnsi="Calibri" w:cs="Calibri"/>
                <w:color w:val="000000"/>
                <w:sz w:val="22"/>
                <w:szCs w:val="22"/>
              </w:rPr>
            </w:pPr>
            <w:r w:rsidRPr="00CB40D4">
              <w:rPr>
                <w:rFonts w:ascii="Calibri" w:hAnsi="Calibri" w:cs="Calibri"/>
                <w:color w:val="000000"/>
                <w:sz w:val="22"/>
                <w:szCs w:val="22"/>
              </w:rPr>
              <w:t>(0.40)</w:t>
            </w:r>
          </w:p>
        </w:tc>
      </w:tr>
      <w:tr w:rsidR="0025371F" w:rsidRPr="00700BA5" w14:paraId="7D9A7AA4" w14:textId="77777777" w:rsidTr="00591703">
        <w:trPr>
          <w:trHeight w:val="288"/>
          <w:jc w:val="center"/>
        </w:trPr>
        <w:tc>
          <w:tcPr>
            <w:tcW w:w="4820" w:type="dxa"/>
            <w:gridSpan w:val="5"/>
            <w:tcBorders>
              <w:top w:val="nil"/>
              <w:left w:val="nil"/>
              <w:bottom w:val="nil"/>
              <w:right w:val="nil"/>
            </w:tcBorders>
            <w:shd w:val="clear" w:color="auto" w:fill="auto"/>
            <w:noWrap/>
            <w:vAlign w:val="bottom"/>
            <w:hideMark/>
          </w:tcPr>
          <w:p w14:paraId="5477625C" w14:textId="77777777" w:rsidR="0025371F" w:rsidRPr="00423ECF" w:rsidRDefault="0025371F" w:rsidP="00145CD8">
            <w:pPr>
              <w:spacing w:line="240" w:lineRule="auto"/>
              <w:jc w:val="both"/>
              <w:rPr>
                <w:rFonts w:ascii="Calibri" w:hAnsi="Calibri" w:cs="Calibri"/>
                <w:color w:val="000000"/>
                <w:sz w:val="18"/>
                <w:szCs w:val="18"/>
                <w:lang w:val="en-US"/>
              </w:rPr>
            </w:pPr>
            <w:r w:rsidRPr="00CB04E2">
              <w:rPr>
                <w:rFonts w:ascii="Calibri" w:hAnsi="Calibri" w:cs="Calibri"/>
                <w:i/>
                <w:iCs/>
                <w:color w:val="000000"/>
                <w:sz w:val="18"/>
                <w:szCs w:val="18"/>
                <w:lang w:val="en-US"/>
              </w:rPr>
              <w:t>Note</w:t>
            </w:r>
            <w:r w:rsidRPr="00CB04E2">
              <w:rPr>
                <w:rFonts w:ascii="Calibri" w:hAnsi="Calibri" w:cs="Calibri"/>
                <w:color w:val="000000"/>
                <w:sz w:val="18"/>
                <w:szCs w:val="18"/>
                <w:lang w:val="en-US"/>
              </w:rPr>
              <w:t>. Recall is shown as mean probability</w:t>
            </w:r>
          </w:p>
        </w:tc>
        <w:tc>
          <w:tcPr>
            <w:tcW w:w="1417" w:type="dxa"/>
            <w:tcBorders>
              <w:top w:val="nil"/>
              <w:left w:val="nil"/>
              <w:bottom w:val="nil"/>
              <w:right w:val="nil"/>
            </w:tcBorders>
            <w:shd w:val="clear" w:color="auto" w:fill="auto"/>
            <w:noWrap/>
            <w:vAlign w:val="bottom"/>
            <w:hideMark/>
          </w:tcPr>
          <w:p w14:paraId="03053DDD" w14:textId="77777777" w:rsidR="0025371F" w:rsidRPr="00423ECF" w:rsidRDefault="0025371F" w:rsidP="00145CD8">
            <w:pPr>
              <w:spacing w:line="240" w:lineRule="auto"/>
              <w:jc w:val="both"/>
              <w:rPr>
                <w:rFonts w:ascii="Calibri" w:hAnsi="Calibri" w:cs="Calibri"/>
                <w:color w:val="000000"/>
                <w:sz w:val="18"/>
                <w:szCs w:val="18"/>
                <w:lang w:val="en-US"/>
              </w:rPr>
            </w:pPr>
          </w:p>
        </w:tc>
        <w:tc>
          <w:tcPr>
            <w:tcW w:w="190" w:type="dxa"/>
            <w:tcBorders>
              <w:top w:val="nil"/>
              <w:left w:val="nil"/>
              <w:bottom w:val="nil"/>
              <w:right w:val="nil"/>
            </w:tcBorders>
            <w:shd w:val="clear" w:color="auto" w:fill="auto"/>
            <w:noWrap/>
            <w:vAlign w:val="bottom"/>
            <w:hideMark/>
          </w:tcPr>
          <w:p w14:paraId="7B2303F9" w14:textId="77777777" w:rsidR="0025371F" w:rsidRPr="00423ECF" w:rsidRDefault="0025371F" w:rsidP="00145CD8">
            <w:pPr>
              <w:spacing w:line="240" w:lineRule="auto"/>
              <w:jc w:val="both"/>
              <w:rPr>
                <w:sz w:val="20"/>
                <w:szCs w:val="20"/>
                <w:lang w:val="en-US"/>
              </w:rPr>
            </w:pPr>
          </w:p>
        </w:tc>
        <w:tc>
          <w:tcPr>
            <w:tcW w:w="661" w:type="dxa"/>
            <w:tcBorders>
              <w:top w:val="nil"/>
              <w:left w:val="nil"/>
              <w:bottom w:val="nil"/>
              <w:right w:val="nil"/>
            </w:tcBorders>
            <w:shd w:val="clear" w:color="auto" w:fill="auto"/>
            <w:noWrap/>
            <w:vAlign w:val="bottom"/>
            <w:hideMark/>
          </w:tcPr>
          <w:p w14:paraId="095C6C9C" w14:textId="77777777" w:rsidR="0025371F" w:rsidRPr="00423ECF" w:rsidRDefault="0025371F" w:rsidP="00145CD8">
            <w:pPr>
              <w:spacing w:line="240" w:lineRule="auto"/>
              <w:jc w:val="both"/>
              <w:rPr>
                <w:sz w:val="20"/>
                <w:szCs w:val="20"/>
                <w:lang w:val="en-US"/>
              </w:rPr>
            </w:pPr>
          </w:p>
        </w:tc>
        <w:tc>
          <w:tcPr>
            <w:tcW w:w="992" w:type="dxa"/>
            <w:tcBorders>
              <w:top w:val="nil"/>
              <w:left w:val="nil"/>
              <w:bottom w:val="nil"/>
              <w:right w:val="nil"/>
            </w:tcBorders>
            <w:shd w:val="clear" w:color="auto" w:fill="auto"/>
            <w:noWrap/>
            <w:vAlign w:val="bottom"/>
            <w:hideMark/>
          </w:tcPr>
          <w:p w14:paraId="39BF5E89" w14:textId="77777777" w:rsidR="0025371F" w:rsidRPr="00423ECF" w:rsidRDefault="0025371F" w:rsidP="00145CD8">
            <w:pPr>
              <w:spacing w:line="240" w:lineRule="auto"/>
              <w:jc w:val="both"/>
              <w:rPr>
                <w:sz w:val="20"/>
                <w:szCs w:val="20"/>
                <w:lang w:val="en-US"/>
              </w:rPr>
            </w:pPr>
          </w:p>
        </w:tc>
      </w:tr>
    </w:tbl>
    <w:p w14:paraId="4C8B52E0" w14:textId="17F72CFA" w:rsidR="001B551E" w:rsidRPr="00F47DA5" w:rsidRDefault="001B551E" w:rsidP="00145CD8">
      <w:pPr>
        <w:jc w:val="both"/>
        <w:rPr>
          <w:rStyle w:val="eop"/>
          <w:color w:val="000000"/>
          <w:shd w:val="clear" w:color="auto" w:fill="FFFFFF"/>
          <w:lang w:val="en-US"/>
        </w:rPr>
      </w:pPr>
    </w:p>
    <w:p w14:paraId="783D3F4A" w14:textId="77777777" w:rsidR="00F6287D" w:rsidRDefault="00F6287D" w:rsidP="00145CD8">
      <w:pPr>
        <w:jc w:val="both"/>
        <w:rPr>
          <w:rStyle w:val="normaltextrun"/>
          <w:color w:val="000000"/>
          <w:shd w:val="clear" w:color="auto" w:fill="FFFFFF"/>
          <w:lang w:val="en-GB"/>
        </w:rPr>
      </w:pPr>
    </w:p>
    <w:p w14:paraId="69B47A5A" w14:textId="3F7B4CC7" w:rsidR="007654B3" w:rsidRDefault="008F28FF" w:rsidP="00145CD8">
      <w:pPr>
        <w:jc w:val="both"/>
        <w:rPr>
          <w:rStyle w:val="normaltextrun"/>
          <w:color w:val="000000" w:themeColor="text1"/>
          <w:shd w:val="clear" w:color="auto" w:fill="FFFFFF"/>
          <w:lang w:val="en-GB"/>
        </w:rPr>
      </w:pPr>
      <w:r>
        <w:rPr>
          <w:rStyle w:val="normaltextrun"/>
          <w:color w:val="000000"/>
          <w:shd w:val="clear" w:color="auto" w:fill="FFFFFF"/>
          <w:lang w:val="en-GB"/>
        </w:rPr>
        <w:t xml:space="preserve">Paired samples </w:t>
      </w:r>
      <w:r>
        <w:rPr>
          <w:rStyle w:val="normaltextrun"/>
          <w:i/>
          <w:iCs/>
          <w:color w:val="000000"/>
          <w:shd w:val="clear" w:color="auto" w:fill="FFFFFF"/>
          <w:lang w:val="en-GB"/>
        </w:rPr>
        <w:t>t</w:t>
      </w:r>
      <w:r>
        <w:rPr>
          <w:rStyle w:val="normaltextrun"/>
          <w:color w:val="000000"/>
          <w:shd w:val="clear" w:color="auto" w:fill="FFFFFF"/>
          <w:lang w:val="en-GB"/>
        </w:rPr>
        <w:t>-tests</w:t>
      </w:r>
      <w:r w:rsidR="007654B3">
        <w:rPr>
          <w:rStyle w:val="normaltextrun"/>
          <w:color w:val="000000"/>
          <w:shd w:val="clear" w:color="auto" w:fill="FFFFFF"/>
          <w:lang w:val="en-GB"/>
        </w:rPr>
        <w:t xml:space="preserve"> showed significant differences in mean recall probability between the first two words (</w:t>
      </w:r>
      <w:r w:rsidR="007654B3">
        <w:rPr>
          <w:rStyle w:val="normaltextrun"/>
          <w:i/>
          <w:color w:val="000000"/>
          <w:shd w:val="clear" w:color="auto" w:fill="FFFFFF"/>
          <w:lang w:val="en-GB"/>
        </w:rPr>
        <w:t>M</w:t>
      </w:r>
      <w:r w:rsidR="007654B3">
        <w:rPr>
          <w:rStyle w:val="normaltextrun"/>
          <w:color w:val="000000"/>
          <w:shd w:val="clear" w:color="auto" w:fill="FFFFFF"/>
          <w:lang w:val="en-GB"/>
        </w:rPr>
        <w:t> = 0.75, </w:t>
      </w:r>
      <w:r w:rsidR="007654B3">
        <w:rPr>
          <w:rStyle w:val="normaltextrun"/>
          <w:i/>
          <w:color w:val="000000"/>
          <w:shd w:val="clear" w:color="auto" w:fill="FFFFFF"/>
          <w:lang w:val="en-GB"/>
        </w:rPr>
        <w:t>SD</w:t>
      </w:r>
      <w:r w:rsidR="007654B3">
        <w:rPr>
          <w:rStyle w:val="normaltextrun"/>
          <w:color w:val="000000"/>
          <w:shd w:val="clear" w:color="auto" w:fill="FFFFFF"/>
          <w:lang w:val="en-GB"/>
        </w:rPr>
        <w:t> = 0.22) and the middle four words (</w:t>
      </w:r>
      <w:r w:rsidR="007654B3">
        <w:rPr>
          <w:rStyle w:val="normaltextrun"/>
          <w:i/>
          <w:color w:val="000000"/>
          <w:shd w:val="clear" w:color="auto" w:fill="FFFFFF"/>
          <w:lang w:val="en-GB"/>
        </w:rPr>
        <w:t>M</w:t>
      </w:r>
      <w:r w:rsidR="007654B3">
        <w:rPr>
          <w:rStyle w:val="normaltextrun"/>
          <w:color w:val="000000"/>
          <w:shd w:val="clear" w:color="auto" w:fill="FFFFFF"/>
          <w:lang w:val="en-GB"/>
        </w:rPr>
        <w:t> = 0.38, </w:t>
      </w:r>
      <w:r w:rsidR="007654B3">
        <w:rPr>
          <w:rStyle w:val="normaltextrun"/>
          <w:i/>
          <w:color w:val="000000"/>
          <w:shd w:val="clear" w:color="auto" w:fill="FFFFFF"/>
          <w:lang w:val="en-GB"/>
        </w:rPr>
        <w:t>SD</w:t>
      </w:r>
      <w:r w:rsidR="007654B3">
        <w:rPr>
          <w:rStyle w:val="normaltextrun"/>
          <w:color w:val="000000"/>
          <w:shd w:val="clear" w:color="auto" w:fill="FFFFFF"/>
          <w:lang w:val="en-GB"/>
        </w:rPr>
        <w:t> = 0.20) in the concrete list</w:t>
      </w:r>
      <w:r w:rsidR="00257468">
        <w:rPr>
          <w:rStyle w:val="normaltextrun"/>
          <w:color w:val="000000"/>
          <w:shd w:val="clear" w:color="auto" w:fill="FFFFFF"/>
          <w:lang w:val="en-GB"/>
        </w:rPr>
        <w:t>s</w:t>
      </w:r>
      <w:r w:rsidR="007654B3">
        <w:rPr>
          <w:rStyle w:val="normaltextrun"/>
          <w:color w:val="000000"/>
          <w:shd w:val="clear" w:color="auto" w:fill="FFFFFF"/>
          <w:lang w:val="en-GB"/>
        </w:rPr>
        <w:t>, </w:t>
      </w:r>
      <w:r w:rsidR="007654B3">
        <w:rPr>
          <w:rStyle w:val="normaltextrun"/>
          <w:i/>
          <w:color w:val="000000"/>
          <w:shd w:val="clear" w:color="auto" w:fill="FFFFFF"/>
          <w:lang w:val="en-GB"/>
        </w:rPr>
        <w:t>t</w:t>
      </w:r>
      <w:r w:rsidR="007654B3">
        <w:rPr>
          <w:rStyle w:val="normaltextrun"/>
          <w:color w:val="000000"/>
          <w:shd w:val="clear" w:color="auto" w:fill="FFFFFF"/>
          <w:lang w:val="en-GB"/>
        </w:rPr>
        <w:t>(85) = 15.53, </w:t>
      </w:r>
      <w:r w:rsidR="007654B3">
        <w:rPr>
          <w:rStyle w:val="normaltextrun"/>
          <w:i/>
          <w:color w:val="000000"/>
          <w:shd w:val="clear" w:color="auto" w:fill="FFFFFF"/>
          <w:lang w:val="en-GB"/>
        </w:rPr>
        <w:t>p</w:t>
      </w:r>
      <w:r w:rsidR="007654B3">
        <w:rPr>
          <w:rStyle w:val="normaltextrun"/>
          <w:color w:val="000000"/>
          <w:shd w:val="clear" w:color="auto" w:fill="FFFFFF"/>
          <w:lang w:val="en-GB"/>
        </w:rPr>
        <w:t> &lt; .</w:t>
      </w:r>
      <w:r w:rsidR="007654B3" w:rsidRPr="00465EB5">
        <w:rPr>
          <w:rStyle w:val="normaltextrun"/>
          <w:color w:val="000000" w:themeColor="text1"/>
          <w:shd w:val="clear" w:color="auto" w:fill="FFFFFF"/>
          <w:lang w:val="en-GB"/>
        </w:rPr>
        <w:t>001, </w:t>
      </w:r>
      <w:r w:rsidR="007654B3" w:rsidRPr="00465EB5">
        <w:rPr>
          <w:rStyle w:val="normaltextrun"/>
          <w:i/>
          <w:color w:val="000000" w:themeColor="text1"/>
          <w:shd w:val="clear" w:color="auto" w:fill="FFFFFF"/>
          <w:lang w:val="en-GB"/>
        </w:rPr>
        <w:t>d</w:t>
      </w:r>
      <w:r w:rsidR="007654B3" w:rsidRPr="00465EB5">
        <w:rPr>
          <w:rStyle w:val="normaltextrun"/>
          <w:color w:val="000000" w:themeColor="text1"/>
          <w:shd w:val="clear" w:color="auto" w:fill="FFFFFF"/>
          <w:lang w:val="en-GB"/>
        </w:rPr>
        <w:t> = 1.7</w:t>
      </w:r>
      <w:r w:rsidR="00DB623B">
        <w:rPr>
          <w:rStyle w:val="normaltextrun"/>
          <w:color w:val="000000" w:themeColor="text1"/>
          <w:shd w:val="clear" w:color="auto" w:fill="FFFFFF"/>
          <w:lang w:val="en-GB"/>
        </w:rPr>
        <w:t>5</w:t>
      </w:r>
      <w:r w:rsidR="007654B3" w:rsidRPr="00465EB5">
        <w:rPr>
          <w:rStyle w:val="normaltextrun"/>
          <w:color w:val="000000" w:themeColor="text1"/>
          <w:shd w:val="clear" w:color="auto" w:fill="FFFFFF"/>
          <w:lang w:val="en-GB"/>
        </w:rPr>
        <w:t xml:space="preserve">, and in mean recall probability between the first two words </w:t>
      </w:r>
      <w:r w:rsidR="007654B3" w:rsidRPr="00465EB5">
        <w:rPr>
          <w:rStyle w:val="normaltextrun"/>
          <w:color w:val="000000" w:themeColor="text1"/>
          <w:shd w:val="clear" w:color="auto" w:fill="FFFFFF"/>
          <w:lang w:val="en-GB"/>
        </w:rPr>
        <w:lastRenderedPageBreak/>
        <w:t>(</w:t>
      </w:r>
      <w:r w:rsidR="007654B3" w:rsidRPr="00465EB5">
        <w:rPr>
          <w:rStyle w:val="normaltextrun"/>
          <w:i/>
          <w:color w:val="000000" w:themeColor="text1"/>
          <w:shd w:val="clear" w:color="auto" w:fill="FFFFFF"/>
          <w:lang w:val="en-GB"/>
        </w:rPr>
        <w:t>M</w:t>
      </w:r>
      <w:r w:rsidR="007654B3" w:rsidRPr="00465EB5">
        <w:rPr>
          <w:rStyle w:val="normaltextrun"/>
          <w:color w:val="000000" w:themeColor="text1"/>
          <w:shd w:val="clear" w:color="auto" w:fill="FFFFFF"/>
          <w:lang w:val="en-GB"/>
        </w:rPr>
        <w:t> = 0.6</w:t>
      </w:r>
      <w:r w:rsidR="007654B3">
        <w:rPr>
          <w:rStyle w:val="normaltextrun"/>
          <w:color w:val="000000" w:themeColor="text1"/>
          <w:shd w:val="clear" w:color="auto" w:fill="FFFFFF"/>
          <w:lang w:val="en-GB"/>
        </w:rPr>
        <w:t>1</w:t>
      </w:r>
      <w:r w:rsidR="007654B3" w:rsidRPr="00465EB5">
        <w:rPr>
          <w:rStyle w:val="normaltextrun"/>
          <w:color w:val="000000" w:themeColor="text1"/>
          <w:shd w:val="clear" w:color="auto" w:fill="FFFFFF"/>
          <w:lang w:val="en-GB"/>
        </w:rPr>
        <w:t>, </w:t>
      </w:r>
      <w:r w:rsidR="007654B3" w:rsidRPr="00465EB5">
        <w:rPr>
          <w:rStyle w:val="normaltextrun"/>
          <w:i/>
          <w:color w:val="000000" w:themeColor="text1"/>
          <w:shd w:val="clear" w:color="auto" w:fill="FFFFFF"/>
          <w:lang w:val="en-GB"/>
        </w:rPr>
        <w:t>SD</w:t>
      </w:r>
      <w:r w:rsidR="007654B3" w:rsidRPr="00465EB5">
        <w:rPr>
          <w:rStyle w:val="normaltextrun"/>
          <w:color w:val="000000" w:themeColor="text1"/>
          <w:shd w:val="clear" w:color="auto" w:fill="FFFFFF"/>
          <w:lang w:val="en-GB"/>
        </w:rPr>
        <w:t> = 0.23) and the middle four words (</w:t>
      </w:r>
      <w:r w:rsidR="007654B3" w:rsidRPr="00465EB5">
        <w:rPr>
          <w:rStyle w:val="normaltextrun"/>
          <w:i/>
          <w:color w:val="000000" w:themeColor="text1"/>
          <w:shd w:val="clear" w:color="auto" w:fill="FFFFFF"/>
          <w:lang w:val="en-GB"/>
        </w:rPr>
        <w:t>M</w:t>
      </w:r>
      <w:r w:rsidR="007654B3" w:rsidRPr="00465EB5">
        <w:rPr>
          <w:rStyle w:val="normaltextrun"/>
          <w:color w:val="000000" w:themeColor="text1"/>
          <w:shd w:val="clear" w:color="auto" w:fill="FFFFFF"/>
          <w:lang w:val="en-GB"/>
        </w:rPr>
        <w:t> = 0.27, </w:t>
      </w:r>
      <w:r w:rsidR="007654B3" w:rsidRPr="00465EB5">
        <w:rPr>
          <w:rStyle w:val="normaltextrun"/>
          <w:i/>
          <w:color w:val="000000" w:themeColor="text1"/>
          <w:shd w:val="clear" w:color="auto" w:fill="FFFFFF"/>
          <w:lang w:val="en-GB"/>
        </w:rPr>
        <w:t>SD</w:t>
      </w:r>
      <w:r w:rsidR="007654B3" w:rsidRPr="00465EB5">
        <w:rPr>
          <w:rStyle w:val="normaltextrun"/>
          <w:color w:val="000000" w:themeColor="text1"/>
          <w:shd w:val="clear" w:color="auto" w:fill="FFFFFF"/>
          <w:lang w:val="en-GB"/>
        </w:rPr>
        <w:t> = 0.17) in the abstract list</w:t>
      </w:r>
      <w:r w:rsidR="00257468">
        <w:rPr>
          <w:rStyle w:val="normaltextrun"/>
          <w:color w:val="000000" w:themeColor="text1"/>
          <w:shd w:val="clear" w:color="auto" w:fill="FFFFFF"/>
          <w:lang w:val="en-GB"/>
        </w:rPr>
        <w:t>s</w:t>
      </w:r>
      <w:r w:rsidR="007654B3" w:rsidRPr="00465EB5">
        <w:rPr>
          <w:rStyle w:val="normaltextrun"/>
          <w:color w:val="000000" w:themeColor="text1"/>
          <w:shd w:val="clear" w:color="auto" w:fill="FFFFFF"/>
          <w:lang w:val="en-GB"/>
        </w:rPr>
        <w:t xml:space="preserve">, </w:t>
      </w:r>
      <w:r w:rsidR="007654B3" w:rsidRPr="00465EB5">
        <w:rPr>
          <w:rStyle w:val="normaltextrun"/>
          <w:i/>
          <w:color w:val="000000" w:themeColor="text1"/>
          <w:shd w:val="clear" w:color="auto" w:fill="FFFFFF"/>
          <w:lang w:val="en-GB"/>
        </w:rPr>
        <w:t>t</w:t>
      </w:r>
      <w:r w:rsidR="007654B3" w:rsidRPr="00465EB5">
        <w:rPr>
          <w:rStyle w:val="normaltextrun"/>
          <w:color w:val="000000" w:themeColor="text1"/>
          <w:shd w:val="clear" w:color="auto" w:fill="FFFFFF"/>
          <w:lang w:val="en-GB"/>
        </w:rPr>
        <w:t>(85) = 14.57, </w:t>
      </w:r>
      <w:r w:rsidR="007654B3" w:rsidRPr="00465EB5">
        <w:rPr>
          <w:rStyle w:val="normaltextrun"/>
          <w:i/>
          <w:color w:val="000000" w:themeColor="text1"/>
          <w:shd w:val="clear" w:color="auto" w:fill="FFFFFF"/>
          <w:lang w:val="en-GB"/>
        </w:rPr>
        <w:t>p</w:t>
      </w:r>
      <w:r w:rsidR="007654B3" w:rsidRPr="00465EB5">
        <w:rPr>
          <w:rStyle w:val="normaltextrun"/>
          <w:color w:val="000000" w:themeColor="text1"/>
          <w:shd w:val="clear" w:color="auto" w:fill="FFFFFF"/>
          <w:lang w:val="en-GB"/>
        </w:rPr>
        <w:t> &lt; .001, </w:t>
      </w:r>
      <w:r w:rsidR="007654B3" w:rsidRPr="00465EB5">
        <w:rPr>
          <w:rStyle w:val="normaltextrun"/>
          <w:i/>
          <w:color w:val="000000" w:themeColor="text1"/>
          <w:shd w:val="clear" w:color="auto" w:fill="FFFFFF"/>
          <w:lang w:val="en-GB"/>
        </w:rPr>
        <w:t>d</w:t>
      </w:r>
      <w:r w:rsidR="007654B3" w:rsidRPr="00465EB5">
        <w:rPr>
          <w:rStyle w:val="normaltextrun"/>
          <w:color w:val="000000" w:themeColor="text1"/>
          <w:shd w:val="clear" w:color="auto" w:fill="FFFFFF"/>
          <w:lang w:val="en-GB"/>
        </w:rPr>
        <w:t> = 1.7</w:t>
      </w:r>
      <w:r w:rsidR="00A43E25">
        <w:rPr>
          <w:rStyle w:val="normaltextrun"/>
          <w:color w:val="000000" w:themeColor="text1"/>
          <w:shd w:val="clear" w:color="auto" w:fill="FFFFFF"/>
          <w:lang w:val="en-GB"/>
        </w:rPr>
        <w:t>4</w:t>
      </w:r>
      <w:r w:rsidR="007654B3" w:rsidRPr="00465EB5">
        <w:rPr>
          <w:rStyle w:val="normaltextrun"/>
          <w:color w:val="000000" w:themeColor="text1"/>
          <w:shd w:val="clear" w:color="auto" w:fill="FFFFFF"/>
          <w:lang w:val="en-GB"/>
        </w:rPr>
        <w:t xml:space="preserve"> as well as in mean recall probability between the first two words (</w:t>
      </w:r>
      <w:r w:rsidR="007654B3" w:rsidRPr="00465EB5">
        <w:rPr>
          <w:rStyle w:val="normaltextrun"/>
          <w:i/>
          <w:color w:val="000000" w:themeColor="text1"/>
          <w:shd w:val="clear" w:color="auto" w:fill="FFFFFF"/>
          <w:lang w:val="en-GB"/>
        </w:rPr>
        <w:t>M</w:t>
      </w:r>
      <w:r w:rsidR="007654B3" w:rsidRPr="00465EB5">
        <w:rPr>
          <w:rStyle w:val="normaltextrun"/>
          <w:color w:val="000000" w:themeColor="text1"/>
          <w:shd w:val="clear" w:color="auto" w:fill="FFFFFF"/>
          <w:lang w:val="en-GB"/>
        </w:rPr>
        <w:t> = 0.78, </w:t>
      </w:r>
      <w:r w:rsidR="007654B3" w:rsidRPr="00465EB5">
        <w:rPr>
          <w:rStyle w:val="normaltextrun"/>
          <w:i/>
          <w:color w:val="000000" w:themeColor="text1"/>
          <w:shd w:val="clear" w:color="auto" w:fill="FFFFFF"/>
          <w:lang w:val="en-GB"/>
        </w:rPr>
        <w:t>SD</w:t>
      </w:r>
      <w:r w:rsidR="007654B3" w:rsidRPr="00465EB5">
        <w:rPr>
          <w:rStyle w:val="normaltextrun"/>
          <w:color w:val="000000" w:themeColor="text1"/>
          <w:shd w:val="clear" w:color="auto" w:fill="FFFFFF"/>
          <w:lang w:val="en-GB"/>
        </w:rPr>
        <w:t> = 0.33) and the middle four words (</w:t>
      </w:r>
      <w:r w:rsidR="007654B3" w:rsidRPr="00465EB5">
        <w:rPr>
          <w:rStyle w:val="normaltextrun"/>
          <w:i/>
          <w:color w:val="000000" w:themeColor="text1"/>
          <w:shd w:val="clear" w:color="auto" w:fill="FFFFFF"/>
          <w:lang w:val="en-GB"/>
        </w:rPr>
        <w:t>M</w:t>
      </w:r>
      <w:r w:rsidR="007654B3" w:rsidRPr="00465EB5">
        <w:rPr>
          <w:rStyle w:val="normaltextrun"/>
          <w:color w:val="000000" w:themeColor="text1"/>
          <w:shd w:val="clear" w:color="auto" w:fill="FFFFFF"/>
          <w:lang w:val="en-GB"/>
        </w:rPr>
        <w:t> = 0.32, </w:t>
      </w:r>
      <w:r w:rsidR="007654B3" w:rsidRPr="00465EB5">
        <w:rPr>
          <w:rStyle w:val="normaltextrun"/>
          <w:i/>
          <w:color w:val="000000" w:themeColor="text1"/>
          <w:shd w:val="clear" w:color="auto" w:fill="FFFFFF"/>
          <w:lang w:val="en-GB"/>
        </w:rPr>
        <w:t>SD</w:t>
      </w:r>
      <w:r w:rsidR="007654B3" w:rsidRPr="00465EB5">
        <w:rPr>
          <w:rStyle w:val="normaltextrun"/>
          <w:color w:val="000000" w:themeColor="text1"/>
          <w:shd w:val="clear" w:color="auto" w:fill="FFFFFF"/>
          <w:lang w:val="en-GB"/>
        </w:rPr>
        <w:t> = 0.30) in the interference list</w:t>
      </w:r>
      <w:r w:rsidR="0020391E">
        <w:rPr>
          <w:rStyle w:val="normaltextrun"/>
          <w:color w:val="000000" w:themeColor="text1"/>
          <w:shd w:val="clear" w:color="auto" w:fill="FFFFFF"/>
          <w:lang w:val="en-GB"/>
        </w:rPr>
        <w:t>s</w:t>
      </w:r>
      <w:r w:rsidR="007654B3" w:rsidRPr="00465EB5">
        <w:rPr>
          <w:rStyle w:val="normaltextrun"/>
          <w:color w:val="000000" w:themeColor="text1"/>
          <w:shd w:val="clear" w:color="auto" w:fill="FFFFFF"/>
          <w:lang w:val="en-GB"/>
        </w:rPr>
        <w:t xml:space="preserve">, </w:t>
      </w:r>
      <w:r w:rsidR="007654B3" w:rsidRPr="00465EB5">
        <w:rPr>
          <w:rStyle w:val="normaltextrun"/>
          <w:i/>
          <w:color w:val="000000" w:themeColor="text1"/>
          <w:shd w:val="clear" w:color="auto" w:fill="FFFFFF"/>
          <w:lang w:val="en-GB"/>
        </w:rPr>
        <w:t>t</w:t>
      </w:r>
      <w:r w:rsidR="007654B3" w:rsidRPr="00465EB5">
        <w:rPr>
          <w:rStyle w:val="normaltextrun"/>
          <w:color w:val="000000" w:themeColor="text1"/>
          <w:shd w:val="clear" w:color="auto" w:fill="FFFFFF"/>
          <w:lang w:val="en-GB"/>
        </w:rPr>
        <w:t>(85) = 9.94, </w:t>
      </w:r>
      <w:r w:rsidR="007654B3" w:rsidRPr="00465EB5">
        <w:rPr>
          <w:rStyle w:val="normaltextrun"/>
          <w:i/>
          <w:color w:val="000000" w:themeColor="text1"/>
          <w:shd w:val="clear" w:color="auto" w:fill="FFFFFF"/>
          <w:lang w:val="en-GB"/>
        </w:rPr>
        <w:t>p</w:t>
      </w:r>
      <w:r w:rsidR="007654B3" w:rsidRPr="00465EB5">
        <w:rPr>
          <w:rStyle w:val="normaltextrun"/>
          <w:color w:val="000000" w:themeColor="text1"/>
          <w:shd w:val="clear" w:color="auto" w:fill="FFFFFF"/>
          <w:lang w:val="en-GB"/>
        </w:rPr>
        <w:t> &lt; .001, </w:t>
      </w:r>
      <w:r w:rsidR="007654B3" w:rsidRPr="00465EB5">
        <w:rPr>
          <w:rStyle w:val="normaltextrun"/>
          <w:i/>
          <w:color w:val="000000" w:themeColor="text1"/>
          <w:shd w:val="clear" w:color="auto" w:fill="FFFFFF"/>
          <w:lang w:val="en-GB"/>
        </w:rPr>
        <w:t>d</w:t>
      </w:r>
      <w:r w:rsidR="007654B3" w:rsidRPr="00465EB5">
        <w:rPr>
          <w:rStyle w:val="normaltextrun"/>
          <w:color w:val="000000" w:themeColor="text1"/>
          <w:shd w:val="clear" w:color="auto" w:fill="FFFFFF"/>
          <w:lang w:val="en-GB"/>
        </w:rPr>
        <w:t> = 1.4</w:t>
      </w:r>
      <w:r w:rsidR="00FD40DE">
        <w:rPr>
          <w:rStyle w:val="normaltextrun"/>
          <w:color w:val="000000" w:themeColor="text1"/>
          <w:shd w:val="clear" w:color="auto" w:fill="FFFFFF"/>
          <w:lang w:val="en-GB"/>
        </w:rPr>
        <w:t>7</w:t>
      </w:r>
      <w:r w:rsidR="007654B3">
        <w:rPr>
          <w:rStyle w:val="normaltextrun"/>
          <w:color w:val="000000" w:themeColor="text1"/>
          <w:shd w:val="clear" w:color="auto" w:fill="FFFFFF"/>
          <w:lang w:val="en-GB"/>
        </w:rPr>
        <w:t>.</w:t>
      </w:r>
    </w:p>
    <w:p w14:paraId="63CECEE6" w14:textId="0FE4357C" w:rsidR="00397C17" w:rsidRDefault="00397C17" w:rsidP="00145CD8">
      <w:pPr>
        <w:jc w:val="both"/>
        <w:rPr>
          <w:rStyle w:val="normaltextrun"/>
          <w:color w:val="000000" w:themeColor="text1"/>
          <w:shd w:val="clear" w:color="auto" w:fill="FFFFFF"/>
          <w:lang w:val="en-GB"/>
        </w:rPr>
      </w:pPr>
    </w:p>
    <w:p w14:paraId="7B997083" w14:textId="328BA74B" w:rsidR="00C011DD" w:rsidRPr="00BF489B" w:rsidRDefault="00397C17" w:rsidP="00145CD8">
      <w:pPr>
        <w:jc w:val="both"/>
        <w:rPr>
          <w:rStyle w:val="normaltextrun"/>
          <w:color w:val="000000" w:themeColor="text1"/>
          <w:shd w:val="clear" w:color="auto" w:fill="FFFFFF"/>
          <w:lang w:val="en-GB"/>
        </w:rPr>
      </w:pPr>
      <w:r>
        <w:rPr>
          <w:rStyle w:val="normaltextrun"/>
          <w:color w:val="000000" w:themeColor="text1"/>
          <w:shd w:val="clear" w:color="auto" w:fill="FFFFFF"/>
          <w:lang w:val="en-GB"/>
        </w:rPr>
        <w:t xml:space="preserve">There was a </w:t>
      </w:r>
      <w:r w:rsidR="00892CFC">
        <w:rPr>
          <w:rStyle w:val="normaltextrun"/>
          <w:color w:val="000000" w:themeColor="text1"/>
          <w:shd w:val="clear" w:color="auto" w:fill="FFFFFF"/>
          <w:lang w:val="en-GB"/>
        </w:rPr>
        <w:t>significant</w:t>
      </w:r>
      <w:r>
        <w:rPr>
          <w:rStyle w:val="normaltextrun"/>
          <w:color w:val="000000" w:themeColor="text1"/>
          <w:shd w:val="clear" w:color="auto" w:fill="FFFFFF"/>
          <w:lang w:val="en-GB"/>
        </w:rPr>
        <w:t xml:space="preserve"> primacy effect for all three list types</w:t>
      </w:r>
      <w:r w:rsidR="00D2766B">
        <w:rPr>
          <w:rStyle w:val="normaltextrun"/>
          <w:color w:val="000000" w:themeColor="text1"/>
          <w:shd w:val="clear" w:color="auto" w:fill="FFFFFF"/>
          <w:lang w:val="en-GB"/>
        </w:rPr>
        <w:t>.</w:t>
      </w:r>
      <w:r w:rsidR="00680275">
        <w:rPr>
          <w:rStyle w:val="normaltextrun"/>
          <w:color w:val="000000" w:themeColor="text1"/>
          <w:shd w:val="clear" w:color="auto" w:fill="FFFFFF"/>
          <w:lang w:val="en-GB"/>
        </w:rPr>
        <w:t xml:space="preserve"> </w:t>
      </w:r>
      <w:r w:rsidR="00C011DD">
        <w:rPr>
          <w:rStyle w:val="normaltextrun"/>
          <w:color w:val="000000"/>
          <w:shd w:val="clear" w:color="auto" w:fill="FFFFFF"/>
          <w:lang w:val="en-GB"/>
        </w:rPr>
        <w:t xml:space="preserve">The tests were then repeated </w:t>
      </w:r>
      <w:r w:rsidR="00322F49">
        <w:rPr>
          <w:rStyle w:val="normaltextrun"/>
          <w:color w:val="000000"/>
          <w:shd w:val="clear" w:color="auto" w:fill="FFFFFF"/>
          <w:lang w:val="en-GB"/>
        </w:rPr>
        <w:t>for</w:t>
      </w:r>
      <w:r w:rsidR="00C011DD">
        <w:rPr>
          <w:rStyle w:val="normaltextrun"/>
          <w:color w:val="000000"/>
          <w:shd w:val="clear" w:color="auto" w:fill="FFFFFF"/>
          <w:lang w:val="en-GB"/>
        </w:rPr>
        <w:t xml:space="preserve"> the middle four words and last two words to investigate the </w:t>
      </w:r>
      <w:r w:rsidR="00FF5F60">
        <w:rPr>
          <w:rStyle w:val="normaltextrun"/>
          <w:color w:val="000000"/>
          <w:shd w:val="clear" w:color="auto" w:fill="FFFFFF"/>
          <w:lang w:val="en-GB"/>
        </w:rPr>
        <w:t>recency effect.</w:t>
      </w:r>
    </w:p>
    <w:p w14:paraId="315C8730" w14:textId="77777777" w:rsidR="00C011DD" w:rsidRDefault="00C011DD" w:rsidP="00145CD8">
      <w:pPr>
        <w:jc w:val="both"/>
        <w:rPr>
          <w:rStyle w:val="normaltextrun"/>
          <w:color w:val="000000"/>
          <w:shd w:val="clear" w:color="auto" w:fill="FFFFFF"/>
          <w:lang w:val="en-GB"/>
        </w:rPr>
      </w:pPr>
    </w:p>
    <w:p w14:paraId="2DF4109C" w14:textId="3D2ABC07" w:rsidR="00FA29CE" w:rsidRPr="00D2740A" w:rsidRDefault="00FA29CE" w:rsidP="00145CD8">
      <w:pPr>
        <w:jc w:val="both"/>
        <w:rPr>
          <w:rStyle w:val="normaltextrun"/>
          <w:color w:val="000000" w:themeColor="text1"/>
          <w:shd w:val="clear" w:color="auto" w:fill="FFFFFF"/>
          <w:lang w:val="en-GB"/>
        </w:rPr>
      </w:pPr>
      <w:r>
        <w:rPr>
          <w:rStyle w:val="normaltextrun"/>
          <w:color w:val="000000"/>
          <w:shd w:val="clear" w:color="auto" w:fill="FFFFFF"/>
          <w:lang w:val="en-GB"/>
        </w:rPr>
        <w:t>Paired samples </w:t>
      </w:r>
      <w:r>
        <w:rPr>
          <w:rStyle w:val="normaltextrun"/>
          <w:i/>
          <w:color w:val="000000"/>
          <w:shd w:val="clear" w:color="auto" w:fill="FFFFFF"/>
          <w:lang w:val="en-GB"/>
        </w:rPr>
        <w:t>t</w:t>
      </w:r>
      <w:r>
        <w:rPr>
          <w:rStyle w:val="normaltextrun"/>
          <w:color w:val="000000"/>
          <w:shd w:val="clear" w:color="auto" w:fill="FFFFFF"/>
          <w:lang w:val="en-GB"/>
        </w:rPr>
        <w:t>-tests showed significant differences in mean recall probability between the middle four words (</w:t>
      </w:r>
      <w:r>
        <w:rPr>
          <w:rStyle w:val="normaltextrun"/>
          <w:i/>
          <w:color w:val="000000"/>
          <w:shd w:val="clear" w:color="auto" w:fill="FFFFFF"/>
          <w:lang w:val="en-GB"/>
        </w:rPr>
        <w:t>M</w:t>
      </w:r>
      <w:r>
        <w:rPr>
          <w:rStyle w:val="normaltextrun"/>
          <w:color w:val="000000"/>
          <w:shd w:val="clear" w:color="auto" w:fill="FFFFFF"/>
          <w:lang w:val="en-GB"/>
        </w:rPr>
        <w:t> = 0.38, </w:t>
      </w:r>
      <w:r>
        <w:rPr>
          <w:rStyle w:val="normaltextrun"/>
          <w:i/>
          <w:color w:val="000000"/>
          <w:shd w:val="clear" w:color="auto" w:fill="FFFFFF"/>
          <w:lang w:val="en-GB"/>
        </w:rPr>
        <w:t>SD</w:t>
      </w:r>
      <w:r>
        <w:rPr>
          <w:rStyle w:val="normaltextrun"/>
          <w:color w:val="000000"/>
          <w:shd w:val="clear" w:color="auto" w:fill="FFFFFF"/>
          <w:lang w:val="en-GB"/>
        </w:rPr>
        <w:t xml:space="preserve"> = </w:t>
      </w:r>
      <w:r w:rsidRPr="001C3A8B">
        <w:rPr>
          <w:rStyle w:val="normaltextrun"/>
          <w:color w:val="000000" w:themeColor="text1"/>
          <w:shd w:val="clear" w:color="auto" w:fill="FFFFFF"/>
          <w:lang w:val="en-GB"/>
        </w:rPr>
        <w:t>0.20) and the last two words (</w:t>
      </w:r>
      <w:r w:rsidRPr="001C3A8B">
        <w:rPr>
          <w:rStyle w:val="normaltextrun"/>
          <w:i/>
          <w:color w:val="000000" w:themeColor="text1"/>
          <w:shd w:val="clear" w:color="auto" w:fill="FFFFFF"/>
          <w:lang w:val="en-GB"/>
        </w:rPr>
        <w:t>M</w:t>
      </w:r>
      <w:r w:rsidRPr="001C3A8B">
        <w:rPr>
          <w:rStyle w:val="normaltextrun"/>
          <w:color w:val="000000" w:themeColor="text1"/>
          <w:shd w:val="clear" w:color="auto" w:fill="FFFFFF"/>
          <w:lang w:val="en-GB"/>
        </w:rPr>
        <w:t> = 0.73, </w:t>
      </w:r>
      <w:r w:rsidRPr="001C3A8B">
        <w:rPr>
          <w:rStyle w:val="normaltextrun"/>
          <w:i/>
          <w:color w:val="000000" w:themeColor="text1"/>
          <w:shd w:val="clear" w:color="auto" w:fill="FFFFFF"/>
          <w:lang w:val="en-GB"/>
        </w:rPr>
        <w:t>SD</w:t>
      </w:r>
      <w:r w:rsidRPr="001C3A8B">
        <w:rPr>
          <w:rStyle w:val="normaltextrun"/>
          <w:color w:val="000000" w:themeColor="text1"/>
          <w:shd w:val="clear" w:color="auto" w:fill="FFFFFF"/>
          <w:lang w:val="en-GB"/>
        </w:rPr>
        <w:t> = 0.22) in the concrete list</w:t>
      </w:r>
      <w:r w:rsidR="00FF5F60">
        <w:rPr>
          <w:rStyle w:val="normaltextrun"/>
          <w:color w:val="000000" w:themeColor="text1"/>
          <w:shd w:val="clear" w:color="auto" w:fill="FFFFFF"/>
          <w:lang w:val="en-GB"/>
        </w:rPr>
        <w:t>s</w:t>
      </w:r>
      <w:r w:rsidRPr="001C3A8B">
        <w:rPr>
          <w:rStyle w:val="normaltextrun"/>
          <w:color w:val="000000" w:themeColor="text1"/>
          <w:shd w:val="clear" w:color="auto" w:fill="FFFFFF"/>
          <w:lang w:val="en-GB"/>
        </w:rPr>
        <w:t>, </w:t>
      </w:r>
      <w:r w:rsidRPr="001C3A8B">
        <w:rPr>
          <w:rStyle w:val="normaltextrun"/>
          <w:i/>
          <w:color w:val="000000" w:themeColor="text1"/>
          <w:shd w:val="clear" w:color="auto" w:fill="FFFFFF"/>
          <w:lang w:val="en-GB"/>
        </w:rPr>
        <w:t>t</w:t>
      </w:r>
      <w:r w:rsidRPr="001C3A8B">
        <w:rPr>
          <w:rStyle w:val="normaltextrun"/>
          <w:color w:val="000000" w:themeColor="text1"/>
          <w:shd w:val="clear" w:color="auto" w:fill="FFFFFF"/>
          <w:lang w:val="en-GB"/>
        </w:rPr>
        <w:t>(85) = -11.12, </w:t>
      </w:r>
      <w:r w:rsidRPr="001C3A8B">
        <w:rPr>
          <w:rStyle w:val="normaltextrun"/>
          <w:i/>
          <w:color w:val="000000" w:themeColor="text1"/>
          <w:shd w:val="clear" w:color="auto" w:fill="FFFFFF"/>
          <w:lang w:val="en-GB"/>
        </w:rPr>
        <w:t>p</w:t>
      </w:r>
      <w:r w:rsidRPr="001C3A8B">
        <w:rPr>
          <w:rStyle w:val="normaltextrun"/>
          <w:color w:val="000000" w:themeColor="text1"/>
          <w:shd w:val="clear" w:color="auto" w:fill="FFFFFF"/>
          <w:lang w:val="en-GB"/>
        </w:rPr>
        <w:t> &lt; .001, </w:t>
      </w:r>
      <w:r w:rsidRPr="001C3A8B">
        <w:rPr>
          <w:rStyle w:val="normaltextrun"/>
          <w:i/>
          <w:color w:val="000000" w:themeColor="text1"/>
          <w:shd w:val="clear" w:color="auto" w:fill="FFFFFF"/>
          <w:lang w:val="en-GB"/>
        </w:rPr>
        <w:t>d</w:t>
      </w:r>
      <w:r w:rsidRPr="001C3A8B">
        <w:rPr>
          <w:rStyle w:val="normaltextrun"/>
          <w:color w:val="000000" w:themeColor="text1"/>
          <w:shd w:val="clear" w:color="auto" w:fill="FFFFFF"/>
          <w:lang w:val="en-GB"/>
        </w:rPr>
        <w:t> = -1.6</w:t>
      </w:r>
      <w:r w:rsidR="007338A8">
        <w:rPr>
          <w:rStyle w:val="normaltextrun"/>
          <w:color w:val="000000" w:themeColor="text1"/>
          <w:shd w:val="clear" w:color="auto" w:fill="FFFFFF"/>
          <w:lang w:val="en-GB"/>
        </w:rPr>
        <w:t>5</w:t>
      </w:r>
      <w:r w:rsidRPr="001C3A8B">
        <w:rPr>
          <w:rStyle w:val="normaltextrun"/>
          <w:color w:val="000000" w:themeColor="text1"/>
          <w:shd w:val="clear" w:color="auto" w:fill="FFFFFF"/>
          <w:lang w:val="en-GB"/>
        </w:rPr>
        <w:t>, and in mean recall probability between the middle four words (</w:t>
      </w:r>
      <w:r w:rsidRPr="001C3A8B">
        <w:rPr>
          <w:rStyle w:val="normaltextrun"/>
          <w:i/>
          <w:color w:val="000000" w:themeColor="text1"/>
          <w:shd w:val="clear" w:color="auto" w:fill="FFFFFF"/>
          <w:lang w:val="en-GB"/>
        </w:rPr>
        <w:t>M</w:t>
      </w:r>
      <w:r w:rsidRPr="001C3A8B">
        <w:rPr>
          <w:rStyle w:val="normaltextrun"/>
          <w:color w:val="000000" w:themeColor="text1"/>
          <w:shd w:val="clear" w:color="auto" w:fill="FFFFFF"/>
          <w:lang w:val="en-GB"/>
        </w:rPr>
        <w:t> = 0.27, </w:t>
      </w:r>
      <w:r w:rsidRPr="001C3A8B">
        <w:rPr>
          <w:rStyle w:val="normaltextrun"/>
          <w:i/>
          <w:color w:val="000000" w:themeColor="text1"/>
          <w:shd w:val="clear" w:color="auto" w:fill="FFFFFF"/>
          <w:lang w:val="en-GB"/>
        </w:rPr>
        <w:t>SD</w:t>
      </w:r>
      <w:r w:rsidRPr="001C3A8B">
        <w:rPr>
          <w:rStyle w:val="normaltextrun"/>
          <w:color w:val="000000" w:themeColor="text1"/>
          <w:shd w:val="clear" w:color="auto" w:fill="FFFFFF"/>
          <w:lang w:val="en-GB"/>
        </w:rPr>
        <w:t> = 0.17) and the last two words (</w:t>
      </w:r>
      <w:r w:rsidRPr="001C3A8B">
        <w:rPr>
          <w:rStyle w:val="normaltextrun"/>
          <w:i/>
          <w:color w:val="000000" w:themeColor="text1"/>
          <w:shd w:val="clear" w:color="auto" w:fill="FFFFFF"/>
          <w:lang w:val="en-GB"/>
        </w:rPr>
        <w:t>M</w:t>
      </w:r>
      <w:r w:rsidRPr="001C3A8B">
        <w:rPr>
          <w:rStyle w:val="normaltextrun"/>
          <w:color w:val="000000" w:themeColor="text1"/>
          <w:shd w:val="clear" w:color="auto" w:fill="FFFFFF"/>
          <w:lang w:val="en-GB"/>
        </w:rPr>
        <w:t> = 0.77, </w:t>
      </w:r>
      <w:r w:rsidRPr="001C3A8B">
        <w:rPr>
          <w:rStyle w:val="normaltextrun"/>
          <w:i/>
          <w:color w:val="000000" w:themeColor="text1"/>
          <w:shd w:val="clear" w:color="auto" w:fill="FFFFFF"/>
          <w:lang w:val="en-GB"/>
        </w:rPr>
        <w:t>SD</w:t>
      </w:r>
      <w:r w:rsidRPr="001C3A8B">
        <w:rPr>
          <w:rStyle w:val="normaltextrun"/>
          <w:color w:val="000000" w:themeColor="text1"/>
          <w:shd w:val="clear" w:color="auto" w:fill="FFFFFF"/>
          <w:lang w:val="en-GB"/>
        </w:rPr>
        <w:t> = 0.23) in the abstract list</w:t>
      </w:r>
      <w:r w:rsidR="00FF5F60">
        <w:rPr>
          <w:rStyle w:val="normaltextrun"/>
          <w:color w:val="000000" w:themeColor="text1"/>
          <w:shd w:val="clear" w:color="auto" w:fill="FFFFFF"/>
          <w:lang w:val="en-GB"/>
        </w:rPr>
        <w:t>s</w:t>
      </w:r>
      <w:r w:rsidRPr="001C3A8B">
        <w:rPr>
          <w:rStyle w:val="normaltextrun"/>
          <w:color w:val="000000" w:themeColor="text1"/>
          <w:shd w:val="clear" w:color="auto" w:fill="FFFFFF"/>
          <w:lang w:val="en-GB"/>
        </w:rPr>
        <w:t xml:space="preserve">, </w:t>
      </w:r>
      <w:r w:rsidRPr="001C3A8B">
        <w:rPr>
          <w:rStyle w:val="normaltextrun"/>
          <w:i/>
          <w:color w:val="000000" w:themeColor="text1"/>
          <w:shd w:val="clear" w:color="auto" w:fill="FFFFFF"/>
          <w:lang w:val="en-GB"/>
        </w:rPr>
        <w:t>t</w:t>
      </w:r>
      <w:r w:rsidRPr="001C3A8B">
        <w:rPr>
          <w:rStyle w:val="normaltextrun"/>
          <w:color w:val="000000" w:themeColor="text1"/>
          <w:shd w:val="clear" w:color="auto" w:fill="FFFFFF"/>
          <w:lang w:val="en-GB"/>
        </w:rPr>
        <w:t>(85) = -18.35, </w:t>
      </w:r>
      <w:r w:rsidRPr="001C3A8B">
        <w:rPr>
          <w:rStyle w:val="normaltextrun"/>
          <w:i/>
          <w:color w:val="000000" w:themeColor="text1"/>
          <w:shd w:val="clear" w:color="auto" w:fill="FFFFFF"/>
          <w:lang w:val="en-GB"/>
        </w:rPr>
        <w:t>p</w:t>
      </w:r>
      <w:r w:rsidRPr="001C3A8B">
        <w:rPr>
          <w:rStyle w:val="normaltextrun"/>
          <w:color w:val="000000" w:themeColor="text1"/>
          <w:shd w:val="clear" w:color="auto" w:fill="FFFFFF"/>
          <w:lang w:val="en-GB"/>
        </w:rPr>
        <w:t> &lt; .001, </w:t>
      </w:r>
      <w:r w:rsidRPr="001C3A8B">
        <w:rPr>
          <w:rStyle w:val="normaltextrun"/>
          <w:i/>
          <w:color w:val="000000" w:themeColor="text1"/>
          <w:shd w:val="clear" w:color="auto" w:fill="FFFFFF"/>
          <w:lang w:val="en-GB"/>
        </w:rPr>
        <w:t>d</w:t>
      </w:r>
      <w:r w:rsidRPr="001C3A8B">
        <w:rPr>
          <w:rStyle w:val="normaltextrun"/>
          <w:color w:val="000000" w:themeColor="text1"/>
          <w:shd w:val="clear" w:color="auto" w:fill="FFFFFF"/>
          <w:lang w:val="en-GB"/>
        </w:rPr>
        <w:t> = -2.5</w:t>
      </w:r>
      <w:r w:rsidR="00A83DC5">
        <w:rPr>
          <w:rStyle w:val="normaltextrun"/>
          <w:color w:val="000000" w:themeColor="text1"/>
          <w:shd w:val="clear" w:color="auto" w:fill="FFFFFF"/>
          <w:lang w:val="en-GB"/>
        </w:rPr>
        <w:t>5</w:t>
      </w:r>
      <w:r w:rsidRPr="001C3A8B">
        <w:rPr>
          <w:rStyle w:val="normaltextrun"/>
          <w:color w:val="000000" w:themeColor="text1"/>
          <w:shd w:val="clear" w:color="auto" w:fill="FFFFFF"/>
          <w:lang w:val="en-GB"/>
        </w:rPr>
        <w:t xml:space="preserve">. No significant difference was found </w:t>
      </w:r>
      <w:r>
        <w:rPr>
          <w:rStyle w:val="normaltextrun"/>
          <w:color w:val="000000"/>
          <w:shd w:val="clear" w:color="auto" w:fill="FFFFFF"/>
          <w:lang w:val="en-GB"/>
        </w:rPr>
        <w:t>in mean recall probability between the middle four words (</w:t>
      </w:r>
      <w:r w:rsidRPr="00862D97">
        <w:rPr>
          <w:rStyle w:val="normaltextrun"/>
          <w:i/>
          <w:shd w:val="clear" w:color="auto" w:fill="FFFFFF"/>
          <w:lang w:val="en-GB"/>
        </w:rPr>
        <w:t>M</w:t>
      </w:r>
      <w:r w:rsidRPr="00862D97">
        <w:rPr>
          <w:rStyle w:val="normaltextrun"/>
          <w:shd w:val="clear" w:color="auto" w:fill="FFFFFF"/>
          <w:lang w:val="en-GB"/>
        </w:rPr>
        <w:t> = 0.32, </w:t>
      </w:r>
      <w:r w:rsidRPr="00862D97">
        <w:rPr>
          <w:rStyle w:val="normaltextrun"/>
          <w:i/>
          <w:shd w:val="clear" w:color="auto" w:fill="FFFFFF"/>
          <w:lang w:val="en-GB"/>
        </w:rPr>
        <w:t>SD</w:t>
      </w:r>
      <w:r w:rsidRPr="00862D97">
        <w:rPr>
          <w:rStyle w:val="normaltextrun"/>
          <w:shd w:val="clear" w:color="auto" w:fill="FFFFFF"/>
          <w:lang w:val="en-GB"/>
        </w:rPr>
        <w:t> = 0.30</w:t>
      </w:r>
      <w:r>
        <w:rPr>
          <w:rStyle w:val="normaltextrun"/>
          <w:color w:val="000000"/>
          <w:shd w:val="clear" w:color="auto" w:fill="FFFFFF"/>
          <w:lang w:val="en-GB"/>
        </w:rPr>
        <w:t>) and the last two words (</w:t>
      </w:r>
      <w:r w:rsidRPr="00862D97">
        <w:rPr>
          <w:rStyle w:val="normaltextrun"/>
          <w:i/>
          <w:shd w:val="clear" w:color="auto" w:fill="FFFFFF"/>
          <w:lang w:val="en-GB"/>
        </w:rPr>
        <w:t>M</w:t>
      </w:r>
      <w:r w:rsidRPr="00862D97">
        <w:rPr>
          <w:rStyle w:val="normaltextrun"/>
          <w:shd w:val="clear" w:color="auto" w:fill="FFFFFF"/>
          <w:lang w:val="en-GB"/>
        </w:rPr>
        <w:t> = 0</w:t>
      </w:r>
      <w:r>
        <w:rPr>
          <w:rStyle w:val="normaltextrun"/>
          <w:shd w:val="clear" w:color="auto" w:fill="FFFFFF"/>
          <w:lang w:val="en-GB"/>
        </w:rPr>
        <w:t>.34</w:t>
      </w:r>
      <w:r w:rsidRPr="00862D97">
        <w:rPr>
          <w:rStyle w:val="normaltextrun"/>
          <w:shd w:val="clear" w:color="auto" w:fill="FFFFFF"/>
          <w:lang w:val="en-GB"/>
        </w:rPr>
        <w:t>, </w:t>
      </w:r>
      <w:r w:rsidRPr="00862D97">
        <w:rPr>
          <w:rStyle w:val="normaltextrun"/>
          <w:i/>
          <w:shd w:val="clear" w:color="auto" w:fill="FFFFFF"/>
          <w:lang w:val="en-GB"/>
        </w:rPr>
        <w:t>SD</w:t>
      </w:r>
      <w:r w:rsidRPr="00862D97">
        <w:rPr>
          <w:rStyle w:val="normaltextrun"/>
          <w:shd w:val="clear" w:color="auto" w:fill="FFFFFF"/>
          <w:lang w:val="en-GB"/>
        </w:rPr>
        <w:t> = 0.</w:t>
      </w:r>
      <w:r>
        <w:rPr>
          <w:rStyle w:val="normaltextrun"/>
          <w:shd w:val="clear" w:color="auto" w:fill="FFFFFF"/>
          <w:lang w:val="en-GB"/>
        </w:rPr>
        <w:t>4</w:t>
      </w:r>
      <w:r w:rsidRPr="00862D97">
        <w:rPr>
          <w:rStyle w:val="normaltextrun"/>
          <w:shd w:val="clear" w:color="auto" w:fill="FFFFFF"/>
          <w:lang w:val="en-GB"/>
        </w:rPr>
        <w:t>0</w:t>
      </w:r>
      <w:r>
        <w:rPr>
          <w:rStyle w:val="normaltextrun"/>
          <w:color w:val="000000"/>
          <w:shd w:val="clear" w:color="auto" w:fill="FFFFFF"/>
          <w:lang w:val="en-GB"/>
        </w:rPr>
        <w:t>) in the interference list</w:t>
      </w:r>
      <w:r w:rsidR="003A18AD">
        <w:rPr>
          <w:rStyle w:val="normaltextrun"/>
          <w:color w:val="000000"/>
          <w:shd w:val="clear" w:color="auto" w:fill="FFFFFF"/>
          <w:lang w:val="en-GB"/>
        </w:rPr>
        <w:t>s</w:t>
      </w:r>
      <w:r>
        <w:rPr>
          <w:rStyle w:val="normaltextrun"/>
          <w:color w:val="000000"/>
          <w:shd w:val="clear" w:color="auto" w:fill="FFFFFF"/>
          <w:lang w:val="en-GB"/>
        </w:rPr>
        <w:t xml:space="preserve">, </w:t>
      </w:r>
      <w:r w:rsidRPr="00B30027">
        <w:rPr>
          <w:rStyle w:val="normaltextrun"/>
          <w:i/>
          <w:shd w:val="clear" w:color="auto" w:fill="FFFFFF"/>
          <w:lang w:val="en-GB"/>
        </w:rPr>
        <w:t>t</w:t>
      </w:r>
      <w:r w:rsidRPr="00B30027">
        <w:rPr>
          <w:rStyle w:val="normaltextrun"/>
          <w:shd w:val="clear" w:color="auto" w:fill="FFFFFF"/>
          <w:lang w:val="en-GB"/>
        </w:rPr>
        <w:t xml:space="preserve">(85) = </w:t>
      </w:r>
      <w:r>
        <w:rPr>
          <w:rStyle w:val="normaltextrun"/>
          <w:shd w:val="clear" w:color="auto" w:fill="FFFFFF"/>
          <w:lang w:val="en-GB"/>
        </w:rPr>
        <w:t>-0.41</w:t>
      </w:r>
      <w:r w:rsidRPr="00B30027">
        <w:rPr>
          <w:rStyle w:val="normaltextrun"/>
          <w:shd w:val="clear" w:color="auto" w:fill="FFFFFF"/>
          <w:lang w:val="en-GB"/>
        </w:rPr>
        <w:t>, </w:t>
      </w:r>
      <w:r w:rsidRPr="00B30027">
        <w:rPr>
          <w:rStyle w:val="normaltextrun"/>
          <w:i/>
          <w:shd w:val="clear" w:color="auto" w:fill="FFFFFF"/>
          <w:lang w:val="en-GB"/>
        </w:rPr>
        <w:t>p</w:t>
      </w:r>
      <w:r w:rsidRPr="00B30027">
        <w:rPr>
          <w:rStyle w:val="normaltextrun"/>
          <w:shd w:val="clear" w:color="auto" w:fill="FFFFFF"/>
          <w:lang w:val="en-GB"/>
        </w:rPr>
        <w:t> </w:t>
      </w:r>
      <w:r>
        <w:rPr>
          <w:rStyle w:val="normaltextrun"/>
          <w:shd w:val="clear" w:color="auto" w:fill="FFFFFF"/>
          <w:lang w:val="en-GB"/>
        </w:rPr>
        <w:t>= .68</w:t>
      </w:r>
      <w:r w:rsidRPr="00B30027">
        <w:rPr>
          <w:rStyle w:val="normaltextrun"/>
          <w:shd w:val="clear" w:color="auto" w:fill="FFFFFF"/>
          <w:lang w:val="en-GB"/>
        </w:rPr>
        <w:t>,</w:t>
      </w:r>
      <w:r w:rsidRPr="00042AA9">
        <w:rPr>
          <w:rStyle w:val="normaltextrun"/>
          <w:color w:val="FF0000"/>
          <w:shd w:val="clear" w:color="auto" w:fill="FFFFFF"/>
          <w:lang w:val="en-GB"/>
        </w:rPr>
        <w:t> </w:t>
      </w:r>
      <w:r w:rsidRPr="001C3A8B">
        <w:rPr>
          <w:rStyle w:val="normaltextrun"/>
          <w:i/>
          <w:color w:val="000000" w:themeColor="text1"/>
          <w:shd w:val="clear" w:color="auto" w:fill="FFFFFF"/>
          <w:lang w:val="en-GB"/>
        </w:rPr>
        <w:t>d</w:t>
      </w:r>
      <w:r w:rsidRPr="001C3A8B">
        <w:rPr>
          <w:rStyle w:val="normaltextrun"/>
          <w:color w:val="000000" w:themeColor="text1"/>
          <w:shd w:val="clear" w:color="auto" w:fill="FFFFFF"/>
          <w:lang w:val="en-GB"/>
        </w:rPr>
        <w:t> = -0.06.</w:t>
      </w:r>
    </w:p>
    <w:p w14:paraId="76A75D8F" w14:textId="0913DF95" w:rsidR="00FA29CE" w:rsidRDefault="00FA29CE" w:rsidP="00145CD8">
      <w:pPr>
        <w:jc w:val="both"/>
        <w:rPr>
          <w:lang w:val="en-GB"/>
        </w:rPr>
      </w:pPr>
    </w:p>
    <w:p w14:paraId="14357BB3" w14:textId="24AE5031" w:rsidR="00FE21A3" w:rsidRDefault="00335912" w:rsidP="00145CD8">
      <w:pPr>
        <w:jc w:val="both"/>
        <w:rPr>
          <w:lang w:val="en-GB"/>
        </w:rPr>
      </w:pPr>
      <w:r>
        <w:rPr>
          <w:lang w:val="en-GB"/>
        </w:rPr>
        <w:t>There was a</w:t>
      </w:r>
      <w:r w:rsidR="003A18AD">
        <w:rPr>
          <w:lang w:val="en-GB"/>
        </w:rPr>
        <w:t xml:space="preserve"> significant</w:t>
      </w:r>
      <w:r>
        <w:rPr>
          <w:lang w:val="en-GB"/>
        </w:rPr>
        <w:t xml:space="preserve"> recency effect for concrete and abstract list types but none for the interference list</w:t>
      </w:r>
      <w:r w:rsidR="0054677D">
        <w:rPr>
          <w:lang w:val="en-GB"/>
        </w:rPr>
        <w:t>, confirming the function of the interference task</w:t>
      </w:r>
      <w:r w:rsidR="001C68B5">
        <w:rPr>
          <w:lang w:val="en-GB"/>
        </w:rPr>
        <w:t>.</w:t>
      </w:r>
    </w:p>
    <w:p w14:paraId="51F23AF5" w14:textId="71037538" w:rsidR="009D4116" w:rsidRPr="00BC4593" w:rsidRDefault="003D7863" w:rsidP="00D87392">
      <w:pPr>
        <w:ind w:firstLine="1304"/>
        <w:jc w:val="both"/>
        <w:rPr>
          <w:rStyle w:val="eop"/>
          <w:shd w:val="clear" w:color="auto" w:fill="FFFFFF"/>
          <w:lang w:val="en-US"/>
        </w:rPr>
      </w:pPr>
      <w:r>
        <w:rPr>
          <w:rStyle w:val="eop"/>
          <w:shd w:val="clear" w:color="auto" w:fill="FFFFFF"/>
          <w:lang w:val="en-US"/>
        </w:rPr>
        <w:t>Notably,</w:t>
      </w:r>
      <w:r w:rsidR="00B94C74">
        <w:rPr>
          <w:rStyle w:val="eop"/>
          <w:shd w:val="clear" w:color="auto" w:fill="FFFFFF"/>
          <w:lang w:val="en-US"/>
        </w:rPr>
        <w:t xml:space="preserve"> the concreteness effect</w:t>
      </w:r>
      <w:r w:rsidR="005A6CBD">
        <w:rPr>
          <w:rStyle w:val="eop"/>
          <w:shd w:val="clear" w:color="auto" w:fill="FFFFFF"/>
          <w:lang w:val="en-US"/>
        </w:rPr>
        <w:t xml:space="preserve"> seems </w:t>
      </w:r>
      <w:r w:rsidR="00475C75">
        <w:rPr>
          <w:rStyle w:val="eop"/>
          <w:shd w:val="clear" w:color="auto" w:fill="FFFFFF"/>
          <w:lang w:val="en-US"/>
        </w:rPr>
        <w:t xml:space="preserve">less pronounced or </w:t>
      </w:r>
      <w:r w:rsidR="001A4974">
        <w:rPr>
          <w:rStyle w:val="eop"/>
          <w:shd w:val="clear" w:color="auto" w:fill="FFFFFF"/>
          <w:lang w:val="en-US"/>
        </w:rPr>
        <w:t xml:space="preserve">absent </w:t>
      </w:r>
      <w:r w:rsidR="009D4116">
        <w:rPr>
          <w:rStyle w:val="eop"/>
          <w:shd w:val="clear" w:color="auto" w:fill="FFFFFF"/>
          <w:lang w:val="en-US"/>
        </w:rPr>
        <w:t>for the last two words</w:t>
      </w:r>
      <w:r w:rsidR="00D87392">
        <w:rPr>
          <w:rStyle w:val="eop"/>
          <w:shd w:val="clear" w:color="auto" w:fill="FFFFFF"/>
          <w:lang w:val="en-US"/>
        </w:rPr>
        <w:t xml:space="preserve"> (Tab</w:t>
      </w:r>
      <w:r w:rsidR="00C875F3">
        <w:rPr>
          <w:rStyle w:val="eop"/>
          <w:shd w:val="clear" w:color="auto" w:fill="FFFFFF"/>
          <w:lang w:val="en-US"/>
        </w:rPr>
        <w:t>le</w:t>
      </w:r>
      <w:r w:rsidR="00D87392">
        <w:rPr>
          <w:rStyle w:val="eop"/>
          <w:shd w:val="clear" w:color="auto" w:fill="FFFFFF"/>
          <w:lang w:val="en-US"/>
        </w:rPr>
        <w:t xml:space="preserve"> 1)</w:t>
      </w:r>
      <w:r w:rsidR="009D4116">
        <w:rPr>
          <w:rStyle w:val="eop"/>
          <w:shd w:val="clear" w:color="auto" w:fill="FFFFFF"/>
          <w:lang w:val="en-US"/>
        </w:rPr>
        <w:t xml:space="preserve">, </w:t>
      </w:r>
      <w:r w:rsidR="00330321">
        <w:rPr>
          <w:rStyle w:val="eop"/>
          <w:shd w:val="clear" w:color="auto" w:fill="FFFFFF"/>
          <w:lang w:val="en-US"/>
        </w:rPr>
        <w:t xml:space="preserve">suggesting </w:t>
      </w:r>
      <w:r w:rsidR="009D4116" w:rsidRPr="000D5C5C">
        <w:rPr>
          <w:rStyle w:val="eop"/>
          <w:shd w:val="clear" w:color="auto" w:fill="FFFFFF"/>
          <w:lang w:val="en-US"/>
        </w:rPr>
        <w:t>that concrete words are consolidated with less effort in the long term memory, while the short term memory does about equally well in holding abstract and concrete words.</w:t>
      </w:r>
    </w:p>
    <w:p w14:paraId="686DA8D1" w14:textId="77777777" w:rsidR="009D4116" w:rsidRPr="009D4116" w:rsidRDefault="009D4116" w:rsidP="00145CD8">
      <w:pPr>
        <w:jc w:val="both"/>
        <w:rPr>
          <w:lang w:val="en-US"/>
        </w:rPr>
      </w:pPr>
    </w:p>
    <w:p w14:paraId="751E082E" w14:textId="553D4A30" w:rsidR="00FE21A3" w:rsidRDefault="00EC2412" w:rsidP="00A86FE9">
      <w:pPr>
        <w:pStyle w:val="Overskrift2"/>
        <w:rPr>
          <w:lang w:val="en-GB"/>
        </w:rPr>
      </w:pPr>
      <w:r>
        <w:rPr>
          <w:lang w:val="en-GB"/>
        </w:rPr>
        <w:lastRenderedPageBreak/>
        <w:t>Individual data mudd</w:t>
      </w:r>
      <w:r w:rsidR="003C0E32">
        <w:rPr>
          <w:lang w:val="en-GB"/>
        </w:rPr>
        <w:t>y the waters</w:t>
      </w:r>
    </w:p>
    <w:p w14:paraId="268AD878" w14:textId="77777777" w:rsidR="00CE501B" w:rsidRDefault="00E62D93" w:rsidP="00CE501B">
      <w:pPr>
        <w:keepNext/>
        <w:jc w:val="both"/>
      </w:pPr>
      <w:r>
        <w:rPr>
          <w:noProof/>
        </w:rPr>
        <w:drawing>
          <wp:inline distT="0" distB="0" distL="0" distR="0" wp14:anchorId="51CF9F49" wp14:editId="251E9275">
            <wp:extent cx="5731510" cy="3094355"/>
            <wp:effectExtent l="0" t="0" r="2540" b="10795"/>
            <wp:docPr id="9" name="Diagram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3EFE99" w14:textId="6EEB4BE5" w:rsidR="00E62D93" w:rsidRPr="00E62D93" w:rsidRDefault="00CE501B" w:rsidP="00CE501B">
      <w:pPr>
        <w:pStyle w:val="Billedtekst"/>
        <w:jc w:val="both"/>
        <w:rPr>
          <w:lang w:val="en-GB"/>
        </w:rPr>
      </w:pPr>
      <w:r w:rsidRPr="00E97F18">
        <w:rPr>
          <w:lang w:val="en-US"/>
        </w:rPr>
        <w:t xml:space="preserve">Figure </w:t>
      </w:r>
      <w:r>
        <w:fldChar w:fldCharType="begin"/>
      </w:r>
      <w:r w:rsidRPr="00E97F18">
        <w:rPr>
          <w:lang w:val="en-US"/>
        </w:rPr>
        <w:instrText xml:space="preserve"> SEQ Figure \* ARABIC </w:instrText>
      </w:r>
      <w:r>
        <w:fldChar w:fldCharType="separate"/>
      </w:r>
      <w:r w:rsidRPr="00E97F18">
        <w:rPr>
          <w:noProof/>
          <w:lang w:val="en-US"/>
        </w:rPr>
        <w:t>2</w:t>
      </w:r>
      <w:r>
        <w:fldChar w:fldCharType="end"/>
      </w:r>
      <w:r w:rsidRPr="00E97F18">
        <w:rPr>
          <w:lang w:val="en-US"/>
        </w:rPr>
        <w:t>: Graph showing recency and primacy effect and effect of word type on probability of recall for FP19225</w:t>
      </w:r>
    </w:p>
    <w:p w14:paraId="0BB7A0ED" w14:textId="457810C0" w:rsidR="00BD2CA9" w:rsidRPr="007654B3" w:rsidRDefault="00227EB1" w:rsidP="00CF0C0D">
      <w:pPr>
        <w:jc w:val="both"/>
        <w:rPr>
          <w:lang w:val="en-GB"/>
        </w:rPr>
      </w:pPr>
      <w:r>
        <w:rPr>
          <w:lang w:val="en-GB"/>
        </w:rPr>
        <w:t>Looking at Figure 2</w:t>
      </w:r>
      <w:r w:rsidR="007F1037">
        <w:rPr>
          <w:lang w:val="en-GB"/>
        </w:rPr>
        <w:t xml:space="preserve"> </w:t>
      </w:r>
      <w:r w:rsidR="001C1D7E">
        <w:rPr>
          <w:lang w:val="en-GB"/>
        </w:rPr>
        <w:t xml:space="preserve">it is noteworthy that </w:t>
      </w:r>
      <w:r w:rsidR="00AB6650">
        <w:rPr>
          <w:lang w:val="en-GB"/>
        </w:rPr>
        <w:t xml:space="preserve">of the five words FP19225 recalled from the interference list, three were in the second </w:t>
      </w:r>
      <w:r w:rsidR="00A2671F">
        <w:rPr>
          <w:lang w:val="en-GB"/>
        </w:rPr>
        <w:t>half of the list.</w:t>
      </w:r>
      <w:r w:rsidR="00364802">
        <w:rPr>
          <w:lang w:val="en-GB"/>
        </w:rPr>
        <w:t xml:space="preserve"> </w:t>
      </w:r>
      <w:r w:rsidR="00364802" w:rsidRPr="000E791D">
        <w:rPr>
          <w:lang w:val="en-GB"/>
        </w:rPr>
        <w:t xml:space="preserve">While the last two words, which were used for the </w:t>
      </w:r>
      <w:r w:rsidR="00364802" w:rsidRPr="000E791D">
        <w:rPr>
          <w:i/>
          <w:iCs/>
          <w:lang w:val="en-GB"/>
        </w:rPr>
        <w:t>t</w:t>
      </w:r>
      <w:r w:rsidR="00364802" w:rsidRPr="000E791D">
        <w:rPr>
          <w:lang w:val="en-GB"/>
        </w:rPr>
        <w:t>-tests above, were not recalled</w:t>
      </w:r>
      <w:r w:rsidR="00BF0687">
        <w:rPr>
          <w:lang w:val="en-GB"/>
        </w:rPr>
        <w:t>,</w:t>
      </w:r>
      <w:r w:rsidR="009B3571" w:rsidRPr="000E791D">
        <w:rPr>
          <w:lang w:val="en-GB"/>
        </w:rPr>
        <w:t xml:space="preserve"> this </w:t>
      </w:r>
      <w:r w:rsidR="00CF0C0D">
        <w:rPr>
          <w:lang w:val="en-GB"/>
        </w:rPr>
        <w:t>could</w:t>
      </w:r>
      <w:r w:rsidR="00BF0687">
        <w:rPr>
          <w:lang w:val="en-GB"/>
        </w:rPr>
        <w:t xml:space="preserve"> </w:t>
      </w:r>
      <w:r w:rsidR="007512ED" w:rsidRPr="000E791D">
        <w:rPr>
          <w:lang w:val="en-GB"/>
        </w:rPr>
        <w:t>provide some challenge to the function of the interference lists</w:t>
      </w:r>
      <w:r w:rsidR="007D2B4B" w:rsidRPr="000E791D">
        <w:rPr>
          <w:lang w:val="en-GB"/>
        </w:rPr>
        <w:t>.</w:t>
      </w:r>
    </w:p>
    <w:p w14:paraId="71E81079" w14:textId="38DC765E" w:rsidR="00734925" w:rsidRPr="00B416C6" w:rsidRDefault="00734925" w:rsidP="00145CD8">
      <w:pPr>
        <w:pStyle w:val="Overskrift1"/>
        <w:jc w:val="both"/>
        <w:rPr>
          <w:lang w:val="en-GB"/>
        </w:rPr>
      </w:pPr>
      <w:bookmarkStart w:id="5" w:name="_Toc21950176"/>
      <w:r w:rsidRPr="00B416C6">
        <w:rPr>
          <w:lang w:val="en-GB"/>
        </w:rPr>
        <w:t>Conclusion</w:t>
      </w:r>
      <w:bookmarkEnd w:id="5"/>
    </w:p>
    <w:p w14:paraId="1F694DDD" w14:textId="5088D4C2" w:rsidR="000E6BF8" w:rsidRDefault="00E97F18" w:rsidP="00145CD8">
      <w:pPr>
        <w:jc w:val="both"/>
        <w:rPr>
          <w:lang w:val="en-GB"/>
        </w:rPr>
      </w:pPr>
      <w:r>
        <w:rPr>
          <w:lang w:val="en-GB"/>
        </w:rPr>
        <w:t xml:space="preserve">The results of this experiment </w:t>
      </w:r>
      <w:r w:rsidR="00CA5A6F">
        <w:rPr>
          <w:lang w:val="en-GB"/>
        </w:rPr>
        <w:t>demonstrate the primacy, recency and concreteness effects</w:t>
      </w:r>
      <w:r w:rsidR="004A23F8">
        <w:rPr>
          <w:lang w:val="en-GB"/>
        </w:rPr>
        <w:t xml:space="preserve"> and provides evidence that the working memory can be </w:t>
      </w:r>
      <w:r w:rsidR="00700B01">
        <w:rPr>
          <w:lang w:val="en-GB"/>
        </w:rPr>
        <w:t>occupied and have its contents replaced through an interference task</w:t>
      </w:r>
      <w:r w:rsidR="0012136E">
        <w:rPr>
          <w:lang w:val="en-GB"/>
        </w:rPr>
        <w:t>.</w:t>
      </w:r>
    </w:p>
    <w:p w14:paraId="2FEC70EE" w14:textId="098B14B1" w:rsidR="002D24D3" w:rsidRPr="00B416C6" w:rsidRDefault="002D24D3" w:rsidP="002D24D3">
      <w:pPr>
        <w:spacing w:after="160" w:line="259" w:lineRule="auto"/>
        <w:rPr>
          <w:lang w:val="en-GB"/>
        </w:rPr>
      </w:pPr>
      <w:r>
        <w:rPr>
          <w:lang w:val="en-GB"/>
        </w:rPr>
        <w:br w:type="page"/>
      </w:r>
    </w:p>
    <w:p w14:paraId="6E841B01" w14:textId="4C23D6BC" w:rsidR="009A6A11" w:rsidRPr="00B416C6" w:rsidRDefault="009A6A11" w:rsidP="00145CD8">
      <w:pPr>
        <w:pStyle w:val="Overskrift1"/>
        <w:jc w:val="both"/>
        <w:rPr>
          <w:lang w:val="en-GB"/>
        </w:rPr>
      </w:pPr>
      <w:bookmarkStart w:id="6" w:name="_Toc21950177"/>
      <w:r w:rsidRPr="00B416C6">
        <w:rPr>
          <w:lang w:val="en-GB"/>
        </w:rPr>
        <w:lastRenderedPageBreak/>
        <w:t>References</w:t>
      </w:r>
      <w:bookmarkEnd w:id="6"/>
    </w:p>
    <w:p w14:paraId="2BA87BE6" w14:textId="5DF88BFF" w:rsidR="00EC37C1" w:rsidRPr="00EC37C1" w:rsidRDefault="002D24D3" w:rsidP="00EC37C1">
      <w:pPr>
        <w:widowControl w:val="0"/>
        <w:autoSpaceDE w:val="0"/>
        <w:autoSpaceDN w:val="0"/>
        <w:adjustRightInd w:val="0"/>
        <w:ind w:left="480" w:hanging="480"/>
        <w:rPr>
          <w:noProof/>
        </w:rPr>
      </w:pPr>
      <w:r>
        <w:rPr>
          <w:lang w:val="en-GB"/>
        </w:rPr>
        <w:fldChar w:fldCharType="begin" w:fldLock="1"/>
      </w:r>
      <w:r>
        <w:rPr>
          <w:lang w:val="en-GB"/>
        </w:rPr>
        <w:instrText xml:space="preserve">ADDIN Mendeley Bibliography CSL_BIBLIOGRAPHY </w:instrText>
      </w:r>
      <w:r>
        <w:rPr>
          <w:lang w:val="en-GB"/>
        </w:rPr>
        <w:fldChar w:fldCharType="separate"/>
      </w:r>
      <w:bookmarkStart w:id="7" w:name="_GoBack"/>
      <w:bookmarkEnd w:id="7"/>
      <w:r w:rsidR="00EC37C1" w:rsidRPr="00EC37C1">
        <w:rPr>
          <w:noProof/>
        </w:rPr>
        <w:t xml:space="preserve">Fiebach, C. J., &amp; Friederici, A. D. (2003). Processing concrete words: fMRI evidence against a specific right-hemisphere involvement. </w:t>
      </w:r>
      <w:r w:rsidR="00EC37C1" w:rsidRPr="00EC37C1">
        <w:rPr>
          <w:i/>
          <w:iCs/>
          <w:noProof/>
        </w:rPr>
        <w:t>Neuropsychologia</w:t>
      </w:r>
      <w:r w:rsidR="00EC37C1" w:rsidRPr="00EC37C1">
        <w:rPr>
          <w:noProof/>
        </w:rPr>
        <w:t xml:space="preserve">, </w:t>
      </w:r>
      <w:r w:rsidR="00EC37C1" w:rsidRPr="00EC37C1">
        <w:rPr>
          <w:i/>
          <w:iCs/>
          <w:noProof/>
        </w:rPr>
        <w:t>42</w:t>
      </w:r>
      <w:r w:rsidR="00EC37C1" w:rsidRPr="00EC37C1">
        <w:rPr>
          <w:noProof/>
        </w:rPr>
        <w:t>, 62–70.</w:t>
      </w:r>
    </w:p>
    <w:p w14:paraId="79A60184" w14:textId="77777777" w:rsidR="00EC37C1" w:rsidRPr="00EC37C1" w:rsidRDefault="00EC37C1" w:rsidP="00EC37C1">
      <w:pPr>
        <w:widowControl w:val="0"/>
        <w:autoSpaceDE w:val="0"/>
        <w:autoSpaceDN w:val="0"/>
        <w:adjustRightInd w:val="0"/>
        <w:ind w:left="480" w:hanging="480"/>
        <w:rPr>
          <w:noProof/>
        </w:rPr>
      </w:pPr>
      <w:r w:rsidRPr="00EC37C1">
        <w:rPr>
          <w:noProof/>
        </w:rPr>
        <w:t xml:space="preserve">Radvansky, G. A., &amp; Ashcraft, M. H. (2014). </w:t>
      </w:r>
      <w:r w:rsidRPr="00EC37C1">
        <w:rPr>
          <w:i/>
          <w:iCs/>
          <w:noProof/>
        </w:rPr>
        <w:t>Cognition</w:t>
      </w:r>
      <w:r w:rsidRPr="00EC37C1">
        <w:rPr>
          <w:noProof/>
        </w:rPr>
        <w:t xml:space="preserve"> (6th ed.). Upper Saddle River: Pearson Education.</w:t>
      </w:r>
    </w:p>
    <w:p w14:paraId="7696C90A" w14:textId="5BB4CD32" w:rsidR="009A6A11" w:rsidRPr="00B416C6" w:rsidRDefault="002D24D3" w:rsidP="00145CD8">
      <w:pPr>
        <w:jc w:val="both"/>
        <w:rPr>
          <w:lang w:val="en-GB"/>
        </w:rPr>
      </w:pPr>
      <w:r>
        <w:rPr>
          <w:lang w:val="en-GB"/>
        </w:rPr>
        <w:fldChar w:fldCharType="end"/>
      </w:r>
    </w:p>
    <w:sectPr w:rsidR="009A6A11" w:rsidRPr="00B416C6" w:rsidSect="00FC39BF">
      <w:headerReference w:type="default" r:id="rId13"/>
      <w:footerReference w:type="even" r:id="rId14"/>
      <w:footerReference w:type="default" r:id="rId15"/>
      <w:headerReference w:type="first" r:id="rId16"/>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83B8F" w14:textId="77777777" w:rsidR="002975C3" w:rsidRDefault="002975C3" w:rsidP="001078C3">
      <w:pPr>
        <w:spacing w:line="240" w:lineRule="auto"/>
      </w:pPr>
      <w:r>
        <w:separator/>
      </w:r>
    </w:p>
  </w:endnote>
  <w:endnote w:type="continuationSeparator" w:id="0">
    <w:p w14:paraId="7DDA67ED" w14:textId="77777777" w:rsidR="002975C3" w:rsidRDefault="002975C3" w:rsidP="001078C3">
      <w:pPr>
        <w:spacing w:line="240" w:lineRule="auto"/>
      </w:pPr>
      <w:r>
        <w:continuationSeparator/>
      </w:r>
    </w:p>
  </w:endnote>
  <w:endnote w:type="continuationNotice" w:id="1">
    <w:p w14:paraId="13EC403F" w14:textId="77777777" w:rsidR="002975C3" w:rsidRDefault="002975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2975C3" w:rsidP="00FC39BF">
    <w:pPr>
      <w:pStyle w:val="Sidefod"/>
      <w:ind w:right="360"/>
    </w:pPr>
  </w:p>
  <w:p w14:paraId="3CF47B86" w14:textId="77777777" w:rsidR="00E24AA6" w:rsidRDefault="002975C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5C446E67" w:rsidR="00FC39BF" w:rsidRDefault="002975C3" w:rsidP="00E25657">
    <w:pPr>
      <w:pStyle w:val="Sidefod"/>
      <w:ind w:right="360"/>
      <w:jc w:val="right"/>
    </w:pPr>
  </w:p>
  <w:p w14:paraId="02D07F0B" w14:textId="77777777" w:rsidR="00E24AA6" w:rsidRDefault="002975C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726D6" w14:textId="77777777" w:rsidR="002975C3" w:rsidRDefault="002975C3" w:rsidP="001078C3">
      <w:pPr>
        <w:spacing w:line="240" w:lineRule="auto"/>
      </w:pPr>
      <w:r>
        <w:separator/>
      </w:r>
    </w:p>
  </w:footnote>
  <w:footnote w:type="continuationSeparator" w:id="0">
    <w:p w14:paraId="720093B4" w14:textId="77777777" w:rsidR="002975C3" w:rsidRDefault="002975C3" w:rsidP="001078C3">
      <w:pPr>
        <w:spacing w:line="240" w:lineRule="auto"/>
      </w:pPr>
      <w:r>
        <w:continuationSeparator/>
      </w:r>
    </w:p>
  </w:footnote>
  <w:footnote w:type="continuationNotice" w:id="1">
    <w:p w14:paraId="7F552A1B" w14:textId="77777777" w:rsidR="002975C3" w:rsidRDefault="002975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ED0DC" w14:textId="67364B5C" w:rsidR="006E6632" w:rsidRDefault="00BD365A">
    <w:pPr>
      <w:pStyle w:val="Sidehoved"/>
    </w:pPr>
    <w:r>
      <w:t>Frederik Bredgaard</w:t>
    </w:r>
    <w:r w:rsidR="000E0577">
      <w:ptab w:relativeTo="margin" w:alignment="center" w:leader="none"/>
    </w:r>
    <w:r w:rsidR="00FA3D43">
      <w:t>Free Recall</w:t>
    </w:r>
    <w:r w:rsidR="000E0577">
      <w:ptab w:relativeTo="margin" w:alignment="right" w:leader="none"/>
    </w:r>
    <w:r w:rsidR="00FA3D43">
      <w:t xml:space="preserve">Page </w:t>
    </w:r>
    <w:r w:rsidR="00FA3D43">
      <w:rPr>
        <w:b/>
        <w:bCs/>
      </w:rPr>
      <w:fldChar w:fldCharType="begin"/>
    </w:r>
    <w:r w:rsidR="00FA3D43">
      <w:rPr>
        <w:b/>
        <w:bCs/>
      </w:rPr>
      <w:instrText>PAGE  \* Arabic  \* MERGEFORMAT</w:instrText>
    </w:r>
    <w:r w:rsidR="00FA3D43">
      <w:rPr>
        <w:b/>
        <w:bCs/>
      </w:rPr>
      <w:fldChar w:fldCharType="separate"/>
    </w:r>
    <w:r w:rsidR="00FA3D43">
      <w:rPr>
        <w:b/>
        <w:bCs/>
      </w:rPr>
      <w:t>1</w:t>
    </w:r>
    <w:r w:rsidR="00FA3D43">
      <w:rPr>
        <w:b/>
        <w:bCs/>
      </w:rPr>
      <w:fldChar w:fldCharType="end"/>
    </w:r>
    <w:r w:rsidR="00FA3D43">
      <w:t xml:space="preserve"> of </w:t>
    </w:r>
    <w:r w:rsidR="00FA3D43">
      <w:rPr>
        <w:b/>
        <w:bCs/>
      </w:rPr>
      <w:fldChar w:fldCharType="begin"/>
    </w:r>
    <w:r w:rsidR="00FA3D43">
      <w:rPr>
        <w:b/>
        <w:bCs/>
      </w:rPr>
      <w:instrText>NUMPAGES  \* Arabic  \* MERGEFORMAT</w:instrText>
    </w:r>
    <w:r w:rsidR="00FA3D43">
      <w:rPr>
        <w:b/>
        <w:bCs/>
      </w:rPr>
      <w:fldChar w:fldCharType="separate"/>
    </w:r>
    <w:r w:rsidR="00FA3D43">
      <w:rPr>
        <w:b/>
        <w:bCs/>
      </w:rPr>
      <w:t>2</w:t>
    </w:r>
    <w:r w:rsidR="00FA3D43">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59D65" w14:textId="67F275F0" w:rsidR="00EC37C1" w:rsidRDefault="00EC37C1">
    <w:pPr>
      <w:pStyle w:val="Sidehoved"/>
    </w:pPr>
    <w:r>
      <w:t>Frederik Bredgaard</w:t>
    </w:r>
    <w:r>
      <w:ptab w:relativeTo="margin" w:alignment="center" w:leader="none"/>
    </w:r>
    <w:r>
      <w:t>Free Recall</w:t>
    </w:r>
    <w:r>
      <w:ptab w:relativeTo="margin" w:alignment="right" w:leader="none"/>
    </w: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4158B"/>
    <w:multiLevelType w:val="hybridMultilevel"/>
    <w:tmpl w:val="42E84C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177D"/>
    <w:rsid w:val="00007179"/>
    <w:rsid w:val="0001111B"/>
    <w:rsid w:val="00012558"/>
    <w:rsid w:val="00012932"/>
    <w:rsid w:val="00013493"/>
    <w:rsid w:val="0001443C"/>
    <w:rsid w:val="0001625B"/>
    <w:rsid w:val="00021E72"/>
    <w:rsid w:val="00025219"/>
    <w:rsid w:val="000308E9"/>
    <w:rsid w:val="00033CE6"/>
    <w:rsid w:val="00040FB6"/>
    <w:rsid w:val="00047D34"/>
    <w:rsid w:val="000556BA"/>
    <w:rsid w:val="00056351"/>
    <w:rsid w:val="00057DB4"/>
    <w:rsid w:val="0006338D"/>
    <w:rsid w:val="00063884"/>
    <w:rsid w:val="00070DB0"/>
    <w:rsid w:val="00074010"/>
    <w:rsid w:val="00074D92"/>
    <w:rsid w:val="000815E7"/>
    <w:rsid w:val="00090762"/>
    <w:rsid w:val="000A5AD6"/>
    <w:rsid w:val="000A5E03"/>
    <w:rsid w:val="000B034E"/>
    <w:rsid w:val="000B0B36"/>
    <w:rsid w:val="000B6282"/>
    <w:rsid w:val="000B6C36"/>
    <w:rsid w:val="000C07FA"/>
    <w:rsid w:val="000C26A5"/>
    <w:rsid w:val="000C576B"/>
    <w:rsid w:val="000D413C"/>
    <w:rsid w:val="000D451C"/>
    <w:rsid w:val="000D5C5C"/>
    <w:rsid w:val="000E0577"/>
    <w:rsid w:val="000E551F"/>
    <w:rsid w:val="000E62BE"/>
    <w:rsid w:val="000E6BF8"/>
    <w:rsid w:val="000E791D"/>
    <w:rsid w:val="000F173C"/>
    <w:rsid w:val="000F54C7"/>
    <w:rsid w:val="000F62D6"/>
    <w:rsid w:val="000F6684"/>
    <w:rsid w:val="000F6F46"/>
    <w:rsid w:val="00106E59"/>
    <w:rsid w:val="001078C3"/>
    <w:rsid w:val="00107EB9"/>
    <w:rsid w:val="00115774"/>
    <w:rsid w:val="0012136E"/>
    <w:rsid w:val="00124DEC"/>
    <w:rsid w:val="001271FE"/>
    <w:rsid w:val="00130630"/>
    <w:rsid w:val="00134FDC"/>
    <w:rsid w:val="00136752"/>
    <w:rsid w:val="0013695C"/>
    <w:rsid w:val="00136C3D"/>
    <w:rsid w:val="00142B9F"/>
    <w:rsid w:val="00145CD8"/>
    <w:rsid w:val="00147B75"/>
    <w:rsid w:val="0016004A"/>
    <w:rsid w:val="00160316"/>
    <w:rsid w:val="0016184F"/>
    <w:rsid w:val="00164D91"/>
    <w:rsid w:val="0017427A"/>
    <w:rsid w:val="00182CF7"/>
    <w:rsid w:val="00184F9D"/>
    <w:rsid w:val="00186564"/>
    <w:rsid w:val="00192504"/>
    <w:rsid w:val="001952F1"/>
    <w:rsid w:val="001A1B2E"/>
    <w:rsid w:val="001A1E77"/>
    <w:rsid w:val="001A4974"/>
    <w:rsid w:val="001B551E"/>
    <w:rsid w:val="001C111C"/>
    <w:rsid w:val="001C11FA"/>
    <w:rsid w:val="001C1D7E"/>
    <w:rsid w:val="001C68B5"/>
    <w:rsid w:val="001D28FC"/>
    <w:rsid w:val="001E2A61"/>
    <w:rsid w:val="001F255B"/>
    <w:rsid w:val="001F501E"/>
    <w:rsid w:val="002012F2"/>
    <w:rsid w:val="0020391E"/>
    <w:rsid w:val="00203C59"/>
    <w:rsid w:val="00203FD8"/>
    <w:rsid w:val="00223483"/>
    <w:rsid w:val="00223AF0"/>
    <w:rsid w:val="00224BD7"/>
    <w:rsid w:val="00226621"/>
    <w:rsid w:val="00227EB1"/>
    <w:rsid w:val="00230112"/>
    <w:rsid w:val="00232FF6"/>
    <w:rsid w:val="00236323"/>
    <w:rsid w:val="002371F4"/>
    <w:rsid w:val="00240D3C"/>
    <w:rsid w:val="00242B58"/>
    <w:rsid w:val="00244EE3"/>
    <w:rsid w:val="00247360"/>
    <w:rsid w:val="002513B5"/>
    <w:rsid w:val="0025371F"/>
    <w:rsid w:val="0025586B"/>
    <w:rsid w:val="00257468"/>
    <w:rsid w:val="00260C01"/>
    <w:rsid w:val="00260E94"/>
    <w:rsid w:val="00263D6E"/>
    <w:rsid w:val="00264C9D"/>
    <w:rsid w:val="00272D77"/>
    <w:rsid w:val="002859CF"/>
    <w:rsid w:val="002975C3"/>
    <w:rsid w:val="002A7461"/>
    <w:rsid w:val="002B01EC"/>
    <w:rsid w:val="002B032A"/>
    <w:rsid w:val="002B262A"/>
    <w:rsid w:val="002C127F"/>
    <w:rsid w:val="002C1306"/>
    <w:rsid w:val="002C252A"/>
    <w:rsid w:val="002C708D"/>
    <w:rsid w:val="002D117A"/>
    <w:rsid w:val="002D24D3"/>
    <w:rsid w:val="002D49AC"/>
    <w:rsid w:val="002D595C"/>
    <w:rsid w:val="002E088A"/>
    <w:rsid w:val="002F4D6F"/>
    <w:rsid w:val="002F56DE"/>
    <w:rsid w:val="002F6949"/>
    <w:rsid w:val="00307421"/>
    <w:rsid w:val="00312E70"/>
    <w:rsid w:val="003150BD"/>
    <w:rsid w:val="003169C5"/>
    <w:rsid w:val="00322F49"/>
    <w:rsid w:val="0032416F"/>
    <w:rsid w:val="003251D8"/>
    <w:rsid w:val="003251ED"/>
    <w:rsid w:val="003255FD"/>
    <w:rsid w:val="0033028D"/>
    <w:rsid w:val="00330321"/>
    <w:rsid w:val="00330C86"/>
    <w:rsid w:val="00330F06"/>
    <w:rsid w:val="00331187"/>
    <w:rsid w:val="003324ED"/>
    <w:rsid w:val="00335912"/>
    <w:rsid w:val="003415F3"/>
    <w:rsid w:val="00351FB0"/>
    <w:rsid w:val="00353A6F"/>
    <w:rsid w:val="00354058"/>
    <w:rsid w:val="00360CC4"/>
    <w:rsid w:val="00363C8A"/>
    <w:rsid w:val="00364802"/>
    <w:rsid w:val="00366A82"/>
    <w:rsid w:val="00370BC2"/>
    <w:rsid w:val="00370DB5"/>
    <w:rsid w:val="003745E9"/>
    <w:rsid w:val="00381619"/>
    <w:rsid w:val="00381C51"/>
    <w:rsid w:val="00383D7E"/>
    <w:rsid w:val="00392367"/>
    <w:rsid w:val="00395607"/>
    <w:rsid w:val="00397C17"/>
    <w:rsid w:val="003A18AD"/>
    <w:rsid w:val="003A40BA"/>
    <w:rsid w:val="003A7B3F"/>
    <w:rsid w:val="003B5EF9"/>
    <w:rsid w:val="003B7CD4"/>
    <w:rsid w:val="003C0E32"/>
    <w:rsid w:val="003C319A"/>
    <w:rsid w:val="003C6E8D"/>
    <w:rsid w:val="003C78F0"/>
    <w:rsid w:val="003D365C"/>
    <w:rsid w:val="003D7863"/>
    <w:rsid w:val="003E29E2"/>
    <w:rsid w:val="003F3EF9"/>
    <w:rsid w:val="003F540B"/>
    <w:rsid w:val="003F6FEB"/>
    <w:rsid w:val="003F710C"/>
    <w:rsid w:val="00401AAC"/>
    <w:rsid w:val="004020E8"/>
    <w:rsid w:val="00403FF4"/>
    <w:rsid w:val="00411F83"/>
    <w:rsid w:val="004161A8"/>
    <w:rsid w:val="00417C79"/>
    <w:rsid w:val="00420F08"/>
    <w:rsid w:val="00430787"/>
    <w:rsid w:val="00431DAE"/>
    <w:rsid w:val="00433FD4"/>
    <w:rsid w:val="0043466C"/>
    <w:rsid w:val="004362B6"/>
    <w:rsid w:val="00437277"/>
    <w:rsid w:val="004408F2"/>
    <w:rsid w:val="004432C5"/>
    <w:rsid w:val="004448AD"/>
    <w:rsid w:val="00445619"/>
    <w:rsid w:val="00451AE8"/>
    <w:rsid w:val="0046611C"/>
    <w:rsid w:val="004730C6"/>
    <w:rsid w:val="00475C75"/>
    <w:rsid w:val="00483299"/>
    <w:rsid w:val="00490B75"/>
    <w:rsid w:val="00494AE1"/>
    <w:rsid w:val="00495F4F"/>
    <w:rsid w:val="004A23F8"/>
    <w:rsid w:val="004A4C62"/>
    <w:rsid w:val="004C4B26"/>
    <w:rsid w:val="004C7096"/>
    <w:rsid w:val="004D07A4"/>
    <w:rsid w:val="004D5E52"/>
    <w:rsid w:val="004D7069"/>
    <w:rsid w:val="004E1C4E"/>
    <w:rsid w:val="004E580F"/>
    <w:rsid w:val="004E660A"/>
    <w:rsid w:val="00500031"/>
    <w:rsid w:val="00514252"/>
    <w:rsid w:val="0051625A"/>
    <w:rsid w:val="005166FC"/>
    <w:rsid w:val="00520F4B"/>
    <w:rsid w:val="00530DA3"/>
    <w:rsid w:val="00536377"/>
    <w:rsid w:val="00537EAF"/>
    <w:rsid w:val="00540E1C"/>
    <w:rsid w:val="005434AC"/>
    <w:rsid w:val="00545AB5"/>
    <w:rsid w:val="0054677D"/>
    <w:rsid w:val="00547BA1"/>
    <w:rsid w:val="00552EDB"/>
    <w:rsid w:val="00561E5F"/>
    <w:rsid w:val="00565E8B"/>
    <w:rsid w:val="005704FC"/>
    <w:rsid w:val="00571CA7"/>
    <w:rsid w:val="00581348"/>
    <w:rsid w:val="00585777"/>
    <w:rsid w:val="00590CCE"/>
    <w:rsid w:val="0059493C"/>
    <w:rsid w:val="005A043C"/>
    <w:rsid w:val="005A2EBB"/>
    <w:rsid w:val="005A422B"/>
    <w:rsid w:val="005A45C7"/>
    <w:rsid w:val="005A5C3C"/>
    <w:rsid w:val="005A6CBD"/>
    <w:rsid w:val="005B0494"/>
    <w:rsid w:val="005B2141"/>
    <w:rsid w:val="005D0435"/>
    <w:rsid w:val="005D47AE"/>
    <w:rsid w:val="005E0BA8"/>
    <w:rsid w:val="005E4F78"/>
    <w:rsid w:val="005F03C7"/>
    <w:rsid w:val="005F62B8"/>
    <w:rsid w:val="00605C96"/>
    <w:rsid w:val="00606D40"/>
    <w:rsid w:val="00606D92"/>
    <w:rsid w:val="00607471"/>
    <w:rsid w:val="00611726"/>
    <w:rsid w:val="00612280"/>
    <w:rsid w:val="00616F97"/>
    <w:rsid w:val="006251AD"/>
    <w:rsid w:val="00626CE0"/>
    <w:rsid w:val="00635EE4"/>
    <w:rsid w:val="006507BE"/>
    <w:rsid w:val="006514B7"/>
    <w:rsid w:val="006555D1"/>
    <w:rsid w:val="0066310A"/>
    <w:rsid w:val="0066691D"/>
    <w:rsid w:val="00671259"/>
    <w:rsid w:val="00674A61"/>
    <w:rsid w:val="00680275"/>
    <w:rsid w:val="006865B6"/>
    <w:rsid w:val="00695DE0"/>
    <w:rsid w:val="006A1A15"/>
    <w:rsid w:val="006A4E6C"/>
    <w:rsid w:val="006B6504"/>
    <w:rsid w:val="006C3F16"/>
    <w:rsid w:val="006C507B"/>
    <w:rsid w:val="006C5850"/>
    <w:rsid w:val="006C6511"/>
    <w:rsid w:val="006C71BA"/>
    <w:rsid w:val="006D32BA"/>
    <w:rsid w:val="006E0BC3"/>
    <w:rsid w:val="006E6632"/>
    <w:rsid w:val="006E7CF2"/>
    <w:rsid w:val="006F034F"/>
    <w:rsid w:val="006F30E1"/>
    <w:rsid w:val="006F3862"/>
    <w:rsid w:val="006F4BC2"/>
    <w:rsid w:val="006F6A79"/>
    <w:rsid w:val="00700B01"/>
    <w:rsid w:val="00700BA5"/>
    <w:rsid w:val="00701DDD"/>
    <w:rsid w:val="00702761"/>
    <w:rsid w:val="00706B2A"/>
    <w:rsid w:val="00711B30"/>
    <w:rsid w:val="00712A48"/>
    <w:rsid w:val="00717DF6"/>
    <w:rsid w:val="007239EB"/>
    <w:rsid w:val="0073041A"/>
    <w:rsid w:val="007319B0"/>
    <w:rsid w:val="007338A8"/>
    <w:rsid w:val="00734925"/>
    <w:rsid w:val="00735B92"/>
    <w:rsid w:val="00740027"/>
    <w:rsid w:val="007429E2"/>
    <w:rsid w:val="0075058B"/>
    <w:rsid w:val="007511D0"/>
    <w:rsid w:val="007512ED"/>
    <w:rsid w:val="00752338"/>
    <w:rsid w:val="00752706"/>
    <w:rsid w:val="0076013B"/>
    <w:rsid w:val="00760179"/>
    <w:rsid w:val="007654B3"/>
    <w:rsid w:val="00767DA6"/>
    <w:rsid w:val="00772B35"/>
    <w:rsid w:val="007827A9"/>
    <w:rsid w:val="007A2434"/>
    <w:rsid w:val="007C4A71"/>
    <w:rsid w:val="007D2B4B"/>
    <w:rsid w:val="007D5225"/>
    <w:rsid w:val="007E03A5"/>
    <w:rsid w:val="007E12D8"/>
    <w:rsid w:val="007E1688"/>
    <w:rsid w:val="007F1037"/>
    <w:rsid w:val="007F15FF"/>
    <w:rsid w:val="007F1873"/>
    <w:rsid w:val="007F1B22"/>
    <w:rsid w:val="008031AD"/>
    <w:rsid w:val="008048EA"/>
    <w:rsid w:val="00804A0E"/>
    <w:rsid w:val="00806653"/>
    <w:rsid w:val="00817FCE"/>
    <w:rsid w:val="00825AF1"/>
    <w:rsid w:val="00825B29"/>
    <w:rsid w:val="00826C9E"/>
    <w:rsid w:val="0083512D"/>
    <w:rsid w:val="00837884"/>
    <w:rsid w:val="00840337"/>
    <w:rsid w:val="00846303"/>
    <w:rsid w:val="0084767A"/>
    <w:rsid w:val="00854FC3"/>
    <w:rsid w:val="00855FF2"/>
    <w:rsid w:val="008570E7"/>
    <w:rsid w:val="00876B48"/>
    <w:rsid w:val="0088023E"/>
    <w:rsid w:val="00880A31"/>
    <w:rsid w:val="00881E87"/>
    <w:rsid w:val="008829B9"/>
    <w:rsid w:val="00882E0B"/>
    <w:rsid w:val="00886152"/>
    <w:rsid w:val="00887CD1"/>
    <w:rsid w:val="008926B7"/>
    <w:rsid w:val="00892CFC"/>
    <w:rsid w:val="008A17F2"/>
    <w:rsid w:val="008A1FC5"/>
    <w:rsid w:val="008A3280"/>
    <w:rsid w:val="008A33E0"/>
    <w:rsid w:val="008B06CF"/>
    <w:rsid w:val="008B0876"/>
    <w:rsid w:val="008C46ED"/>
    <w:rsid w:val="008C5EDC"/>
    <w:rsid w:val="008D35FC"/>
    <w:rsid w:val="008D44CF"/>
    <w:rsid w:val="008D6539"/>
    <w:rsid w:val="008E5251"/>
    <w:rsid w:val="008E7793"/>
    <w:rsid w:val="008F1DCE"/>
    <w:rsid w:val="008F28FF"/>
    <w:rsid w:val="008F3A92"/>
    <w:rsid w:val="008F72B3"/>
    <w:rsid w:val="009007FC"/>
    <w:rsid w:val="009019CD"/>
    <w:rsid w:val="0090247F"/>
    <w:rsid w:val="009150AE"/>
    <w:rsid w:val="00933A1E"/>
    <w:rsid w:val="00941A3A"/>
    <w:rsid w:val="00943B18"/>
    <w:rsid w:val="0094793B"/>
    <w:rsid w:val="009570AB"/>
    <w:rsid w:val="009576ED"/>
    <w:rsid w:val="00960AE9"/>
    <w:rsid w:val="00961106"/>
    <w:rsid w:val="00962EF8"/>
    <w:rsid w:val="00966490"/>
    <w:rsid w:val="00970AB2"/>
    <w:rsid w:val="00971596"/>
    <w:rsid w:val="00991A7C"/>
    <w:rsid w:val="0099339D"/>
    <w:rsid w:val="009A0CC4"/>
    <w:rsid w:val="009A58A8"/>
    <w:rsid w:val="009A6A11"/>
    <w:rsid w:val="009A7465"/>
    <w:rsid w:val="009B1439"/>
    <w:rsid w:val="009B2F99"/>
    <w:rsid w:val="009B3571"/>
    <w:rsid w:val="009B47B6"/>
    <w:rsid w:val="009C0EEB"/>
    <w:rsid w:val="009C1073"/>
    <w:rsid w:val="009D4116"/>
    <w:rsid w:val="009D4977"/>
    <w:rsid w:val="009D5C0E"/>
    <w:rsid w:val="009E1A5D"/>
    <w:rsid w:val="009F6311"/>
    <w:rsid w:val="00A010F8"/>
    <w:rsid w:val="00A167D6"/>
    <w:rsid w:val="00A25B06"/>
    <w:rsid w:val="00A2671F"/>
    <w:rsid w:val="00A308A8"/>
    <w:rsid w:val="00A4008E"/>
    <w:rsid w:val="00A43E25"/>
    <w:rsid w:val="00A5018B"/>
    <w:rsid w:val="00A50F12"/>
    <w:rsid w:val="00A61979"/>
    <w:rsid w:val="00A678F0"/>
    <w:rsid w:val="00A81A04"/>
    <w:rsid w:val="00A83DC5"/>
    <w:rsid w:val="00A86FE9"/>
    <w:rsid w:val="00A97B1C"/>
    <w:rsid w:val="00AA42F1"/>
    <w:rsid w:val="00AA6790"/>
    <w:rsid w:val="00AB6650"/>
    <w:rsid w:val="00AD100C"/>
    <w:rsid w:val="00AD231F"/>
    <w:rsid w:val="00AE60DA"/>
    <w:rsid w:val="00B05344"/>
    <w:rsid w:val="00B0636B"/>
    <w:rsid w:val="00B2120B"/>
    <w:rsid w:val="00B2384B"/>
    <w:rsid w:val="00B25E48"/>
    <w:rsid w:val="00B26579"/>
    <w:rsid w:val="00B36523"/>
    <w:rsid w:val="00B416C6"/>
    <w:rsid w:val="00B42212"/>
    <w:rsid w:val="00B4349F"/>
    <w:rsid w:val="00B471BE"/>
    <w:rsid w:val="00B52738"/>
    <w:rsid w:val="00B53E70"/>
    <w:rsid w:val="00B55048"/>
    <w:rsid w:val="00B84CF5"/>
    <w:rsid w:val="00B939B3"/>
    <w:rsid w:val="00B94C74"/>
    <w:rsid w:val="00B979F2"/>
    <w:rsid w:val="00BA6622"/>
    <w:rsid w:val="00BB3753"/>
    <w:rsid w:val="00BC4593"/>
    <w:rsid w:val="00BD2CA9"/>
    <w:rsid w:val="00BD365A"/>
    <w:rsid w:val="00BD37D9"/>
    <w:rsid w:val="00BD619E"/>
    <w:rsid w:val="00BD69C2"/>
    <w:rsid w:val="00BE5ACC"/>
    <w:rsid w:val="00BE70E7"/>
    <w:rsid w:val="00BF0687"/>
    <w:rsid w:val="00BF489B"/>
    <w:rsid w:val="00BF493E"/>
    <w:rsid w:val="00BF51D3"/>
    <w:rsid w:val="00C011DD"/>
    <w:rsid w:val="00C02892"/>
    <w:rsid w:val="00C117C9"/>
    <w:rsid w:val="00C11EFD"/>
    <w:rsid w:val="00C27276"/>
    <w:rsid w:val="00C27962"/>
    <w:rsid w:val="00C30732"/>
    <w:rsid w:val="00C46BB4"/>
    <w:rsid w:val="00C479FE"/>
    <w:rsid w:val="00C542B5"/>
    <w:rsid w:val="00C54FBA"/>
    <w:rsid w:val="00C759B3"/>
    <w:rsid w:val="00C76CC3"/>
    <w:rsid w:val="00C770E6"/>
    <w:rsid w:val="00C82756"/>
    <w:rsid w:val="00C871AF"/>
    <w:rsid w:val="00C875F3"/>
    <w:rsid w:val="00C962F6"/>
    <w:rsid w:val="00CA1484"/>
    <w:rsid w:val="00CA2B56"/>
    <w:rsid w:val="00CA5A6F"/>
    <w:rsid w:val="00CB40D4"/>
    <w:rsid w:val="00CB625A"/>
    <w:rsid w:val="00CB65EB"/>
    <w:rsid w:val="00CC6A74"/>
    <w:rsid w:val="00CE501B"/>
    <w:rsid w:val="00CF02EB"/>
    <w:rsid w:val="00CF0B28"/>
    <w:rsid w:val="00CF0C0D"/>
    <w:rsid w:val="00D04423"/>
    <w:rsid w:val="00D208BE"/>
    <w:rsid w:val="00D24BAB"/>
    <w:rsid w:val="00D2766B"/>
    <w:rsid w:val="00D30117"/>
    <w:rsid w:val="00D33063"/>
    <w:rsid w:val="00D34321"/>
    <w:rsid w:val="00D34AFF"/>
    <w:rsid w:val="00D37C79"/>
    <w:rsid w:val="00D419AF"/>
    <w:rsid w:val="00D4462F"/>
    <w:rsid w:val="00D47426"/>
    <w:rsid w:val="00D526D2"/>
    <w:rsid w:val="00D53AFE"/>
    <w:rsid w:val="00D53BF4"/>
    <w:rsid w:val="00D5433F"/>
    <w:rsid w:val="00D6507B"/>
    <w:rsid w:val="00D652AA"/>
    <w:rsid w:val="00D70BCE"/>
    <w:rsid w:val="00D71A97"/>
    <w:rsid w:val="00D72772"/>
    <w:rsid w:val="00D74A26"/>
    <w:rsid w:val="00D754F8"/>
    <w:rsid w:val="00D76D6C"/>
    <w:rsid w:val="00D777DF"/>
    <w:rsid w:val="00D8682D"/>
    <w:rsid w:val="00D87392"/>
    <w:rsid w:val="00D87560"/>
    <w:rsid w:val="00D9495C"/>
    <w:rsid w:val="00DA0393"/>
    <w:rsid w:val="00DA0FFC"/>
    <w:rsid w:val="00DA6E00"/>
    <w:rsid w:val="00DB623B"/>
    <w:rsid w:val="00DB6DDB"/>
    <w:rsid w:val="00DC3EF0"/>
    <w:rsid w:val="00DD4F0A"/>
    <w:rsid w:val="00DE0784"/>
    <w:rsid w:val="00DF3CCC"/>
    <w:rsid w:val="00E230EC"/>
    <w:rsid w:val="00E270DF"/>
    <w:rsid w:val="00E278DC"/>
    <w:rsid w:val="00E312F4"/>
    <w:rsid w:val="00E36E2C"/>
    <w:rsid w:val="00E37D2E"/>
    <w:rsid w:val="00E440AB"/>
    <w:rsid w:val="00E46092"/>
    <w:rsid w:val="00E51EC9"/>
    <w:rsid w:val="00E618E5"/>
    <w:rsid w:val="00E62D93"/>
    <w:rsid w:val="00E643BA"/>
    <w:rsid w:val="00E6635B"/>
    <w:rsid w:val="00E6795E"/>
    <w:rsid w:val="00E67CE3"/>
    <w:rsid w:val="00E71F50"/>
    <w:rsid w:val="00E90CBD"/>
    <w:rsid w:val="00E97F18"/>
    <w:rsid w:val="00EA00A7"/>
    <w:rsid w:val="00EA0750"/>
    <w:rsid w:val="00EA3448"/>
    <w:rsid w:val="00EA6ABD"/>
    <w:rsid w:val="00EA7F1A"/>
    <w:rsid w:val="00EB6003"/>
    <w:rsid w:val="00EB65FD"/>
    <w:rsid w:val="00EC2412"/>
    <w:rsid w:val="00EC37C1"/>
    <w:rsid w:val="00EC3D74"/>
    <w:rsid w:val="00EC63FC"/>
    <w:rsid w:val="00ED0DD2"/>
    <w:rsid w:val="00ED172A"/>
    <w:rsid w:val="00EE22E6"/>
    <w:rsid w:val="00EF0F74"/>
    <w:rsid w:val="00EF20F0"/>
    <w:rsid w:val="00EF46B1"/>
    <w:rsid w:val="00F01182"/>
    <w:rsid w:val="00F01B9A"/>
    <w:rsid w:val="00F02080"/>
    <w:rsid w:val="00F07FEC"/>
    <w:rsid w:val="00F11AF3"/>
    <w:rsid w:val="00F17BB7"/>
    <w:rsid w:val="00F2663B"/>
    <w:rsid w:val="00F35FA9"/>
    <w:rsid w:val="00F369D5"/>
    <w:rsid w:val="00F371D7"/>
    <w:rsid w:val="00F42741"/>
    <w:rsid w:val="00F464B4"/>
    <w:rsid w:val="00F47DA5"/>
    <w:rsid w:val="00F51E20"/>
    <w:rsid w:val="00F61BD5"/>
    <w:rsid w:val="00F62326"/>
    <w:rsid w:val="00F6287D"/>
    <w:rsid w:val="00F63419"/>
    <w:rsid w:val="00F728BC"/>
    <w:rsid w:val="00F768BA"/>
    <w:rsid w:val="00F7773B"/>
    <w:rsid w:val="00F815FB"/>
    <w:rsid w:val="00F91BDC"/>
    <w:rsid w:val="00F921EA"/>
    <w:rsid w:val="00F92E59"/>
    <w:rsid w:val="00F966F1"/>
    <w:rsid w:val="00FA29CE"/>
    <w:rsid w:val="00FA3D43"/>
    <w:rsid w:val="00FB3606"/>
    <w:rsid w:val="00FB637B"/>
    <w:rsid w:val="00FC4211"/>
    <w:rsid w:val="00FC7FB2"/>
    <w:rsid w:val="00FD40DE"/>
    <w:rsid w:val="00FE21A3"/>
    <w:rsid w:val="00FF09DF"/>
    <w:rsid w:val="00FF31FF"/>
    <w:rsid w:val="00FF5F60"/>
    <w:rsid w:val="00FF6F3D"/>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16"/>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Markeringsbobletekst">
    <w:name w:val="Balloon Text"/>
    <w:basedOn w:val="Normal"/>
    <w:link w:val="MarkeringsbobletekstTegn"/>
    <w:uiPriority w:val="99"/>
    <w:semiHidden/>
    <w:unhideWhenUsed/>
    <w:rsid w:val="00B416C6"/>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416C6"/>
    <w:rPr>
      <w:rFonts w:ascii="Segoe UI" w:eastAsia="Times New Roman" w:hAnsi="Segoe UI" w:cs="Segoe UI"/>
      <w:sz w:val="18"/>
      <w:szCs w:val="18"/>
      <w:lang w:eastAsia="da-DK"/>
    </w:rPr>
  </w:style>
  <w:style w:type="character" w:customStyle="1" w:styleId="normaltextrun">
    <w:name w:val="normaltextrun"/>
    <w:basedOn w:val="Standardskrifttypeiafsnit"/>
    <w:rsid w:val="007654B3"/>
  </w:style>
  <w:style w:type="character" w:customStyle="1" w:styleId="eop">
    <w:name w:val="eop"/>
    <w:basedOn w:val="Standardskrifttypeiafsnit"/>
    <w:rsid w:val="007654B3"/>
  </w:style>
  <w:style w:type="paragraph" w:styleId="Billedtekst">
    <w:name w:val="caption"/>
    <w:basedOn w:val="Normal"/>
    <w:next w:val="Normal"/>
    <w:uiPriority w:val="35"/>
    <w:unhideWhenUsed/>
    <w:qFormat/>
    <w:rsid w:val="007E1688"/>
    <w:pPr>
      <w:spacing w:after="200" w:line="240" w:lineRule="auto"/>
    </w:pPr>
    <w:rPr>
      <w:i/>
      <w:iCs/>
      <w:color w:val="44546A" w:themeColor="text2"/>
      <w:sz w:val="18"/>
      <w:szCs w:val="18"/>
    </w:rPr>
  </w:style>
  <w:style w:type="paragraph" w:styleId="Listeafsnit">
    <w:name w:val="List Paragraph"/>
    <w:basedOn w:val="Normal"/>
    <w:uiPriority w:val="34"/>
    <w:qFormat/>
    <w:rsid w:val="00A678F0"/>
    <w:pPr>
      <w:ind w:left="720"/>
      <w:contextualSpacing/>
    </w:pPr>
  </w:style>
  <w:style w:type="character" w:styleId="Kommentarhenvisning">
    <w:name w:val="annotation reference"/>
    <w:basedOn w:val="Standardskrifttypeiafsnit"/>
    <w:uiPriority w:val="99"/>
    <w:semiHidden/>
    <w:unhideWhenUsed/>
    <w:rsid w:val="00240D3C"/>
    <w:rPr>
      <w:sz w:val="16"/>
      <w:szCs w:val="16"/>
    </w:rPr>
  </w:style>
  <w:style w:type="paragraph" w:styleId="Kommentartekst">
    <w:name w:val="annotation text"/>
    <w:basedOn w:val="Normal"/>
    <w:link w:val="KommentartekstTegn"/>
    <w:uiPriority w:val="99"/>
    <w:semiHidden/>
    <w:unhideWhenUsed/>
    <w:rsid w:val="00240D3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40D3C"/>
    <w:rPr>
      <w:rFonts w:ascii="Times New Roman" w:eastAsia="Times New Roman" w:hAnsi="Times New Roman"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240D3C"/>
    <w:rPr>
      <w:b/>
      <w:bCs/>
    </w:rPr>
  </w:style>
  <w:style w:type="character" w:customStyle="1" w:styleId="KommentaremneTegn">
    <w:name w:val="Kommentaremne Tegn"/>
    <w:basedOn w:val="KommentartekstTegn"/>
    <w:link w:val="Kommentaremne"/>
    <w:uiPriority w:val="99"/>
    <w:semiHidden/>
    <w:rsid w:val="00240D3C"/>
    <w:rPr>
      <w:rFonts w:ascii="Times New Roman" w:eastAsia="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7be98364f8934a45/01%20PSYK2018/3.%20Semester/01%20Kognitionspsykologi/03%20&#216;velseshold/99%20Afleveringer/04%20Free%20recall/Individuel%20data/Free%20Recall2019%20-%20Databehandling%20-%20FP1922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400"/>
              <a:t>Serial Position Effect</a:t>
            </a:r>
            <a:r>
              <a:rPr lang="da-DK" sz="1400" baseline="0"/>
              <a:t> for Different Word Lists</a:t>
            </a:r>
            <a:r>
              <a:rPr lang="da-DK" sz="1400"/>
              <a:t> (FP19225)</a:t>
            </a:r>
          </a:p>
        </c:rich>
      </c:tx>
      <c:layout>
        <c:manualLayout>
          <c:xMode val="edge"/>
          <c:yMode val="edge"/>
          <c:x val="0.16344523519979903"/>
          <c:y val="4.9250974758875438E-2"/>
        </c:manualLayout>
      </c:layout>
      <c:overlay val="0"/>
    </c:title>
    <c:autoTitleDeleted val="0"/>
    <c:plotArea>
      <c:layout>
        <c:manualLayout>
          <c:layoutTarget val="inner"/>
          <c:xMode val="edge"/>
          <c:yMode val="edge"/>
          <c:x val="0.115659730677995"/>
          <c:y val="0.176768265321603"/>
          <c:w val="0.82006448592723502"/>
          <c:h val="0.60777385585422505"/>
        </c:manualLayout>
      </c:layout>
      <c:lineChart>
        <c:grouping val="standard"/>
        <c:varyColors val="0"/>
        <c:ser>
          <c:idx val="1"/>
          <c:order val="0"/>
          <c:tx>
            <c:strRef>
              <c:f>'Free Recall Enkelt FP_indtast'!$B$19</c:f>
              <c:strCache>
                <c:ptCount val="1"/>
                <c:pt idx="0">
                  <c:v>Concrete Lists</c:v>
                </c:pt>
              </c:strCache>
            </c:strRef>
          </c:tx>
          <c:spPr>
            <a:ln w="12700">
              <a:solidFill>
                <a:srgbClr val="0070C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FP_indtast'!$D$19:$W$19</c:f>
              <c:numCache>
                <c:formatCode>General</c:formatCode>
                <c:ptCount val="20"/>
                <c:pt idx="0">
                  <c:v>0.5</c:v>
                </c:pt>
                <c:pt idx="1">
                  <c:v>0.75</c:v>
                </c:pt>
                <c:pt idx="2">
                  <c:v>0.5</c:v>
                </c:pt>
                <c:pt idx="3">
                  <c:v>0</c:v>
                </c:pt>
                <c:pt idx="4">
                  <c:v>0</c:v>
                </c:pt>
                <c:pt idx="5">
                  <c:v>0.25</c:v>
                </c:pt>
                <c:pt idx="6">
                  <c:v>0.25</c:v>
                </c:pt>
                <c:pt idx="7">
                  <c:v>0.5</c:v>
                </c:pt>
                <c:pt idx="8">
                  <c:v>0</c:v>
                </c:pt>
                <c:pt idx="9">
                  <c:v>0.5</c:v>
                </c:pt>
                <c:pt idx="10">
                  <c:v>0.25</c:v>
                </c:pt>
                <c:pt idx="11">
                  <c:v>0.75</c:v>
                </c:pt>
                <c:pt idx="12">
                  <c:v>0.25</c:v>
                </c:pt>
                <c:pt idx="13">
                  <c:v>0.25</c:v>
                </c:pt>
                <c:pt idx="14">
                  <c:v>1</c:v>
                </c:pt>
                <c:pt idx="15">
                  <c:v>0.25</c:v>
                </c:pt>
                <c:pt idx="16">
                  <c:v>0.75</c:v>
                </c:pt>
                <c:pt idx="17">
                  <c:v>1</c:v>
                </c:pt>
                <c:pt idx="18">
                  <c:v>1</c:v>
                </c:pt>
                <c:pt idx="19">
                  <c:v>1</c:v>
                </c:pt>
              </c:numCache>
            </c:numRef>
          </c:val>
          <c:smooth val="0"/>
          <c:extLst>
            <c:ext xmlns:c16="http://schemas.microsoft.com/office/drawing/2014/chart" uri="{C3380CC4-5D6E-409C-BE32-E72D297353CC}">
              <c16:uniqueId val="{00000000-BB1E-495C-A0EB-A0633CD2E280}"/>
            </c:ext>
          </c:extLst>
        </c:ser>
        <c:ser>
          <c:idx val="2"/>
          <c:order val="1"/>
          <c:tx>
            <c:strRef>
              <c:f>'Free Recall Enkelt FP_indtast'!$B$20</c:f>
              <c:strCache>
                <c:ptCount val="1"/>
                <c:pt idx="0">
                  <c:v>Abstract Lists</c:v>
                </c:pt>
              </c:strCache>
            </c:strRef>
          </c:tx>
          <c:spPr>
            <a:ln w="12700">
              <a:solidFill>
                <a:srgbClr val="FF000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FP_indtast'!$D$20:$W$20</c:f>
              <c:numCache>
                <c:formatCode>General</c:formatCode>
                <c:ptCount val="20"/>
                <c:pt idx="0">
                  <c:v>0.5</c:v>
                </c:pt>
                <c:pt idx="1">
                  <c:v>0.75</c:v>
                </c:pt>
                <c:pt idx="2">
                  <c:v>0.25</c:v>
                </c:pt>
                <c:pt idx="3">
                  <c:v>0.5</c:v>
                </c:pt>
                <c:pt idx="4">
                  <c:v>0.25</c:v>
                </c:pt>
                <c:pt idx="5">
                  <c:v>0.25</c:v>
                </c:pt>
                <c:pt idx="6">
                  <c:v>0.25</c:v>
                </c:pt>
                <c:pt idx="7">
                  <c:v>0.5</c:v>
                </c:pt>
                <c:pt idx="8">
                  <c:v>0.25</c:v>
                </c:pt>
                <c:pt idx="9">
                  <c:v>0.25</c:v>
                </c:pt>
                <c:pt idx="10">
                  <c:v>0.75</c:v>
                </c:pt>
                <c:pt idx="11">
                  <c:v>0.25</c:v>
                </c:pt>
                <c:pt idx="12">
                  <c:v>0</c:v>
                </c:pt>
                <c:pt idx="13">
                  <c:v>0.5</c:v>
                </c:pt>
                <c:pt idx="14">
                  <c:v>0.5</c:v>
                </c:pt>
                <c:pt idx="15">
                  <c:v>0.75</c:v>
                </c:pt>
                <c:pt idx="16">
                  <c:v>0.5</c:v>
                </c:pt>
                <c:pt idx="17">
                  <c:v>0.75</c:v>
                </c:pt>
                <c:pt idx="18">
                  <c:v>0.75</c:v>
                </c:pt>
                <c:pt idx="19">
                  <c:v>0.75</c:v>
                </c:pt>
              </c:numCache>
            </c:numRef>
          </c:val>
          <c:smooth val="0"/>
          <c:extLst>
            <c:ext xmlns:c16="http://schemas.microsoft.com/office/drawing/2014/chart" uri="{C3380CC4-5D6E-409C-BE32-E72D297353CC}">
              <c16:uniqueId val="{00000001-BB1E-495C-A0EB-A0633CD2E280}"/>
            </c:ext>
          </c:extLst>
        </c:ser>
        <c:ser>
          <c:idx val="3"/>
          <c:order val="2"/>
          <c:tx>
            <c:strRef>
              <c:f>'Free Recall Enkelt FP_indtast'!$B$21</c:f>
              <c:strCache>
                <c:ptCount val="1"/>
                <c:pt idx="0">
                  <c:v>Interference List</c:v>
                </c:pt>
              </c:strCache>
            </c:strRef>
          </c:tx>
          <c:spPr>
            <a:ln w="12700">
              <a:solidFill>
                <a:srgbClr val="00B050"/>
              </a:solidFill>
            </a:ln>
          </c:spPr>
          <c:marker>
            <c:symbol val="none"/>
          </c:marker>
          <c:cat>
            <c:numRef>
              <c:f>'Free Recall Enkelt FP_indtast'!$D$18:$W$18</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'Free Recall Enkelt FP_indtast'!$D$21:$W$21</c:f>
              <c:numCache>
                <c:formatCode>General</c:formatCode>
                <c:ptCount val="20"/>
                <c:pt idx="0">
                  <c:v>1</c:v>
                </c:pt>
                <c:pt idx="1">
                  <c:v>1</c:v>
                </c:pt>
                <c:pt idx="2">
                  <c:v>0</c:v>
                </c:pt>
                <c:pt idx="3">
                  <c:v>0</c:v>
                </c:pt>
                <c:pt idx="4">
                  <c:v>0</c:v>
                </c:pt>
                <c:pt idx="5">
                  <c:v>0</c:v>
                </c:pt>
                <c:pt idx="6">
                  <c:v>0</c:v>
                </c:pt>
                <c:pt idx="7">
                  <c:v>0</c:v>
                </c:pt>
                <c:pt idx="8">
                  <c:v>0</c:v>
                </c:pt>
                <c:pt idx="9">
                  <c:v>0</c:v>
                </c:pt>
                <c:pt idx="10">
                  <c:v>0</c:v>
                </c:pt>
                <c:pt idx="11">
                  <c:v>0</c:v>
                </c:pt>
                <c:pt idx="12">
                  <c:v>0</c:v>
                </c:pt>
                <c:pt idx="13">
                  <c:v>1</c:v>
                </c:pt>
                <c:pt idx="14">
                  <c:v>0</c:v>
                </c:pt>
                <c:pt idx="15">
                  <c:v>1</c:v>
                </c:pt>
                <c:pt idx="16">
                  <c:v>1</c:v>
                </c:pt>
                <c:pt idx="17">
                  <c:v>0</c:v>
                </c:pt>
                <c:pt idx="18">
                  <c:v>0</c:v>
                </c:pt>
                <c:pt idx="19">
                  <c:v>0</c:v>
                </c:pt>
              </c:numCache>
            </c:numRef>
          </c:val>
          <c:smooth val="0"/>
          <c:extLst>
            <c:ext xmlns:c16="http://schemas.microsoft.com/office/drawing/2014/chart" uri="{C3380CC4-5D6E-409C-BE32-E72D297353CC}">
              <c16:uniqueId val="{00000002-BB1E-495C-A0EB-A0633CD2E280}"/>
            </c:ext>
          </c:extLst>
        </c:ser>
        <c:dLbls>
          <c:showLegendKey val="0"/>
          <c:showVal val="0"/>
          <c:showCatName val="0"/>
          <c:showSerName val="0"/>
          <c:showPercent val="0"/>
          <c:showBubbleSize val="0"/>
        </c:dLbls>
        <c:smooth val="0"/>
        <c:axId val="84390656"/>
        <c:axId val="84392576"/>
      </c:lineChart>
      <c:catAx>
        <c:axId val="84390656"/>
        <c:scaling>
          <c:orientation val="minMax"/>
        </c:scaling>
        <c:delete val="0"/>
        <c:axPos val="b"/>
        <c:title>
          <c:tx>
            <c:rich>
              <a:bodyPr/>
              <a:lstStyle/>
              <a:p>
                <a:pPr>
                  <a:defRPr sz="1400" b="0"/>
                </a:pPr>
                <a:r>
                  <a:rPr lang="en-US" sz="1400" b="0"/>
                  <a:t>Word position</a:t>
                </a:r>
              </a:p>
            </c:rich>
          </c:tx>
          <c:layout>
            <c:manualLayout>
              <c:xMode val="edge"/>
              <c:yMode val="edge"/>
              <c:x val="0.42981884355082695"/>
              <c:y val="0.85836369776577026"/>
            </c:manualLayout>
          </c:layout>
          <c:overlay val="0"/>
        </c:title>
        <c:numFmt formatCode="General" sourceLinked="1"/>
        <c:majorTickMark val="out"/>
        <c:minorTickMark val="none"/>
        <c:tickLblPos val="nextTo"/>
        <c:txPr>
          <a:bodyPr/>
          <a:lstStyle/>
          <a:p>
            <a:pPr>
              <a:defRPr sz="1050"/>
            </a:pPr>
            <a:endParaRPr lang="da-DK"/>
          </a:p>
        </c:txPr>
        <c:crossAx val="84392576"/>
        <c:crosses val="autoZero"/>
        <c:auto val="1"/>
        <c:lblAlgn val="ctr"/>
        <c:lblOffset val="100"/>
        <c:noMultiLvlLbl val="0"/>
      </c:catAx>
      <c:valAx>
        <c:axId val="84392576"/>
        <c:scaling>
          <c:orientation val="minMax"/>
          <c:max val="1"/>
        </c:scaling>
        <c:delete val="0"/>
        <c:axPos val="l"/>
        <c:title>
          <c:tx>
            <c:rich>
              <a:bodyPr/>
              <a:lstStyle/>
              <a:p>
                <a:pPr>
                  <a:defRPr sz="1400" b="0"/>
                </a:pPr>
                <a:r>
                  <a:rPr lang="da-DK" sz="1400" b="0"/>
                  <a:t>Probability of</a:t>
                </a:r>
                <a:r>
                  <a:rPr lang="da-DK" sz="1400" b="0" baseline="0"/>
                  <a:t> recall</a:t>
                </a:r>
                <a:endParaRPr lang="da-DK" sz="1400" b="0"/>
              </a:p>
            </c:rich>
          </c:tx>
          <c:layout>
            <c:manualLayout>
              <c:xMode val="edge"/>
              <c:yMode val="edge"/>
              <c:x val="2.0620874294520801E-2"/>
              <c:y val="0.21365469101308601"/>
            </c:manualLayout>
          </c:layout>
          <c:overlay val="0"/>
        </c:title>
        <c:numFmt formatCode="General" sourceLinked="1"/>
        <c:majorTickMark val="out"/>
        <c:minorTickMark val="none"/>
        <c:tickLblPos val="nextTo"/>
        <c:txPr>
          <a:bodyPr/>
          <a:lstStyle/>
          <a:p>
            <a:pPr>
              <a:defRPr sz="1050"/>
            </a:pPr>
            <a:endParaRPr lang="da-DK"/>
          </a:p>
        </c:txPr>
        <c:crossAx val="84390656"/>
        <c:crosses val="autoZero"/>
        <c:crossBetween val="between"/>
        <c:majorUnit val="0.2"/>
      </c:valAx>
    </c:plotArea>
    <c:legend>
      <c:legendPos val="r"/>
      <c:layout>
        <c:manualLayout>
          <c:xMode val="edge"/>
          <c:yMode val="edge"/>
          <c:x val="0.13277478360850806"/>
          <c:y val="0.93076004530831147"/>
          <c:w val="0.72611685227802103"/>
          <c:h val="6.5404260338584291E-2"/>
        </c:manualLayout>
      </c:layout>
      <c:overlay val="0"/>
      <c:txPr>
        <a:bodyPr/>
        <a:lstStyle/>
        <a:p>
          <a:pPr>
            <a:defRPr sz="1200"/>
          </a:pPr>
          <a:endParaRPr lang="da-DK"/>
        </a:p>
      </c:txPr>
    </c:legend>
    <c:plotVisOnly val="1"/>
    <c:dispBlanksAs val="gap"/>
    <c:showDLblsOverMax val="0"/>
  </c:chart>
  <c:txPr>
    <a:bodyPr/>
    <a:lstStyle/>
    <a:p>
      <a:pPr>
        <a:defRPr sz="1800"/>
      </a:pPr>
      <a:endParaRPr lang="da-D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2.xml><?xml version="1.0" encoding="utf-8"?>
<ds:datastoreItem xmlns:ds="http://schemas.openxmlformats.org/officeDocument/2006/customXml" ds:itemID="{F70AE2D8-A8C0-40E9-BB04-BFEA34DE3C35}"/>
</file>

<file path=customXml/itemProps3.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C39C3F-11C4-4721-9DA9-36EDDF5F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Pages>
  <Words>1766</Words>
  <Characters>10779</Characters>
  <Application>Microsoft Office Word</Application>
  <DocSecurity>0</DocSecurity>
  <Lines>89</Lines>
  <Paragraphs>25</Paragraphs>
  <ScaleCrop>false</ScaleCrop>
  <Company/>
  <LinksUpToDate>false</LinksUpToDate>
  <CharactersWithSpaces>12520</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Frederik Bredgaard</cp:lastModifiedBy>
  <cp:revision>551</cp:revision>
  <dcterms:created xsi:type="dcterms:W3CDTF">2019-09-19T10:34:00Z</dcterms:created>
  <dcterms:modified xsi:type="dcterms:W3CDTF">2019-12-03T15:30:00Z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abfc7c20-72e8-3a17-9c4f-3e1e21a8d8dc</vt:lpwstr>
  </property>
  <property fmtid="{D5CDD505-2E9C-101B-9397-08002B2CF9AE}" pid="25" name="Mendeley Citation Style_1">
    <vt:lpwstr>http://www.zotero.org/styles/apa</vt:lpwstr>
  </property>
</Properties>
</file>