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1078C3" w:rsidRPr="009A6A11" w14:paraId="3B22A7B8" w14:textId="77777777" w:rsidTr="00C770E6">
        <w:trPr>
          <w:trHeight w:hRule="exact" w:val="1134"/>
        </w:trPr>
        <w:tc>
          <w:tcPr>
            <w:tcW w:w="9214" w:type="dxa"/>
            <w:shd w:val="clear" w:color="auto" w:fill="auto"/>
          </w:tcPr>
          <w:p w14:paraId="67D6EBD8" w14:textId="78489728" w:rsidR="001078C3" w:rsidRPr="000045D8" w:rsidRDefault="0090329F" w:rsidP="00B816DC">
            <w:pPr>
              <w:pStyle w:val="KUtitel"/>
              <w:rPr>
                <w:lang w:val="en-GB"/>
              </w:rPr>
            </w:pPr>
            <w:r w:rsidRPr="000045D8">
              <w:rPr>
                <w:lang w:val="en-GB"/>
              </w:rPr>
              <w:t xml:space="preserve">IOWA </w:t>
            </w:r>
          </w:p>
        </w:tc>
      </w:tr>
      <w:tr w:rsidR="001078C3" w:rsidRPr="009A6A11" w14:paraId="12E042F6" w14:textId="77777777" w:rsidTr="00C770E6">
        <w:trPr>
          <w:trHeight w:hRule="exact" w:val="3423"/>
        </w:trPr>
        <w:tc>
          <w:tcPr>
            <w:tcW w:w="9214" w:type="dxa"/>
            <w:shd w:val="clear" w:color="auto" w:fill="auto"/>
          </w:tcPr>
          <w:p w14:paraId="381FC4C5" w14:textId="77777777" w:rsidR="00A010F8" w:rsidRPr="000045D8" w:rsidRDefault="000045D8" w:rsidP="00B816DC">
            <w:pPr>
              <w:pStyle w:val="KUundertitel"/>
            </w:pPr>
            <w:r w:rsidRPr="000045D8">
              <w:t>Sebastian Beck</w:t>
            </w:r>
          </w:p>
          <w:p w14:paraId="3B89070D" w14:textId="57DA1F53" w:rsidR="000045D8" w:rsidRPr="000045D8" w:rsidRDefault="000045D8" w:rsidP="00B816DC">
            <w:pPr>
              <w:pStyle w:val="KUundertitel"/>
            </w:pPr>
            <w:r w:rsidRPr="000045D8">
              <w:t>PJG511</w:t>
            </w:r>
          </w:p>
        </w:tc>
      </w:tr>
      <w:tr w:rsidR="001078C3" w:rsidRPr="009A6A11" w14:paraId="3FAC94B9" w14:textId="77777777" w:rsidTr="00C770E6">
        <w:trPr>
          <w:trHeight w:val="5493"/>
        </w:trPr>
        <w:tc>
          <w:tcPr>
            <w:tcW w:w="9214" w:type="dxa"/>
            <w:shd w:val="clear" w:color="auto" w:fill="auto"/>
          </w:tcPr>
          <w:p w14:paraId="4178E272" w14:textId="77777777" w:rsidR="00547BA1" w:rsidRPr="00E270DF" w:rsidRDefault="00547BA1" w:rsidP="00B816DC">
            <w:pPr>
              <w:pStyle w:val="Supplinfo"/>
            </w:pPr>
            <w:r w:rsidRPr="00E270DF">
              <w:br/>
            </w:r>
          </w:p>
          <w:p w14:paraId="2CA98379" w14:textId="77777777" w:rsidR="00547BA1" w:rsidRPr="00E270DF" w:rsidRDefault="00547BA1" w:rsidP="00B816DC">
            <w:pPr>
              <w:pStyle w:val="Supplinfo"/>
            </w:pPr>
          </w:p>
          <w:p w14:paraId="029FEC3C" w14:textId="77777777" w:rsidR="00547BA1" w:rsidRPr="00E270DF" w:rsidRDefault="00547BA1" w:rsidP="00B816DC">
            <w:pPr>
              <w:pStyle w:val="Supplinfo"/>
            </w:pPr>
          </w:p>
          <w:p w14:paraId="5D55FBC3" w14:textId="77777777" w:rsidR="00547BA1" w:rsidRPr="00E270DF" w:rsidRDefault="00547BA1" w:rsidP="00B816DC">
            <w:pPr>
              <w:pStyle w:val="Supplinfo"/>
            </w:pPr>
          </w:p>
          <w:p w14:paraId="3F70E772" w14:textId="77777777" w:rsidR="00547BA1" w:rsidRPr="00E270DF" w:rsidRDefault="00547BA1" w:rsidP="00B816DC">
            <w:pPr>
              <w:pStyle w:val="Supplinfo"/>
            </w:pPr>
          </w:p>
          <w:p w14:paraId="675EFB47" w14:textId="77777777" w:rsidR="00547BA1" w:rsidRPr="00E270DF" w:rsidRDefault="00547BA1" w:rsidP="00B816DC">
            <w:pPr>
              <w:pStyle w:val="Supplinfo"/>
            </w:pPr>
          </w:p>
          <w:p w14:paraId="00734E1E" w14:textId="77777777" w:rsidR="00547BA1" w:rsidRPr="00E270DF" w:rsidRDefault="00547BA1" w:rsidP="00B816DC">
            <w:pPr>
              <w:pStyle w:val="Supplinfo"/>
            </w:pPr>
          </w:p>
          <w:p w14:paraId="6563C5EA" w14:textId="45F3A522" w:rsidR="006475EF" w:rsidRPr="009A6A11" w:rsidRDefault="006475EF" w:rsidP="00B816DC">
            <w:pPr>
              <w:pStyle w:val="Supplinfo"/>
              <w:rPr>
                <w:lang w:val="en-GB"/>
              </w:rPr>
            </w:pPr>
            <w:r>
              <w:rPr>
                <w:lang w:val="en-GB"/>
              </w:rPr>
              <w:t>4/12-2019</w:t>
            </w:r>
          </w:p>
        </w:tc>
      </w:tr>
    </w:tbl>
    <w:p w14:paraId="5AD25A91" w14:textId="77777777" w:rsidR="001078C3" w:rsidRPr="009A6A11" w:rsidRDefault="001078C3" w:rsidP="001078C3">
      <w:pPr>
        <w:rPr>
          <w:lang w:val="en-GB"/>
        </w:rPr>
      </w:pPr>
    </w:p>
    <w:p w14:paraId="52E952F4" w14:textId="011BD0B1" w:rsidR="001078C3" w:rsidRPr="009A6A11" w:rsidRDefault="009A6A11" w:rsidP="001078C3">
      <w:pPr>
        <w:pStyle w:val="KUtitel"/>
        <w:pageBreakBefore/>
        <w:rPr>
          <w:lang w:val="en-GB"/>
        </w:rPr>
      </w:pPr>
      <w:r>
        <w:rPr>
          <w:lang w:val="en-GB"/>
        </w:rPr>
        <w:lastRenderedPageBreak/>
        <w:t>Index</w:t>
      </w:r>
    </w:p>
    <w:p w14:paraId="0DB04BE8" w14:textId="241B749E" w:rsidR="00326AD5" w:rsidRDefault="001078C3">
      <w:pPr>
        <w:pStyle w:val="Indholdsfortegnelse1"/>
        <w:rPr>
          <w:rFonts w:asciiTheme="minorHAnsi" w:eastAsiaTheme="minorEastAsia" w:hAnsiTheme="minorHAnsi" w:cstheme="minorBidi"/>
          <w:b w:val="0"/>
          <w:bCs w:val="0"/>
          <w:caps w:val="0"/>
          <w:noProof/>
          <w:sz w:val="22"/>
          <w:szCs w:val="22"/>
        </w:rPr>
      </w:pPr>
      <w:r w:rsidRPr="009A6A11">
        <w:rPr>
          <w:rFonts w:ascii="Times New Roman" w:hAnsi="Times New Roman" w:cs="Times New Roman"/>
          <w:sz w:val="36"/>
          <w:u w:val="single"/>
          <w:lang w:val="en-GB"/>
        </w:rPr>
        <w:fldChar w:fldCharType="begin"/>
      </w:r>
      <w:r w:rsidRPr="00DB6DDB">
        <w:rPr>
          <w:rFonts w:ascii="Times New Roman" w:hAnsi="Times New Roman" w:cs="Times New Roman"/>
          <w:sz w:val="36"/>
          <w:u w:val="single"/>
          <w:lang w:val="en-GB"/>
        </w:rPr>
        <w:instrText xml:space="preserve"> TOC \o "1-3" \h \z \u </w:instrText>
      </w:r>
      <w:r w:rsidRPr="009A6A11">
        <w:rPr>
          <w:rFonts w:ascii="Times New Roman" w:hAnsi="Times New Roman" w:cs="Times New Roman"/>
          <w:sz w:val="36"/>
          <w:u w:val="single"/>
          <w:lang w:val="en-GB"/>
        </w:rPr>
        <w:fldChar w:fldCharType="separate"/>
      </w:r>
      <w:hyperlink w:anchor="_Toc26292346" w:history="1">
        <w:r w:rsidR="00326AD5" w:rsidRPr="00D8456D">
          <w:rPr>
            <w:rStyle w:val="Hyperlink"/>
            <w:noProof/>
            <w:lang w:val="en-GB"/>
          </w:rPr>
          <w:t>Introduction</w:t>
        </w:r>
        <w:r w:rsidR="00326AD5">
          <w:rPr>
            <w:noProof/>
            <w:webHidden/>
          </w:rPr>
          <w:tab/>
        </w:r>
        <w:r w:rsidR="00326AD5">
          <w:rPr>
            <w:noProof/>
            <w:webHidden/>
          </w:rPr>
          <w:fldChar w:fldCharType="begin"/>
        </w:r>
        <w:r w:rsidR="00326AD5">
          <w:rPr>
            <w:noProof/>
            <w:webHidden/>
          </w:rPr>
          <w:instrText xml:space="preserve"> PAGEREF _Toc26292346 \h </w:instrText>
        </w:r>
        <w:r w:rsidR="00326AD5">
          <w:rPr>
            <w:noProof/>
            <w:webHidden/>
          </w:rPr>
        </w:r>
        <w:r w:rsidR="00326AD5">
          <w:rPr>
            <w:noProof/>
            <w:webHidden/>
          </w:rPr>
          <w:fldChar w:fldCharType="separate"/>
        </w:r>
        <w:r w:rsidR="00326AD5">
          <w:rPr>
            <w:noProof/>
            <w:webHidden/>
          </w:rPr>
          <w:t>3</w:t>
        </w:r>
        <w:r w:rsidR="00326AD5">
          <w:rPr>
            <w:noProof/>
            <w:webHidden/>
          </w:rPr>
          <w:fldChar w:fldCharType="end"/>
        </w:r>
      </w:hyperlink>
    </w:p>
    <w:p w14:paraId="3F5CAA78" w14:textId="7EC26CD3" w:rsidR="00326AD5" w:rsidRDefault="00326AD5">
      <w:pPr>
        <w:pStyle w:val="Indholdsfortegnelse1"/>
        <w:rPr>
          <w:rFonts w:asciiTheme="minorHAnsi" w:eastAsiaTheme="minorEastAsia" w:hAnsiTheme="minorHAnsi" w:cstheme="minorBidi"/>
          <w:b w:val="0"/>
          <w:bCs w:val="0"/>
          <w:caps w:val="0"/>
          <w:noProof/>
          <w:sz w:val="22"/>
          <w:szCs w:val="22"/>
        </w:rPr>
      </w:pPr>
      <w:hyperlink w:anchor="_Toc26292347" w:history="1">
        <w:r w:rsidRPr="00D8456D">
          <w:rPr>
            <w:rStyle w:val="Hyperlink"/>
            <w:noProof/>
            <w:lang w:val="en-GB"/>
          </w:rPr>
          <w:t>Method</w:t>
        </w:r>
        <w:r>
          <w:rPr>
            <w:noProof/>
            <w:webHidden/>
          </w:rPr>
          <w:tab/>
        </w:r>
        <w:r>
          <w:rPr>
            <w:noProof/>
            <w:webHidden/>
          </w:rPr>
          <w:fldChar w:fldCharType="begin"/>
        </w:r>
        <w:r>
          <w:rPr>
            <w:noProof/>
            <w:webHidden/>
          </w:rPr>
          <w:instrText xml:space="preserve"> PAGEREF _Toc26292347 \h </w:instrText>
        </w:r>
        <w:r>
          <w:rPr>
            <w:noProof/>
            <w:webHidden/>
          </w:rPr>
        </w:r>
        <w:r>
          <w:rPr>
            <w:noProof/>
            <w:webHidden/>
          </w:rPr>
          <w:fldChar w:fldCharType="separate"/>
        </w:r>
        <w:r>
          <w:rPr>
            <w:noProof/>
            <w:webHidden/>
          </w:rPr>
          <w:t>3</w:t>
        </w:r>
        <w:r>
          <w:rPr>
            <w:noProof/>
            <w:webHidden/>
          </w:rPr>
          <w:fldChar w:fldCharType="end"/>
        </w:r>
      </w:hyperlink>
    </w:p>
    <w:p w14:paraId="6104975B" w14:textId="710B3687" w:rsidR="00326AD5" w:rsidRDefault="00326AD5">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48" w:history="1">
        <w:r w:rsidRPr="00D8456D">
          <w:rPr>
            <w:rStyle w:val="Hyperlink"/>
            <w:noProof/>
            <w:lang w:val="en-GB"/>
          </w:rPr>
          <w:t>Materials</w:t>
        </w:r>
        <w:r>
          <w:rPr>
            <w:noProof/>
            <w:webHidden/>
          </w:rPr>
          <w:tab/>
        </w:r>
        <w:r>
          <w:rPr>
            <w:noProof/>
            <w:webHidden/>
          </w:rPr>
          <w:fldChar w:fldCharType="begin"/>
        </w:r>
        <w:r>
          <w:rPr>
            <w:noProof/>
            <w:webHidden/>
          </w:rPr>
          <w:instrText xml:space="preserve"> PAGEREF _Toc26292348 \h </w:instrText>
        </w:r>
        <w:r>
          <w:rPr>
            <w:noProof/>
            <w:webHidden/>
          </w:rPr>
        </w:r>
        <w:r>
          <w:rPr>
            <w:noProof/>
            <w:webHidden/>
          </w:rPr>
          <w:fldChar w:fldCharType="separate"/>
        </w:r>
        <w:r>
          <w:rPr>
            <w:noProof/>
            <w:webHidden/>
          </w:rPr>
          <w:t>3</w:t>
        </w:r>
        <w:r>
          <w:rPr>
            <w:noProof/>
            <w:webHidden/>
          </w:rPr>
          <w:fldChar w:fldCharType="end"/>
        </w:r>
      </w:hyperlink>
    </w:p>
    <w:p w14:paraId="082F6F21" w14:textId="22307100" w:rsidR="00326AD5" w:rsidRDefault="00326AD5">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49" w:history="1">
        <w:r w:rsidRPr="00D8456D">
          <w:rPr>
            <w:rStyle w:val="Hyperlink"/>
            <w:noProof/>
            <w:lang w:val="en-GB"/>
          </w:rPr>
          <w:t>Test procedure</w:t>
        </w:r>
        <w:r>
          <w:rPr>
            <w:noProof/>
            <w:webHidden/>
          </w:rPr>
          <w:tab/>
        </w:r>
        <w:r>
          <w:rPr>
            <w:noProof/>
            <w:webHidden/>
          </w:rPr>
          <w:fldChar w:fldCharType="begin"/>
        </w:r>
        <w:r>
          <w:rPr>
            <w:noProof/>
            <w:webHidden/>
          </w:rPr>
          <w:instrText xml:space="preserve"> PAGEREF _Toc26292349 \h </w:instrText>
        </w:r>
        <w:r>
          <w:rPr>
            <w:noProof/>
            <w:webHidden/>
          </w:rPr>
        </w:r>
        <w:r>
          <w:rPr>
            <w:noProof/>
            <w:webHidden/>
          </w:rPr>
          <w:fldChar w:fldCharType="separate"/>
        </w:r>
        <w:r>
          <w:rPr>
            <w:noProof/>
            <w:webHidden/>
          </w:rPr>
          <w:t>3</w:t>
        </w:r>
        <w:r>
          <w:rPr>
            <w:noProof/>
            <w:webHidden/>
          </w:rPr>
          <w:fldChar w:fldCharType="end"/>
        </w:r>
      </w:hyperlink>
    </w:p>
    <w:p w14:paraId="1EC6FC23" w14:textId="2CC770DC" w:rsidR="00326AD5" w:rsidRDefault="00326AD5">
      <w:pPr>
        <w:pStyle w:val="Indholdsfortegnelse1"/>
        <w:rPr>
          <w:rFonts w:asciiTheme="minorHAnsi" w:eastAsiaTheme="minorEastAsia" w:hAnsiTheme="minorHAnsi" w:cstheme="minorBidi"/>
          <w:b w:val="0"/>
          <w:bCs w:val="0"/>
          <w:caps w:val="0"/>
          <w:noProof/>
          <w:sz w:val="22"/>
          <w:szCs w:val="22"/>
        </w:rPr>
      </w:pPr>
      <w:hyperlink w:anchor="_Toc26292350" w:history="1">
        <w:r w:rsidRPr="00D8456D">
          <w:rPr>
            <w:rStyle w:val="Hyperlink"/>
            <w:noProof/>
            <w:lang w:val="en-GB"/>
          </w:rPr>
          <w:t>Results</w:t>
        </w:r>
        <w:r>
          <w:rPr>
            <w:noProof/>
            <w:webHidden/>
          </w:rPr>
          <w:tab/>
        </w:r>
        <w:r>
          <w:rPr>
            <w:noProof/>
            <w:webHidden/>
          </w:rPr>
          <w:fldChar w:fldCharType="begin"/>
        </w:r>
        <w:r>
          <w:rPr>
            <w:noProof/>
            <w:webHidden/>
          </w:rPr>
          <w:instrText xml:space="preserve"> PAGEREF _Toc26292350 \h </w:instrText>
        </w:r>
        <w:r>
          <w:rPr>
            <w:noProof/>
            <w:webHidden/>
          </w:rPr>
        </w:r>
        <w:r>
          <w:rPr>
            <w:noProof/>
            <w:webHidden/>
          </w:rPr>
          <w:fldChar w:fldCharType="separate"/>
        </w:r>
        <w:r>
          <w:rPr>
            <w:noProof/>
            <w:webHidden/>
          </w:rPr>
          <w:t>4</w:t>
        </w:r>
        <w:r>
          <w:rPr>
            <w:noProof/>
            <w:webHidden/>
          </w:rPr>
          <w:fldChar w:fldCharType="end"/>
        </w:r>
      </w:hyperlink>
    </w:p>
    <w:p w14:paraId="52C39891" w14:textId="0F17DC3D" w:rsidR="00326AD5" w:rsidRDefault="00326AD5">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51" w:history="1">
        <w:r w:rsidRPr="00D8456D">
          <w:rPr>
            <w:rStyle w:val="Hyperlink"/>
            <w:noProof/>
            <w:lang w:val="en-GB"/>
          </w:rPr>
          <w:t>Significant differences between the two sessions</w:t>
        </w:r>
        <w:r>
          <w:rPr>
            <w:noProof/>
            <w:webHidden/>
          </w:rPr>
          <w:tab/>
        </w:r>
        <w:r>
          <w:rPr>
            <w:noProof/>
            <w:webHidden/>
          </w:rPr>
          <w:fldChar w:fldCharType="begin"/>
        </w:r>
        <w:r>
          <w:rPr>
            <w:noProof/>
            <w:webHidden/>
          </w:rPr>
          <w:instrText xml:space="preserve"> PAGEREF _Toc26292351 \h </w:instrText>
        </w:r>
        <w:r>
          <w:rPr>
            <w:noProof/>
            <w:webHidden/>
          </w:rPr>
        </w:r>
        <w:r>
          <w:rPr>
            <w:noProof/>
            <w:webHidden/>
          </w:rPr>
          <w:fldChar w:fldCharType="separate"/>
        </w:r>
        <w:r>
          <w:rPr>
            <w:noProof/>
            <w:webHidden/>
          </w:rPr>
          <w:t>4</w:t>
        </w:r>
        <w:r>
          <w:rPr>
            <w:noProof/>
            <w:webHidden/>
          </w:rPr>
          <w:fldChar w:fldCharType="end"/>
        </w:r>
      </w:hyperlink>
    </w:p>
    <w:p w14:paraId="34C0C1F3" w14:textId="3036B8AF" w:rsidR="00326AD5" w:rsidRDefault="00326AD5">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52" w:history="1">
        <w:r w:rsidRPr="00D8456D">
          <w:rPr>
            <w:rStyle w:val="Hyperlink"/>
            <w:noProof/>
            <w:lang w:val="en-GB"/>
          </w:rPr>
          <w:t>Session 1 is for leaning, session 2 is for earning</w:t>
        </w:r>
        <w:r>
          <w:rPr>
            <w:noProof/>
            <w:webHidden/>
          </w:rPr>
          <w:tab/>
        </w:r>
        <w:r>
          <w:rPr>
            <w:noProof/>
            <w:webHidden/>
          </w:rPr>
          <w:fldChar w:fldCharType="begin"/>
        </w:r>
        <w:r>
          <w:rPr>
            <w:noProof/>
            <w:webHidden/>
          </w:rPr>
          <w:instrText xml:space="preserve"> PAGEREF _Toc26292352 \h </w:instrText>
        </w:r>
        <w:r>
          <w:rPr>
            <w:noProof/>
            <w:webHidden/>
          </w:rPr>
        </w:r>
        <w:r>
          <w:rPr>
            <w:noProof/>
            <w:webHidden/>
          </w:rPr>
          <w:fldChar w:fldCharType="separate"/>
        </w:r>
        <w:r>
          <w:rPr>
            <w:noProof/>
            <w:webHidden/>
          </w:rPr>
          <w:t>5</w:t>
        </w:r>
        <w:r>
          <w:rPr>
            <w:noProof/>
            <w:webHidden/>
          </w:rPr>
          <w:fldChar w:fldCharType="end"/>
        </w:r>
      </w:hyperlink>
    </w:p>
    <w:p w14:paraId="61DD67DC" w14:textId="4ADBAFD7" w:rsidR="00326AD5" w:rsidRDefault="00326AD5">
      <w:pPr>
        <w:pStyle w:val="Indholdsfortegnelse2"/>
        <w:tabs>
          <w:tab w:val="right" w:leader="dot" w:pos="9628"/>
        </w:tabs>
        <w:rPr>
          <w:rFonts w:asciiTheme="minorHAnsi" w:eastAsiaTheme="minorEastAsia" w:hAnsiTheme="minorHAnsi" w:cstheme="minorBidi"/>
          <w:b w:val="0"/>
          <w:bCs w:val="0"/>
          <w:noProof/>
          <w:sz w:val="22"/>
          <w:szCs w:val="22"/>
        </w:rPr>
      </w:pPr>
      <w:hyperlink w:anchor="_Toc26292353" w:history="1">
        <w:r w:rsidRPr="00D8456D">
          <w:rPr>
            <w:rStyle w:val="Hyperlink"/>
            <w:noProof/>
            <w:lang w:val="en-US"/>
          </w:rPr>
          <w:t>Age doesn’t bring caution</w:t>
        </w:r>
        <w:r>
          <w:rPr>
            <w:noProof/>
            <w:webHidden/>
          </w:rPr>
          <w:tab/>
        </w:r>
        <w:r>
          <w:rPr>
            <w:noProof/>
            <w:webHidden/>
          </w:rPr>
          <w:fldChar w:fldCharType="begin"/>
        </w:r>
        <w:r>
          <w:rPr>
            <w:noProof/>
            <w:webHidden/>
          </w:rPr>
          <w:instrText xml:space="preserve"> PAGEREF _Toc26292353 \h </w:instrText>
        </w:r>
        <w:r>
          <w:rPr>
            <w:noProof/>
            <w:webHidden/>
          </w:rPr>
        </w:r>
        <w:r>
          <w:rPr>
            <w:noProof/>
            <w:webHidden/>
          </w:rPr>
          <w:fldChar w:fldCharType="separate"/>
        </w:r>
        <w:r>
          <w:rPr>
            <w:noProof/>
            <w:webHidden/>
          </w:rPr>
          <w:t>7</w:t>
        </w:r>
        <w:r>
          <w:rPr>
            <w:noProof/>
            <w:webHidden/>
          </w:rPr>
          <w:fldChar w:fldCharType="end"/>
        </w:r>
      </w:hyperlink>
    </w:p>
    <w:p w14:paraId="05E641EF" w14:textId="35F5CBED" w:rsidR="00326AD5" w:rsidRDefault="00326AD5">
      <w:pPr>
        <w:pStyle w:val="Indholdsfortegnelse1"/>
        <w:rPr>
          <w:rFonts w:asciiTheme="minorHAnsi" w:eastAsiaTheme="minorEastAsia" w:hAnsiTheme="minorHAnsi" w:cstheme="minorBidi"/>
          <w:b w:val="0"/>
          <w:bCs w:val="0"/>
          <w:caps w:val="0"/>
          <w:noProof/>
          <w:sz w:val="22"/>
          <w:szCs w:val="22"/>
        </w:rPr>
      </w:pPr>
      <w:hyperlink w:anchor="_Toc26292354" w:history="1">
        <w:r w:rsidRPr="00D8456D">
          <w:rPr>
            <w:rStyle w:val="Hyperlink"/>
            <w:noProof/>
            <w:lang w:val="en-GB"/>
          </w:rPr>
          <w:t>Conclusion</w:t>
        </w:r>
        <w:r>
          <w:rPr>
            <w:noProof/>
            <w:webHidden/>
          </w:rPr>
          <w:tab/>
        </w:r>
        <w:r>
          <w:rPr>
            <w:noProof/>
            <w:webHidden/>
          </w:rPr>
          <w:fldChar w:fldCharType="begin"/>
        </w:r>
        <w:r>
          <w:rPr>
            <w:noProof/>
            <w:webHidden/>
          </w:rPr>
          <w:instrText xml:space="preserve"> PAGEREF _Toc26292354 \h </w:instrText>
        </w:r>
        <w:r>
          <w:rPr>
            <w:noProof/>
            <w:webHidden/>
          </w:rPr>
        </w:r>
        <w:r>
          <w:rPr>
            <w:noProof/>
            <w:webHidden/>
          </w:rPr>
          <w:fldChar w:fldCharType="separate"/>
        </w:r>
        <w:r>
          <w:rPr>
            <w:noProof/>
            <w:webHidden/>
          </w:rPr>
          <w:t>7</w:t>
        </w:r>
        <w:r>
          <w:rPr>
            <w:noProof/>
            <w:webHidden/>
          </w:rPr>
          <w:fldChar w:fldCharType="end"/>
        </w:r>
      </w:hyperlink>
    </w:p>
    <w:p w14:paraId="6D7C2D96" w14:textId="608DE45D" w:rsidR="00326AD5" w:rsidRDefault="00326AD5">
      <w:pPr>
        <w:pStyle w:val="Indholdsfortegnelse1"/>
        <w:rPr>
          <w:rFonts w:asciiTheme="minorHAnsi" w:eastAsiaTheme="minorEastAsia" w:hAnsiTheme="minorHAnsi" w:cstheme="minorBidi"/>
          <w:b w:val="0"/>
          <w:bCs w:val="0"/>
          <w:caps w:val="0"/>
          <w:noProof/>
          <w:sz w:val="22"/>
          <w:szCs w:val="22"/>
        </w:rPr>
      </w:pPr>
      <w:hyperlink w:anchor="_Toc26292355" w:history="1">
        <w:r w:rsidRPr="00D8456D">
          <w:rPr>
            <w:rStyle w:val="Hyperlink"/>
            <w:noProof/>
            <w:lang w:val="en-GB"/>
          </w:rPr>
          <w:t>References</w:t>
        </w:r>
        <w:r>
          <w:rPr>
            <w:noProof/>
            <w:webHidden/>
          </w:rPr>
          <w:tab/>
        </w:r>
        <w:r>
          <w:rPr>
            <w:noProof/>
            <w:webHidden/>
          </w:rPr>
          <w:fldChar w:fldCharType="begin"/>
        </w:r>
        <w:r>
          <w:rPr>
            <w:noProof/>
            <w:webHidden/>
          </w:rPr>
          <w:instrText xml:space="preserve"> PAGEREF _Toc26292355 \h </w:instrText>
        </w:r>
        <w:r>
          <w:rPr>
            <w:noProof/>
            <w:webHidden/>
          </w:rPr>
        </w:r>
        <w:r>
          <w:rPr>
            <w:noProof/>
            <w:webHidden/>
          </w:rPr>
          <w:fldChar w:fldCharType="separate"/>
        </w:r>
        <w:r>
          <w:rPr>
            <w:noProof/>
            <w:webHidden/>
          </w:rPr>
          <w:t>8</w:t>
        </w:r>
        <w:r>
          <w:rPr>
            <w:noProof/>
            <w:webHidden/>
          </w:rPr>
          <w:fldChar w:fldCharType="end"/>
        </w:r>
      </w:hyperlink>
    </w:p>
    <w:p w14:paraId="4E790DC7" w14:textId="4FEDC36F" w:rsidR="001078C3" w:rsidRPr="009A6A11" w:rsidRDefault="001078C3" w:rsidP="001078C3">
      <w:pPr>
        <w:rPr>
          <w:lang w:val="en-GB"/>
        </w:rPr>
      </w:pPr>
      <w:r w:rsidRPr="009A6A11">
        <w:rPr>
          <w:caps/>
          <w:sz w:val="36"/>
          <w:szCs w:val="28"/>
          <w:u w:val="single"/>
          <w:lang w:val="en-GB"/>
        </w:rPr>
        <w:fldChar w:fldCharType="end"/>
      </w:r>
    </w:p>
    <w:p w14:paraId="15126B81" w14:textId="4FB6C756" w:rsidR="00B020DC" w:rsidRDefault="00B020DC">
      <w:pPr>
        <w:spacing w:after="160" w:line="259" w:lineRule="auto"/>
        <w:rPr>
          <w:lang w:val="en-GB"/>
        </w:rPr>
      </w:pPr>
      <w:r>
        <w:rPr>
          <w:lang w:val="en-GB"/>
        </w:rPr>
        <w:br w:type="page"/>
      </w:r>
    </w:p>
    <w:p w14:paraId="7EB2F007" w14:textId="3614DDB9" w:rsidR="001078C3" w:rsidRPr="009A6A11" w:rsidRDefault="006F034F" w:rsidP="001078C3">
      <w:pPr>
        <w:pStyle w:val="Overskrift1"/>
        <w:rPr>
          <w:lang w:val="en-GB"/>
        </w:rPr>
      </w:pPr>
      <w:bookmarkStart w:id="0" w:name="_Toc26292346"/>
      <w:r w:rsidRPr="009A6A11">
        <w:rPr>
          <w:lang w:val="en-GB"/>
        </w:rPr>
        <w:lastRenderedPageBreak/>
        <w:t>Introduction</w:t>
      </w:r>
      <w:bookmarkEnd w:id="0"/>
    </w:p>
    <w:p w14:paraId="3B7E968F" w14:textId="46F221C6" w:rsidR="006F034F" w:rsidRDefault="00467B99" w:rsidP="00E4168E">
      <w:pPr>
        <w:jc w:val="both"/>
        <w:rPr>
          <w:lang w:val="en-US"/>
        </w:rPr>
      </w:pPr>
      <w:r>
        <w:rPr>
          <w:lang w:val="en-US"/>
        </w:rPr>
        <w:t xml:space="preserve">In everyday life each person </w:t>
      </w:r>
      <w:r w:rsidR="00533E6D">
        <w:rPr>
          <w:lang w:val="en-US"/>
        </w:rPr>
        <w:t xml:space="preserve">makes many decisions, often these </w:t>
      </w:r>
      <w:r w:rsidR="00827EF1">
        <w:rPr>
          <w:lang w:val="en-US"/>
        </w:rPr>
        <w:t xml:space="preserve">decisions are made </w:t>
      </w:r>
      <w:r w:rsidR="00BA7B57">
        <w:rPr>
          <w:lang w:val="en-US"/>
        </w:rPr>
        <w:t>on</w:t>
      </w:r>
      <w:r w:rsidR="005E65DA">
        <w:rPr>
          <w:lang w:val="en-US"/>
        </w:rPr>
        <w:t xml:space="preserve"> insufficient </w:t>
      </w:r>
      <w:r w:rsidR="00BA7B57">
        <w:rPr>
          <w:lang w:val="en-US"/>
        </w:rPr>
        <w:t xml:space="preserve">grounding. </w:t>
      </w:r>
      <w:r w:rsidR="00FE757F">
        <w:rPr>
          <w:lang w:val="en-US"/>
        </w:rPr>
        <w:t xml:space="preserve">In such situations we </w:t>
      </w:r>
      <w:r w:rsidR="00FA065C">
        <w:rPr>
          <w:lang w:val="en-US"/>
        </w:rPr>
        <w:t>must</w:t>
      </w:r>
      <w:r w:rsidR="00FE757F">
        <w:rPr>
          <w:lang w:val="en-US"/>
        </w:rPr>
        <w:t xml:space="preserve"> rely </w:t>
      </w:r>
      <w:r w:rsidR="00FA065C">
        <w:rPr>
          <w:lang w:val="en-US"/>
        </w:rPr>
        <w:t xml:space="preserve">on </w:t>
      </w:r>
      <w:r w:rsidR="00FE757F">
        <w:rPr>
          <w:lang w:val="en-US"/>
        </w:rPr>
        <w:t xml:space="preserve">our </w:t>
      </w:r>
      <w:r w:rsidR="00C23DE8">
        <w:rPr>
          <w:lang w:val="en-US"/>
        </w:rPr>
        <w:t xml:space="preserve">gut feeling or intuition. </w:t>
      </w:r>
      <w:r w:rsidR="00D719BB">
        <w:rPr>
          <w:lang w:val="en-US"/>
        </w:rPr>
        <w:t xml:space="preserve">This gut feeling </w:t>
      </w:r>
      <w:r w:rsidR="00284CF4">
        <w:rPr>
          <w:lang w:val="en-US"/>
        </w:rPr>
        <w:t xml:space="preserve">has been investigated through the somatic marker hypothesis </w:t>
      </w:r>
      <w:r w:rsidR="00284CF4">
        <w:rPr>
          <w:lang w:val="en-US"/>
        </w:rPr>
        <w:fldChar w:fldCharType="begin" w:fldLock="1"/>
      </w:r>
      <w:r w:rsidR="00915F10">
        <w:rPr>
          <w:lang w:val="en-US"/>
        </w:rPr>
        <w:instrText>ADDIN CSL_CITATION {"citationItems":[{"id":"ITEM-1","itemData":{"abstract":"Following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W","non-dropping-particle":"","parse-names":false,"suffix":""}],"container-title":"Cognition","id":"ITEM-1","issued":{"date-parts":[["1994"]]},"page":"7-15","title":"Insensitivity to future consequences following damage to human prefrontal cortex","type":"article-journal","volume":"50"},"uris":["http://www.mendeley.com/documents/?uuid=d3fb2456-c1eb-4e12-9426-d44b7f4067c5"]}],"mendeley":{"formattedCitation":"(Bechara, Damasio, Damasio, &amp; Anderson, 1994)","plainTextFormattedCitation":"(Bechara, Damasio, Damasio, &amp; Anderson, 1994)","previouslyFormattedCitation":"(Bechara, Damasio, Damasio, &amp; Anderson, 1994)"},"properties":{"noteIndex":0},"schema":"https://github.com/citation-style-language/schema/raw/master/csl-citation.json"}</w:instrText>
      </w:r>
      <w:r w:rsidR="00284CF4">
        <w:rPr>
          <w:lang w:val="en-US"/>
        </w:rPr>
        <w:fldChar w:fldCharType="separate"/>
      </w:r>
      <w:r w:rsidR="00284CF4" w:rsidRPr="00284CF4">
        <w:rPr>
          <w:noProof/>
          <w:lang w:val="en-US"/>
        </w:rPr>
        <w:t>(Bechara, Damasio, Damasio, &amp; Anderson, 1994)</w:t>
      </w:r>
      <w:r w:rsidR="00284CF4">
        <w:rPr>
          <w:lang w:val="en-US"/>
        </w:rPr>
        <w:fldChar w:fldCharType="end"/>
      </w:r>
      <w:r w:rsidR="00EA6767">
        <w:rPr>
          <w:lang w:val="en-US"/>
        </w:rPr>
        <w:t xml:space="preserve">. This hypothesis states that </w:t>
      </w:r>
      <w:r w:rsidR="00357811">
        <w:rPr>
          <w:lang w:val="en-US"/>
        </w:rPr>
        <w:t xml:space="preserve">the ventromedial prefrontal </w:t>
      </w:r>
      <w:r w:rsidR="00255575">
        <w:rPr>
          <w:lang w:val="en-US"/>
        </w:rPr>
        <w:t>cortex contains an index</w:t>
      </w:r>
      <w:r w:rsidR="00017AAF">
        <w:rPr>
          <w:lang w:val="en-US"/>
        </w:rPr>
        <w:t>,</w:t>
      </w:r>
      <w:r w:rsidR="00255575">
        <w:rPr>
          <w:lang w:val="en-US"/>
        </w:rPr>
        <w:t xml:space="preserve"> which </w:t>
      </w:r>
      <w:r w:rsidR="00915F10">
        <w:rPr>
          <w:lang w:val="en-US"/>
        </w:rPr>
        <w:t>link</w:t>
      </w:r>
      <w:r w:rsidR="00017AAF">
        <w:rPr>
          <w:lang w:val="en-US"/>
        </w:rPr>
        <w:t>s</w:t>
      </w:r>
      <w:r w:rsidR="00915F10">
        <w:rPr>
          <w:lang w:val="en-US"/>
        </w:rPr>
        <w:t xml:space="preserve"> factual knowledge and bioregulatory states </w:t>
      </w:r>
      <w:r w:rsidR="00017AAF">
        <w:rPr>
          <w:lang w:val="en-US"/>
        </w:rPr>
        <w:t xml:space="preserve">associated </w:t>
      </w:r>
      <w:r w:rsidR="00915F10">
        <w:rPr>
          <w:lang w:val="en-US"/>
        </w:rPr>
        <w:t xml:space="preserve">with a particular event </w:t>
      </w:r>
      <w:r w:rsidR="00915F10">
        <w:rPr>
          <w:lang w:val="en-US"/>
        </w:rPr>
        <w:fldChar w:fldCharType="begin" w:fldLock="1"/>
      </w:r>
      <w:r w:rsidR="0006455C">
        <w:rPr>
          <w:lang w:val="en-US"/>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Neuroscience","type":"book"},"uris":["http://www.mendeley.com/documents/?uuid=e39b911f-517f-4175-be6e-abc074b0214e"]}],"mendeley":{"formattedCitation":"(Purves et al., 2013)","plainTextFormattedCitation":"(Purves et al., 2013)","previouslyFormattedCitation":"(Purves et al., 2013)"},"properties":{"noteIndex":0},"schema":"https://github.com/citation-style-language/schema/raw/master/csl-citation.json"}</w:instrText>
      </w:r>
      <w:r w:rsidR="00915F10">
        <w:rPr>
          <w:lang w:val="en-US"/>
        </w:rPr>
        <w:fldChar w:fldCharType="separate"/>
      </w:r>
      <w:r w:rsidR="00F6358F" w:rsidRPr="00F6358F">
        <w:rPr>
          <w:noProof/>
          <w:lang w:val="en-US"/>
        </w:rPr>
        <w:t>(Purves et al., 2013)</w:t>
      </w:r>
      <w:r w:rsidR="00915F10">
        <w:rPr>
          <w:lang w:val="en-US"/>
        </w:rPr>
        <w:fldChar w:fldCharType="end"/>
      </w:r>
      <w:r w:rsidR="00915F10">
        <w:rPr>
          <w:lang w:val="en-US"/>
        </w:rPr>
        <w:t xml:space="preserve">. </w:t>
      </w:r>
      <w:r w:rsidR="00F85A35">
        <w:rPr>
          <w:lang w:val="en-US"/>
        </w:rPr>
        <w:t>These somatic markers</w:t>
      </w:r>
      <w:r w:rsidR="00786E72">
        <w:rPr>
          <w:lang w:val="en-US"/>
        </w:rPr>
        <w:t xml:space="preserve"> </w:t>
      </w:r>
      <w:r w:rsidR="00FA065C">
        <w:rPr>
          <w:lang w:val="en-US"/>
        </w:rPr>
        <w:t>include</w:t>
      </w:r>
      <w:r w:rsidR="00786E72">
        <w:rPr>
          <w:lang w:val="en-US"/>
        </w:rPr>
        <w:t xml:space="preserve"> autonomic, endocrine and </w:t>
      </w:r>
      <w:r w:rsidR="00FA065C">
        <w:rPr>
          <w:lang w:val="en-US"/>
        </w:rPr>
        <w:t>musculoskeletal</w:t>
      </w:r>
      <w:r w:rsidR="00786E72">
        <w:rPr>
          <w:lang w:val="en-US"/>
        </w:rPr>
        <w:t xml:space="preserve"> c</w:t>
      </w:r>
      <w:r w:rsidR="00FA065C">
        <w:rPr>
          <w:lang w:val="en-US"/>
        </w:rPr>
        <w:t>hanges that constitu</w:t>
      </w:r>
      <w:r w:rsidR="00CB76C3">
        <w:rPr>
          <w:lang w:val="en-US"/>
        </w:rPr>
        <w:t>t</w:t>
      </w:r>
      <w:r w:rsidR="00FA065C">
        <w:rPr>
          <w:lang w:val="en-US"/>
        </w:rPr>
        <w:t>es a</w:t>
      </w:r>
      <w:r w:rsidR="00A11455">
        <w:rPr>
          <w:lang w:val="en-US"/>
        </w:rPr>
        <w:t>n</w:t>
      </w:r>
      <w:r w:rsidR="00FA065C">
        <w:rPr>
          <w:lang w:val="en-US"/>
        </w:rPr>
        <w:t xml:space="preserve"> </w:t>
      </w:r>
      <w:r w:rsidR="00A11455">
        <w:rPr>
          <w:lang w:val="en-US"/>
        </w:rPr>
        <w:t>emotional</w:t>
      </w:r>
      <w:r w:rsidR="00CB76C3">
        <w:rPr>
          <w:lang w:val="en-US"/>
        </w:rPr>
        <w:t xml:space="preserve"> state. </w:t>
      </w:r>
      <w:r w:rsidR="00786E72">
        <w:rPr>
          <w:lang w:val="en-US"/>
        </w:rPr>
        <w:t xml:space="preserve"> </w:t>
      </w:r>
      <w:r w:rsidR="0000397E">
        <w:rPr>
          <w:lang w:val="en-US"/>
        </w:rPr>
        <w:t xml:space="preserve">Any time </w:t>
      </w:r>
      <w:r w:rsidR="00940B20">
        <w:rPr>
          <w:lang w:val="en-US"/>
        </w:rPr>
        <w:t>we are placed in a similar event,</w:t>
      </w:r>
      <w:r w:rsidR="00F54321">
        <w:rPr>
          <w:lang w:val="en-US"/>
        </w:rPr>
        <w:t xml:space="preserve"> our prior knowledge reactivates the same somatic markers</w:t>
      </w:r>
      <w:r w:rsidR="002148B5">
        <w:rPr>
          <w:lang w:val="en-US"/>
        </w:rPr>
        <w:t>,</w:t>
      </w:r>
      <w:r w:rsidR="00A771CE">
        <w:rPr>
          <w:lang w:val="en-US"/>
        </w:rPr>
        <w:t xml:space="preserve"> </w:t>
      </w:r>
      <w:r w:rsidR="00972057">
        <w:rPr>
          <w:lang w:val="en-US"/>
        </w:rPr>
        <w:t xml:space="preserve">which in turn </w:t>
      </w:r>
      <w:r w:rsidR="00BA1C00">
        <w:rPr>
          <w:lang w:val="en-US"/>
        </w:rPr>
        <w:t>help guide decision</w:t>
      </w:r>
      <w:r w:rsidR="00FD1515">
        <w:rPr>
          <w:lang w:val="en-US"/>
        </w:rPr>
        <w:t xml:space="preserve"> </w:t>
      </w:r>
      <w:r w:rsidR="00BA1C00">
        <w:rPr>
          <w:lang w:val="en-US"/>
        </w:rPr>
        <w:t xml:space="preserve">making </w:t>
      </w:r>
      <w:r w:rsidR="00B81ABE">
        <w:rPr>
          <w:lang w:val="en-US"/>
        </w:rPr>
        <w:t>by indicating w</w:t>
      </w:r>
      <w:r w:rsidR="0019641F">
        <w:rPr>
          <w:lang w:val="en-US"/>
        </w:rPr>
        <w:t>h</w:t>
      </w:r>
      <w:r w:rsidR="00B81ABE">
        <w:rPr>
          <w:lang w:val="en-US"/>
        </w:rPr>
        <w:t xml:space="preserve">ether </w:t>
      </w:r>
      <w:r w:rsidR="00051787">
        <w:rPr>
          <w:lang w:val="en-US"/>
        </w:rPr>
        <w:t xml:space="preserve">what we did last time was </w:t>
      </w:r>
      <w:r w:rsidR="00AC5D67">
        <w:rPr>
          <w:lang w:val="en-US"/>
        </w:rPr>
        <w:t xml:space="preserve">associated </w:t>
      </w:r>
      <w:r w:rsidR="00AA1614">
        <w:rPr>
          <w:lang w:val="en-US"/>
        </w:rPr>
        <w:t>as</w:t>
      </w:r>
      <w:r w:rsidR="00C97C6F">
        <w:rPr>
          <w:lang w:val="en-US"/>
        </w:rPr>
        <w:t xml:space="preserve"> </w:t>
      </w:r>
      <w:r w:rsidR="00AC5D67">
        <w:rPr>
          <w:lang w:val="en-US"/>
        </w:rPr>
        <w:t xml:space="preserve">either </w:t>
      </w:r>
      <w:r w:rsidR="00C97C6F">
        <w:rPr>
          <w:lang w:val="en-US"/>
        </w:rPr>
        <w:t xml:space="preserve">a </w:t>
      </w:r>
      <w:r w:rsidR="00AC5D67">
        <w:rPr>
          <w:lang w:val="en-US"/>
        </w:rPr>
        <w:t>positive or negative</w:t>
      </w:r>
      <w:r w:rsidR="00C97C6F">
        <w:rPr>
          <w:lang w:val="en-US"/>
        </w:rPr>
        <w:t xml:space="preserve"> outcome</w:t>
      </w:r>
      <w:r w:rsidR="00AC5D67">
        <w:rPr>
          <w:lang w:val="en-US"/>
        </w:rPr>
        <w:t xml:space="preserve">. </w:t>
      </w:r>
      <w:r w:rsidR="001B42F7">
        <w:rPr>
          <w:lang w:val="en-US"/>
        </w:rPr>
        <w:t xml:space="preserve">This hypothesis was tested </w:t>
      </w:r>
      <w:r w:rsidR="00761494">
        <w:rPr>
          <w:lang w:val="en-US"/>
        </w:rPr>
        <w:t>through the Iowa Gambling Task experiment</w:t>
      </w:r>
      <w:r w:rsidR="00C7594A">
        <w:rPr>
          <w:lang w:val="en-US"/>
        </w:rPr>
        <w:t xml:space="preserve"> </w:t>
      </w:r>
      <w:r w:rsidR="00C7594A">
        <w:rPr>
          <w:lang w:val="en-US"/>
        </w:rPr>
        <w:fldChar w:fldCharType="begin" w:fldLock="1"/>
      </w:r>
      <w:r w:rsidR="0006455C">
        <w:rPr>
          <w:lang w:val="en-US"/>
        </w:rPr>
        <w:instrText>ADDIN CSL_CITATION {"citationItems":[{"id":"ITEM-1","itemData":{"abstract":"Following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W","non-dropping-particle":"","parse-names":false,"suffix":""}],"container-title":"Cognition","id":"ITEM-1","issued":{"date-parts":[["1994"]]},"page":"7-15","title":"Insensitivity to future consequences following damage to human prefrontal cortex","type":"article-journal","volume":"50"},"uris":["http://www.mendeley.com/documents/?uuid=d3fb2456-c1eb-4e12-9426-d44b7f4067c5"]}],"mendeley":{"formattedCitation":"(Bechara et al., 1994)","plainTextFormattedCitation":"(Bechara et al., 1994)","previouslyFormattedCitation":"(Bechara et al., 1994)"},"properties":{"noteIndex":0},"schema":"https://github.com/citation-style-language/schema/raw/master/csl-citation.json"}</w:instrText>
      </w:r>
      <w:r w:rsidR="00C7594A">
        <w:rPr>
          <w:lang w:val="en-US"/>
        </w:rPr>
        <w:fldChar w:fldCharType="separate"/>
      </w:r>
      <w:r w:rsidR="00F6358F" w:rsidRPr="00F6358F">
        <w:rPr>
          <w:noProof/>
          <w:lang w:val="en-US"/>
        </w:rPr>
        <w:t>(Bechara et al., 1994)</w:t>
      </w:r>
      <w:r w:rsidR="00C7594A">
        <w:rPr>
          <w:lang w:val="en-US"/>
        </w:rPr>
        <w:fldChar w:fldCharType="end"/>
      </w:r>
      <w:r w:rsidR="00C7594A">
        <w:rPr>
          <w:lang w:val="en-US"/>
        </w:rPr>
        <w:t xml:space="preserve">. The present study is a </w:t>
      </w:r>
      <w:r w:rsidR="001345B8">
        <w:rPr>
          <w:lang w:val="en-US"/>
        </w:rPr>
        <w:t xml:space="preserve">repetition of the original paradigm. </w:t>
      </w:r>
      <w:r w:rsidR="009D3846">
        <w:rPr>
          <w:lang w:val="en-US"/>
        </w:rPr>
        <w:t xml:space="preserve">We </w:t>
      </w:r>
      <w:r w:rsidR="00E41E60">
        <w:rPr>
          <w:lang w:val="en-US"/>
        </w:rPr>
        <w:t xml:space="preserve">hypothesize that the final </w:t>
      </w:r>
      <w:r w:rsidR="0043708F">
        <w:rPr>
          <w:lang w:val="en-US"/>
        </w:rPr>
        <w:t xml:space="preserve">capital </w:t>
      </w:r>
      <w:r w:rsidR="00447015">
        <w:rPr>
          <w:lang w:val="en-US"/>
        </w:rPr>
        <w:t xml:space="preserve">is larger </w:t>
      </w:r>
      <w:r w:rsidR="00A82BEF">
        <w:rPr>
          <w:lang w:val="en-US"/>
        </w:rPr>
        <w:t>after the second trial</w:t>
      </w:r>
      <w:r w:rsidR="00EC0FAB">
        <w:rPr>
          <w:lang w:val="en-US"/>
        </w:rPr>
        <w:t>,</w:t>
      </w:r>
      <w:r w:rsidR="00A82BEF">
        <w:rPr>
          <w:lang w:val="en-US"/>
        </w:rPr>
        <w:t xml:space="preserve"> and that more draws has been done from the </w:t>
      </w:r>
      <w:r w:rsidR="008F4BE2">
        <w:rPr>
          <w:lang w:val="en-US"/>
        </w:rPr>
        <w:t>safe decks than the unsafe decks.</w:t>
      </w:r>
    </w:p>
    <w:p w14:paraId="3D10538E" w14:textId="63540282" w:rsidR="00B9488E" w:rsidRDefault="00B9488E" w:rsidP="00E4168E">
      <w:pPr>
        <w:ind w:firstLine="567"/>
        <w:jc w:val="both"/>
        <w:rPr>
          <w:lang w:val="en-US"/>
        </w:rPr>
      </w:pPr>
      <w:r>
        <w:rPr>
          <w:lang w:val="en-US"/>
        </w:rPr>
        <w:t xml:space="preserve">Prior studies have shown that </w:t>
      </w:r>
      <w:r w:rsidR="00071EC6">
        <w:rPr>
          <w:lang w:val="en-US"/>
        </w:rPr>
        <w:t>risk</w:t>
      </w:r>
      <w:r w:rsidR="001D0D70">
        <w:rPr>
          <w:lang w:val="en-US"/>
        </w:rPr>
        <w:t xml:space="preserve"> taking are influenced by age</w:t>
      </w:r>
      <w:r w:rsidR="00F6358F">
        <w:rPr>
          <w:lang w:val="en-US"/>
        </w:rPr>
        <w:t xml:space="preserve"> </w:t>
      </w:r>
      <w:r w:rsidR="00F6358F">
        <w:rPr>
          <w:lang w:val="en-US"/>
        </w:rPr>
        <w:fldChar w:fldCharType="begin" w:fldLock="1"/>
      </w:r>
      <w:r w:rsidR="0006455C">
        <w:rPr>
          <w:lang w:val="en-US"/>
        </w:rPr>
        <w:instrText>ADDIN CSL_CITATION {"citationItems":[{"id":"ITEM-1","itemData":{"abstract":"MÅ ALDRIG DELES","author":[{"dropping-particle":"","family":"Purves","given":"Dale","non-dropping-particle":"","parse-names":false,"suffix":""},{"dropping-particle":"","family":"Cabeza","given":"Roberto","non-dropping-particle":"","parse-names":false,"suffix":""},{"dropping-particle":"","family":"Huettel","given":"Scott A.","non-dropping-particle":"","parse-names":false,"suffix":""},{"dropping-particle":"","family":"LaBar","given":"Kevin S.","non-dropping-particle":"","parse-names":false,"suffix":""},{"dropping-particle":"","family":"Platt","given":"Michael L.","non-dropping-particle":"","parse-names":false,"suffix":""},{"dropping-particle":"","family":"Woldorff","given":"Marty G.","non-dropping-particle":"","parse-names":false,"suffix":""}],"edition":"2","id":"ITEM-1","issued":{"date-parts":[["2013"]]},"publisher":"Sinauer Associates, Inc., Publishers","publisher-place":"Sunderland, Massachusetts","title":"Principles of Cognitive Neuroscience","type":"book"},"uris":["http://www.mendeley.com/documents/?uuid=e39b911f-517f-4175-be6e-abc074b0214e"]}],"mendeley":{"formattedCitation":"(Purves et al., 2013)","plainTextFormattedCitation":"(Purves et al., 2013)","previouslyFormattedCitation":"(Purves et al., 2013)"},"properties":{"noteIndex":0},"schema":"https://github.com/citation-style-language/schema/raw/master/csl-citation.json"}</w:instrText>
      </w:r>
      <w:r w:rsidR="00F6358F">
        <w:rPr>
          <w:lang w:val="en-US"/>
        </w:rPr>
        <w:fldChar w:fldCharType="separate"/>
      </w:r>
      <w:r w:rsidR="00F6358F" w:rsidRPr="00F6358F">
        <w:rPr>
          <w:noProof/>
          <w:lang w:val="en-US"/>
        </w:rPr>
        <w:t>(Purves et al., 2013)</w:t>
      </w:r>
      <w:r w:rsidR="00F6358F">
        <w:rPr>
          <w:lang w:val="en-US"/>
        </w:rPr>
        <w:fldChar w:fldCharType="end"/>
      </w:r>
      <w:r w:rsidR="009C6A2F">
        <w:rPr>
          <w:lang w:val="en-US"/>
        </w:rPr>
        <w:t xml:space="preserve">. They have shown that </w:t>
      </w:r>
      <w:r w:rsidR="00C83B26">
        <w:rPr>
          <w:lang w:val="en-US"/>
        </w:rPr>
        <w:t xml:space="preserve">younger </w:t>
      </w:r>
      <w:r w:rsidR="007F48D2">
        <w:rPr>
          <w:lang w:val="en-US"/>
        </w:rPr>
        <w:t xml:space="preserve">persons </w:t>
      </w:r>
      <w:r w:rsidR="00C83B26">
        <w:rPr>
          <w:lang w:val="en-US"/>
        </w:rPr>
        <w:t xml:space="preserve">are more prone </w:t>
      </w:r>
      <w:r w:rsidR="00CB1DA2">
        <w:rPr>
          <w:lang w:val="en-US"/>
        </w:rPr>
        <w:t xml:space="preserve">to </w:t>
      </w:r>
      <w:r w:rsidR="00083ADB">
        <w:rPr>
          <w:lang w:val="en-US"/>
        </w:rPr>
        <w:t xml:space="preserve">taking </w:t>
      </w:r>
      <w:r w:rsidR="007F48D2">
        <w:rPr>
          <w:lang w:val="en-US"/>
        </w:rPr>
        <w:t>risk</w:t>
      </w:r>
      <w:r w:rsidR="00CB1DA2">
        <w:rPr>
          <w:lang w:val="en-US"/>
        </w:rPr>
        <w:t xml:space="preserve">s than older persons. </w:t>
      </w:r>
      <w:r w:rsidR="009B7DE7">
        <w:rPr>
          <w:lang w:val="en-US"/>
        </w:rPr>
        <w:t xml:space="preserve">We investigate </w:t>
      </w:r>
      <w:r w:rsidR="0019641F">
        <w:rPr>
          <w:lang w:val="en-US"/>
        </w:rPr>
        <w:t>whether</w:t>
      </w:r>
      <w:r w:rsidR="009B7DE7">
        <w:rPr>
          <w:lang w:val="en-US"/>
        </w:rPr>
        <w:t xml:space="preserve"> the same can be found in the present study. </w:t>
      </w:r>
    </w:p>
    <w:p w14:paraId="351DCA22" w14:textId="192E6BD7" w:rsidR="00805C9F" w:rsidRPr="0099054E" w:rsidRDefault="00A37E25" w:rsidP="00E4168E">
      <w:pPr>
        <w:ind w:firstLine="567"/>
        <w:jc w:val="both"/>
        <w:rPr>
          <w:lang w:val="en-US"/>
        </w:rPr>
      </w:pPr>
      <w:r>
        <w:rPr>
          <w:lang w:val="en-US"/>
        </w:rPr>
        <w:t>Lastly,</w:t>
      </w:r>
      <w:r w:rsidR="00DF171A">
        <w:rPr>
          <w:lang w:val="en-US"/>
        </w:rPr>
        <w:t xml:space="preserve"> we investigate </w:t>
      </w:r>
      <w:r w:rsidR="00C62083">
        <w:rPr>
          <w:lang w:val="en-US"/>
        </w:rPr>
        <w:t>if the</w:t>
      </w:r>
      <w:r w:rsidR="002A1EA7">
        <w:rPr>
          <w:lang w:val="en-US"/>
        </w:rPr>
        <w:t xml:space="preserve"> highest scores in the first </w:t>
      </w:r>
      <w:r w:rsidR="00B51C0A">
        <w:rPr>
          <w:lang w:val="en-US"/>
        </w:rPr>
        <w:t>session</w:t>
      </w:r>
      <w:r w:rsidR="002A1EA7">
        <w:rPr>
          <w:lang w:val="en-US"/>
        </w:rPr>
        <w:t xml:space="preserve">, are due to the participants </w:t>
      </w:r>
      <w:r w:rsidR="0026738F">
        <w:rPr>
          <w:lang w:val="en-US"/>
        </w:rPr>
        <w:t xml:space="preserve">figuring out the </w:t>
      </w:r>
      <w:r w:rsidR="00D56509">
        <w:rPr>
          <w:lang w:val="en-US"/>
        </w:rPr>
        <w:t>reward/</w:t>
      </w:r>
      <w:r w:rsidR="00B55E07">
        <w:rPr>
          <w:lang w:val="en-US"/>
        </w:rPr>
        <w:t>punishment ratios</w:t>
      </w:r>
      <w:r w:rsidR="0025595F">
        <w:rPr>
          <w:lang w:val="en-US"/>
        </w:rPr>
        <w:t xml:space="preserve"> early on</w:t>
      </w:r>
      <w:r w:rsidR="00B323EB">
        <w:rPr>
          <w:lang w:val="en-US"/>
        </w:rPr>
        <w:t xml:space="preserve"> or </w:t>
      </w:r>
      <w:r w:rsidR="00D67CAA">
        <w:rPr>
          <w:lang w:val="en-US"/>
        </w:rPr>
        <w:t xml:space="preserve">if it is due to luck. If </w:t>
      </w:r>
      <w:r w:rsidR="00702922">
        <w:rPr>
          <w:lang w:val="en-US"/>
        </w:rPr>
        <w:t>it is due to figuring ou</w:t>
      </w:r>
      <w:r w:rsidR="00C31F71">
        <w:rPr>
          <w:lang w:val="en-US"/>
        </w:rPr>
        <w:t xml:space="preserve">t the </w:t>
      </w:r>
      <w:r w:rsidR="00126BDA">
        <w:rPr>
          <w:lang w:val="en-US"/>
        </w:rPr>
        <w:t>ratios</w:t>
      </w:r>
      <w:r w:rsidR="00C31F71">
        <w:rPr>
          <w:lang w:val="en-US"/>
        </w:rPr>
        <w:t xml:space="preserve">, we would expect </w:t>
      </w:r>
      <w:r w:rsidR="00A421AA">
        <w:rPr>
          <w:lang w:val="en-US"/>
        </w:rPr>
        <w:t xml:space="preserve">the same participants </w:t>
      </w:r>
      <w:r w:rsidR="000E0236">
        <w:rPr>
          <w:lang w:val="en-US"/>
        </w:rPr>
        <w:t xml:space="preserve">to score high </w:t>
      </w:r>
      <w:r w:rsidR="00B3056E">
        <w:rPr>
          <w:lang w:val="en-US"/>
        </w:rPr>
        <w:t>in the second test.</w:t>
      </w:r>
    </w:p>
    <w:p w14:paraId="33F0F61A" w14:textId="728F697A" w:rsidR="001078C3" w:rsidRDefault="006F034F" w:rsidP="001078C3">
      <w:pPr>
        <w:pStyle w:val="Overskrift1"/>
        <w:rPr>
          <w:lang w:val="en-GB"/>
        </w:rPr>
      </w:pPr>
      <w:bookmarkStart w:id="1" w:name="_Toc26292347"/>
      <w:r w:rsidRPr="009A6A11">
        <w:rPr>
          <w:lang w:val="en-GB"/>
        </w:rPr>
        <w:t>Method</w:t>
      </w:r>
      <w:bookmarkEnd w:id="1"/>
    </w:p>
    <w:p w14:paraId="3FC333AD" w14:textId="093315DF" w:rsidR="00A943FC" w:rsidRDefault="00A943FC" w:rsidP="00A943FC">
      <w:pPr>
        <w:rPr>
          <w:lang w:val="en-GB"/>
        </w:rPr>
      </w:pPr>
      <w:r w:rsidRPr="00421A56">
        <w:rPr>
          <w:lang w:val="en-GB"/>
        </w:rPr>
        <w:t xml:space="preserve">This experiment </w:t>
      </w:r>
      <w:r>
        <w:rPr>
          <w:lang w:val="en-GB"/>
        </w:rPr>
        <w:t>included</w:t>
      </w:r>
      <w:r w:rsidRPr="00421A56">
        <w:rPr>
          <w:lang w:val="en-GB"/>
        </w:rPr>
        <w:t xml:space="preserve"> </w:t>
      </w:r>
      <w:r w:rsidRPr="00421A56">
        <w:rPr>
          <w:i/>
          <w:iCs/>
          <w:lang w:val="en-GB"/>
        </w:rPr>
        <w:t>N</w:t>
      </w:r>
      <w:r w:rsidRPr="00421A56">
        <w:rPr>
          <w:lang w:val="en-GB"/>
        </w:rPr>
        <w:t xml:space="preserve"> = </w:t>
      </w:r>
      <w:r>
        <w:rPr>
          <w:lang w:val="en-GB"/>
        </w:rPr>
        <w:t>2</w:t>
      </w:r>
      <w:r w:rsidR="00325284">
        <w:rPr>
          <w:lang w:val="en-GB"/>
        </w:rPr>
        <w:t>0</w:t>
      </w:r>
      <w:r w:rsidR="008F63FC">
        <w:rPr>
          <w:lang w:val="en-GB"/>
        </w:rPr>
        <w:t>3</w:t>
      </w:r>
      <w:r w:rsidRPr="00421A56">
        <w:rPr>
          <w:lang w:val="en-GB"/>
        </w:rPr>
        <w:t xml:space="preserve"> participants</w:t>
      </w:r>
      <w:r w:rsidR="00325284">
        <w:rPr>
          <w:lang w:val="en-GB"/>
        </w:rPr>
        <w:t xml:space="preserve">, </w:t>
      </w:r>
      <w:r w:rsidRPr="00421A56">
        <w:rPr>
          <w:lang w:val="en-GB"/>
        </w:rPr>
        <w:t xml:space="preserve">all psychology students </w:t>
      </w:r>
      <w:r>
        <w:rPr>
          <w:lang w:val="en-GB"/>
        </w:rPr>
        <w:t>at UCPH</w:t>
      </w:r>
      <w:r w:rsidR="00325284">
        <w:rPr>
          <w:lang w:val="en-GB"/>
        </w:rPr>
        <w:t>.</w:t>
      </w:r>
    </w:p>
    <w:p w14:paraId="3E1E1066" w14:textId="52A6D7FB" w:rsidR="001078C3" w:rsidRDefault="00245570" w:rsidP="00245570">
      <w:pPr>
        <w:pStyle w:val="Overskrift2"/>
        <w:rPr>
          <w:lang w:val="en-GB"/>
        </w:rPr>
      </w:pPr>
      <w:bookmarkStart w:id="2" w:name="_Toc26292348"/>
      <w:r>
        <w:rPr>
          <w:lang w:val="en-GB"/>
        </w:rPr>
        <w:t>Materials</w:t>
      </w:r>
      <w:bookmarkEnd w:id="2"/>
    </w:p>
    <w:p w14:paraId="17BF9C20" w14:textId="0D517862" w:rsidR="006E61EB" w:rsidRPr="006E61EB" w:rsidRDefault="006E61EB" w:rsidP="006E61EB">
      <w:pPr>
        <w:pStyle w:val="Listeafsnit"/>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w:t>
      </w:r>
      <w:r w:rsidR="0051465D">
        <w:rPr>
          <w:rFonts w:ascii="Times New Roman" w:hAnsi="Times New Roman" w:cs="Times New Roman"/>
          <w:sz w:val="24"/>
          <w:szCs w:val="24"/>
          <w:lang w:val="en-GB"/>
        </w:rPr>
        <w:t>-P</w:t>
      </w:r>
      <w:r>
        <w:rPr>
          <w:rFonts w:ascii="Times New Roman" w:hAnsi="Times New Roman" w:cs="Times New Roman"/>
          <w:sz w:val="24"/>
          <w:szCs w:val="24"/>
          <w:lang w:val="en-GB"/>
        </w:rPr>
        <w:t>rime</w:t>
      </w:r>
      <w:r w:rsidR="0051465D" w:rsidRPr="00A61811">
        <w:rPr>
          <w:rFonts w:ascii="Times New Roman" w:hAnsi="Times New Roman" w:cs="Times New Roman"/>
          <w:sz w:val="24"/>
          <w:szCs w:val="24"/>
          <w:vertAlign w:val="superscript"/>
          <w:lang w:val="en-GB"/>
        </w:rPr>
        <w:t>®</w:t>
      </w:r>
      <w:r>
        <w:rPr>
          <w:rFonts w:ascii="Times New Roman" w:hAnsi="Times New Roman" w:cs="Times New Roman"/>
          <w:sz w:val="24"/>
          <w:szCs w:val="24"/>
          <w:lang w:val="en-GB"/>
        </w:rPr>
        <w:t xml:space="preserve"> </w:t>
      </w:r>
      <w:r w:rsidR="00E9436B">
        <w:rPr>
          <w:rFonts w:ascii="Times New Roman" w:hAnsi="Times New Roman" w:cs="Times New Roman"/>
          <w:sz w:val="24"/>
          <w:szCs w:val="24"/>
          <w:lang w:val="en-GB"/>
        </w:rPr>
        <w:t>experiment file</w:t>
      </w:r>
      <w:r>
        <w:rPr>
          <w:rFonts w:ascii="Times New Roman" w:hAnsi="Times New Roman" w:cs="Times New Roman"/>
          <w:sz w:val="24"/>
          <w:szCs w:val="24"/>
          <w:lang w:val="en-GB"/>
        </w:rPr>
        <w:t xml:space="preserve"> containing IOWA gambling task</w:t>
      </w:r>
    </w:p>
    <w:p w14:paraId="65B88A74" w14:textId="4A075E75" w:rsidR="00245570" w:rsidRPr="004B66D5" w:rsidRDefault="008E60C0" w:rsidP="004B66D5">
      <w:pPr>
        <w:pStyle w:val="Listeafsnit"/>
        <w:numPr>
          <w:ilvl w:val="0"/>
          <w:numId w:val="4"/>
        </w:numPr>
        <w:spacing w:line="360" w:lineRule="auto"/>
        <w:rPr>
          <w:rFonts w:ascii="Times New Roman" w:hAnsi="Times New Roman" w:cs="Times New Roman"/>
          <w:sz w:val="24"/>
          <w:szCs w:val="24"/>
          <w:lang w:val="en-GB"/>
        </w:rPr>
      </w:pPr>
      <w:r w:rsidRPr="004B66D5">
        <w:rPr>
          <w:rFonts w:ascii="Times New Roman" w:hAnsi="Times New Roman" w:cs="Times New Roman"/>
          <w:sz w:val="24"/>
          <w:szCs w:val="24"/>
          <w:lang w:val="en-GB"/>
        </w:rPr>
        <w:t>Headphones</w:t>
      </w:r>
    </w:p>
    <w:p w14:paraId="75B0B062" w14:textId="5DE445DF" w:rsidR="008E60C0" w:rsidRDefault="004B66D5" w:rsidP="004B66D5">
      <w:pPr>
        <w:pStyle w:val="Listeafsnit"/>
        <w:numPr>
          <w:ilvl w:val="0"/>
          <w:numId w:val="4"/>
        </w:numPr>
        <w:spacing w:line="360" w:lineRule="auto"/>
        <w:rPr>
          <w:rFonts w:ascii="Times New Roman" w:hAnsi="Times New Roman" w:cs="Times New Roman"/>
          <w:sz w:val="24"/>
          <w:szCs w:val="24"/>
          <w:lang w:val="en-GB"/>
        </w:rPr>
      </w:pPr>
      <w:r w:rsidRPr="004B66D5">
        <w:rPr>
          <w:rFonts w:ascii="Times New Roman" w:hAnsi="Times New Roman" w:cs="Times New Roman"/>
          <w:sz w:val="24"/>
          <w:szCs w:val="24"/>
          <w:lang w:val="en-GB"/>
        </w:rPr>
        <w:t>Questionnaire</w:t>
      </w:r>
      <w:r w:rsidR="00552CD6">
        <w:rPr>
          <w:rFonts w:ascii="Times New Roman" w:hAnsi="Times New Roman" w:cs="Times New Roman"/>
          <w:sz w:val="24"/>
          <w:szCs w:val="24"/>
          <w:lang w:val="en-GB"/>
        </w:rPr>
        <w:t xml:space="preserve"> for estimating </w:t>
      </w:r>
      <w:r w:rsidR="0083083A">
        <w:rPr>
          <w:rFonts w:ascii="Times New Roman" w:hAnsi="Times New Roman" w:cs="Times New Roman"/>
          <w:sz w:val="24"/>
          <w:szCs w:val="24"/>
          <w:lang w:val="en-GB"/>
        </w:rPr>
        <w:t>reward</w:t>
      </w:r>
      <w:r w:rsidR="006E61EB">
        <w:rPr>
          <w:rFonts w:ascii="Times New Roman" w:hAnsi="Times New Roman" w:cs="Times New Roman"/>
          <w:sz w:val="24"/>
          <w:szCs w:val="24"/>
          <w:lang w:val="en-GB"/>
        </w:rPr>
        <w:t>/</w:t>
      </w:r>
      <w:r w:rsidR="0083083A">
        <w:rPr>
          <w:rFonts w:ascii="Times New Roman" w:hAnsi="Times New Roman" w:cs="Times New Roman"/>
          <w:sz w:val="24"/>
          <w:szCs w:val="24"/>
          <w:lang w:val="en-GB"/>
        </w:rPr>
        <w:t>punishment ratio and sizes</w:t>
      </w:r>
    </w:p>
    <w:p w14:paraId="7D0F69BC" w14:textId="5A3F27D9" w:rsidR="00634642" w:rsidRDefault="00F66516" w:rsidP="00634642">
      <w:pPr>
        <w:pStyle w:val="Overskrift2"/>
        <w:rPr>
          <w:lang w:val="en-GB"/>
        </w:rPr>
      </w:pPr>
      <w:bookmarkStart w:id="3" w:name="_Toc26292349"/>
      <w:r>
        <w:rPr>
          <w:lang w:val="en-GB"/>
        </w:rPr>
        <w:t>Test procedure</w:t>
      </w:r>
      <w:bookmarkEnd w:id="3"/>
    </w:p>
    <w:p w14:paraId="7DF9E0F5" w14:textId="3ED53296" w:rsidR="00634642" w:rsidRPr="00634642" w:rsidRDefault="00634642" w:rsidP="008A552E">
      <w:pPr>
        <w:jc w:val="both"/>
        <w:rPr>
          <w:lang w:val="en-GB"/>
        </w:rPr>
      </w:pPr>
      <w:r>
        <w:rPr>
          <w:lang w:val="en-GB"/>
        </w:rPr>
        <w:t xml:space="preserve">Present during the experiment was only the participant (P). </w:t>
      </w:r>
      <w:r w:rsidR="00733611">
        <w:rPr>
          <w:lang w:val="en-GB"/>
        </w:rPr>
        <w:t xml:space="preserve">Before the experiment started, P was instructed to </w:t>
      </w:r>
      <w:r w:rsidR="00761494">
        <w:rPr>
          <w:lang w:val="en-GB"/>
        </w:rPr>
        <w:t>plug in</w:t>
      </w:r>
      <w:r w:rsidR="00733611">
        <w:rPr>
          <w:lang w:val="en-GB"/>
        </w:rPr>
        <w:t xml:space="preserve"> the headphones and test </w:t>
      </w:r>
      <w:r w:rsidR="00246F85">
        <w:rPr>
          <w:lang w:val="en-GB"/>
        </w:rPr>
        <w:t xml:space="preserve">the volume on the computer. </w:t>
      </w:r>
      <w:r w:rsidR="00266800">
        <w:rPr>
          <w:lang w:val="en-GB"/>
        </w:rPr>
        <w:t xml:space="preserve">When </w:t>
      </w:r>
      <w:r w:rsidR="00AF51C3">
        <w:rPr>
          <w:lang w:val="en-GB"/>
        </w:rPr>
        <w:t>ready,</w:t>
      </w:r>
      <w:r w:rsidR="00266800">
        <w:rPr>
          <w:lang w:val="en-GB"/>
        </w:rPr>
        <w:t xml:space="preserve"> P opened </w:t>
      </w:r>
      <w:r w:rsidR="0020073E">
        <w:rPr>
          <w:lang w:val="en-GB"/>
        </w:rPr>
        <w:t xml:space="preserve">the </w:t>
      </w:r>
      <w:r w:rsidR="0020073E">
        <w:rPr>
          <w:lang w:val="en-GB"/>
        </w:rPr>
        <w:lastRenderedPageBreak/>
        <w:t>file containing the experiment</w:t>
      </w:r>
      <w:r w:rsidR="00FA0682">
        <w:rPr>
          <w:lang w:val="en-GB"/>
        </w:rPr>
        <w:t xml:space="preserve"> and instructions. The object of the game is to earn as much money as possible </w:t>
      </w:r>
      <w:r w:rsidR="00E22D05">
        <w:rPr>
          <w:lang w:val="en-GB"/>
        </w:rPr>
        <w:t>by drawing cards from</w:t>
      </w:r>
      <w:r w:rsidR="00FC507E">
        <w:rPr>
          <w:lang w:val="en-GB"/>
        </w:rPr>
        <w:t xml:space="preserve"> four </w:t>
      </w:r>
      <w:r w:rsidR="00E3228E">
        <w:rPr>
          <w:lang w:val="en-GB"/>
        </w:rPr>
        <w:t>deck</w:t>
      </w:r>
      <w:r w:rsidR="00FC507E">
        <w:rPr>
          <w:lang w:val="en-GB"/>
        </w:rPr>
        <w:t>s. P was at liberty to choose any card at any time</w:t>
      </w:r>
      <w:r w:rsidR="0089317A">
        <w:rPr>
          <w:lang w:val="en-GB"/>
        </w:rPr>
        <w:t xml:space="preserve">. Each </w:t>
      </w:r>
      <w:r w:rsidR="00E3228E">
        <w:rPr>
          <w:lang w:val="en-GB"/>
        </w:rPr>
        <w:t>deck</w:t>
      </w:r>
      <w:r w:rsidR="0089317A">
        <w:rPr>
          <w:lang w:val="en-GB"/>
        </w:rPr>
        <w:t xml:space="preserve"> had different reward/punishment ratios. </w:t>
      </w:r>
      <w:r w:rsidR="00571798">
        <w:rPr>
          <w:lang w:val="en-GB"/>
        </w:rPr>
        <w:t>When a card was re</w:t>
      </w:r>
      <w:r w:rsidR="00420A76">
        <w:rPr>
          <w:lang w:val="en-GB"/>
        </w:rPr>
        <w:t xml:space="preserve">vealed, one of three sounds were played: one for rewards above 50dkk, </w:t>
      </w:r>
      <w:r w:rsidR="008B540D">
        <w:rPr>
          <w:lang w:val="en-GB"/>
        </w:rPr>
        <w:t>one for rewards below 50dkk and one for when a punishment occurs</w:t>
      </w:r>
      <w:r w:rsidR="00D510F2">
        <w:rPr>
          <w:lang w:val="en-GB"/>
        </w:rPr>
        <w:t>. The</w:t>
      </w:r>
      <w:r w:rsidR="00FA3A9F">
        <w:rPr>
          <w:lang w:val="en-GB"/>
        </w:rPr>
        <w:t xml:space="preserve"> length of the punishment sound was </w:t>
      </w:r>
      <w:r w:rsidR="00905C06">
        <w:rPr>
          <w:lang w:val="en-GB"/>
        </w:rPr>
        <w:t>matched to the size of punishment.</w:t>
      </w:r>
      <w:r w:rsidR="004F2968">
        <w:rPr>
          <w:lang w:val="en-GB"/>
        </w:rPr>
        <w:t xml:space="preserve"> P was </w:t>
      </w:r>
      <w:r w:rsidR="0081312D">
        <w:rPr>
          <w:lang w:val="en-GB"/>
        </w:rPr>
        <w:t>naïve as to the number of draws</w:t>
      </w:r>
      <w:r w:rsidR="00320028">
        <w:rPr>
          <w:lang w:val="en-GB"/>
        </w:rPr>
        <w:t xml:space="preserve"> in the experiment. After 100 draws the first experiment ended. P </w:t>
      </w:r>
      <w:r w:rsidR="00EC3A79">
        <w:rPr>
          <w:lang w:val="en-GB"/>
        </w:rPr>
        <w:t xml:space="preserve">answered the questionnaire </w:t>
      </w:r>
      <w:r w:rsidR="00092D21">
        <w:rPr>
          <w:lang w:val="en-GB"/>
        </w:rPr>
        <w:t xml:space="preserve">about </w:t>
      </w:r>
      <w:r w:rsidR="00671F87">
        <w:rPr>
          <w:lang w:val="en-GB"/>
        </w:rPr>
        <w:t xml:space="preserve">the experienced reward/punishment ratio and sizes for each </w:t>
      </w:r>
      <w:r w:rsidR="00E3228E">
        <w:rPr>
          <w:lang w:val="en-GB"/>
        </w:rPr>
        <w:t>deck</w:t>
      </w:r>
      <w:r w:rsidR="00671F87">
        <w:rPr>
          <w:lang w:val="en-GB"/>
        </w:rPr>
        <w:t xml:space="preserve">. The experiment was run </w:t>
      </w:r>
      <w:r w:rsidR="003C61EE">
        <w:rPr>
          <w:lang w:val="en-GB"/>
        </w:rPr>
        <w:t>twice</w:t>
      </w:r>
      <w:r w:rsidR="00671F87">
        <w:rPr>
          <w:lang w:val="en-GB"/>
        </w:rPr>
        <w:t xml:space="preserve"> per P.</w:t>
      </w:r>
      <w:r w:rsidR="00092D21">
        <w:rPr>
          <w:lang w:val="en-GB"/>
        </w:rPr>
        <w:t xml:space="preserve"> </w:t>
      </w:r>
    </w:p>
    <w:p w14:paraId="4D0C6EEB" w14:textId="678AE4BF" w:rsidR="001078C3" w:rsidRDefault="00734925" w:rsidP="001078C3">
      <w:pPr>
        <w:pStyle w:val="Overskrift1"/>
        <w:rPr>
          <w:lang w:val="en-GB"/>
        </w:rPr>
      </w:pPr>
      <w:bookmarkStart w:id="4" w:name="_Toc26292350"/>
      <w:r w:rsidRPr="009A6A11">
        <w:rPr>
          <w:lang w:val="en-GB"/>
        </w:rPr>
        <w:t>Results</w:t>
      </w:r>
      <w:bookmarkEnd w:id="4"/>
    </w:p>
    <w:p w14:paraId="567665F3" w14:textId="072C97B6" w:rsidR="000D7BB3" w:rsidRDefault="007A6328" w:rsidP="009C7265">
      <w:pPr>
        <w:pStyle w:val="Overskrift2"/>
        <w:rPr>
          <w:lang w:val="en-GB"/>
        </w:rPr>
      </w:pPr>
      <w:bookmarkStart w:id="5" w:name="_Toc26292351"/>
      <w:r>
        <w:rPr>
          <w:lang w:val="en-GB"/>
        </w:rPr>
        <w:t xml:space="preserve">Significant </w:t>
      </w:r>
      <w:r w:rsidR="00A91BD2">
        <w:rPr>
          <w:lang w:val="en-GB"/>
        </w:rPr>
        <w:t xml:space="preserve">differences </w:t>
      </w:r>
      <w:r w:rsidR="009C7265">
        <w:rPr>
          <w:lang w:val="en-GB"/>
        </w:rPr>
        <w:t>between the two sessions</w:t>
      </w:r>
      <w:bookmarkEnd w:id="5"/>
    </w:p>
    <w:tbl>
      <w:tblPr>
        <w:tblStyle w:val="Tabel-Gitter"/>
        <w:tblW w:w="9929" w:type="dxa"/>
        <w:jc w:val="center"/>
        <w:tblLayout w:type="fixed"/>
        <w:tblLook w:val="04A0" w:firstRow="1" w:lastRow="0" w:firstColumn="1" w:lastColumn="0" w:noHBand="0" w:noVBand="1"/>
      </w:tblPr>
      <w:tblGrid>
        <w:gridCol w:w="1383"/>
        <w:gridCol w:w="279"/>
        <w:gridCol w:w="1031"/>
        <w:gridCol w:w="284"/>
        <w:gridCol w:w="992"/>
        <w:gridCol w:w="284"/>
        <w:gridCol w:w="992"/>
        <w:gridCol w:w="283"/>
        <w:gridCol w:w="1135"/>
        <w:gridCol w:w="283"/>
        <w:gridCol w:w="851"/>
        <w:gridCol w:w="283"/>
        <w:gridCol w:w="851"/>
        <w:gridCol w:w="283"/>
        <w:gridCol w:w="715"/>
      </w:tblGrid>
      <w:tr w:rsidR="00F458F5" w:rsidRPr="000045D8" w14:paraId="70A36835" w14:textId="77777777" w:rsidTr="00A94791">
        <w:trPr>
          <w:jc w:val="center"/>
        </w:trPr>
        <w:tc>
          <w:tcPr>
            <w:tcW w:w="9929" w:type="dxa"/>
            <w:gridSpan w:val="15"/>
            <w:tcBorders>
              <w:top w:val="nil"/>
              <w:left w:val="nil"/>
              <w:right w:val="nil"/>
            </w:tcBorders>
          </w:tcPr>
          <w:p w14:paraId="1CA6EDB5" w14:textId="77777777" w:rsidR="00F458F5" w:rsidRPr="006530D1" w:rsidRDefault="00F458F5" w:rsidP="00A94791">
            <w:pPr>
              <w:spacing w:line="240" w:lineRule="auto"/>
              <w:rPr>
                <w:lang w:val="en-US"/>
              </w:rPr>
            </w:pPr>
            <w:r w:rsidRPr="006530D1">
              <w:rPr>
                <w:lang w:val="en-US"/>
              </w:rPr>
              <w:t>Table 1:</w:t>
            </w:r>
          </w:p>
          <w:p w14:paraId="4AF9EA6E" w14:textId="77777777" w:rsidR="00F458F5" w:rsidRPr="006530D1" w:rsidRDefault="00F458F5" w:rsidP="00A94791">
            <w:pPr>
              <w:spacing w:line="240" w:lineRule="auto"/>
              <w:rPr>
                <w:i/>
                <w:lang w:val="en-US"/>
              </w:rPr>
            </w:pPr>
            <w:r w:rsidRPr="006530D1">
              <w:rPr>
                <w:i/>
                <w:lang w:val="en-US"/>
              </w:rPr>
              <w:t>Mean share of draws from decks A&amp;B vs C&amp;D, and end capital</w:t>
            </w:r>
          </w:p>
        </w:tc>
      </w:tr>
      <w:tr w:rsidR="00F458F5" w14:paraId="55A65B72" w14:textId="77777777" w:rsidTr="00A94791">
        <w:trPr>
          <w:jc w:val="center"/>
        </w:trPr>
        <w:tc>
          <w:tcPr>
            <w:tcW w:w="1383" w:type="dxa"/>
            <w:tcBorders>
              <w:left w:val="nil"/>
              <w:bottom w:val="nil"/>
              <w:right w:val="nil"/>
            </w:tcBorders>
          </w:tcPr>
          <w:p w14:paraId="47E1A8D2" w14:textId="77777777" w:rsidR="00F458F5" w:rsidRPr="005E42B2" w:rsidRDefault="00F458F5" w:rsidP="00A94791">
            <w:pPr>
              <w:spacing w:line="240" w:lineRule="auto"/>
              <w:jc w:val="center"/>
              <w:rPr>
                <w:lang w:val="en-US"/>
              </w:rPr>
            </w:pPr>
          </w:p>
        </w:tc>
        <w:tc>
          <w:tcPr>
            <w:tcW w:w="279" w:type="dxa"/>
            <w:tcBorders>
              <w:left w:val="nil"/>
              <w:bottom w:val="nil"/>
              <w:right w:val="nil"/>
            </w:tcBorders>
          </w:tcPr>
          <w:p w14:paraId="37166BF6" w14:textId="77777777" w:rsidR="00F458F5" w:rsidRPr="006530D1" w:rsidRDefault="00F458F5" w:rsidP="00A94791">
            <w:pPr>
              <w:spacing w:line="240" w:lineRule="auto"/>
              <w:jc w:val="center"/>
              <w:rPr>
                <w:lang w:val="en-US"/>
              </w:rPr>
            </w:pPr>
          </w:p>
        </w:tc>
        <w:tc>
          <w:tcPr>
            <w:tcW w:w="1031" w:type="dxa"/>
            <w:tcBorders>
              <w:left w:val="nil"/>
              <w:bottom w:val="single" w:sz="4" w:space="0" w:color="auto"/>
              <w:right w:val="nil"/>
            </w:tcBorders>
          </w:tcPr>
          <w:p w14:paraId="723896E1" w14:textId="77777777" w:rsidR="00F458F5" w:rsidRPr="006530D1" w:rsidRDefault="00F458F5" w:rsidP="00A94791">
            <w:pPr>
              <w:spacing w:line="240" w:lineRule="auto"/>
              <w:jc w:val="center"/>
              <w:rPr>
                <w:i/>
              </w:rPr>
            </w:pPr>
            <w:r w:rsidRPr="006530D1">
              <w:rPr>
                <w:i/>
              </w:rPr>
              <w:t>M</w:t>
            </w:r>
          </w:p>
        </w:tc>
        <w:tc>
          <w:tcPr>
            <w:tcW w:w="284" w:type="dxa"/>
            <w:tcBorders>
              <w:left w:val="nil"/>
              <w:bottom w:val="single" w:sz="4" w:space="0" w:color="auto"/>
              <w:right w:val="nil"/>
            </w:tcBorders>
          </w:tcPr>
          <w:p w14:paraId="00011FC4" w14:textId="77777777" w:rsidR="00F458F5" w:rsidRPr="006530D1" w:rsidRDefault="00F458F5" w:rsidP="00A94791">
            <w:pPr>
              <w:spacing w:line="240" w:lineRule="auto"/>
              <w:jc w:val="center"/>
              <w:rPr>
                <w:i/>
              </w:rPr>
            </w:pPr>
          </w:p>
        </w:tc>
        <w:tc>
          <w:tcPr>
            <w:tcW w:w="992" w:type="dxa"/>
            <w:tcBorders>
              <w:left w:val="nil"/>
              <w:bottom w:val="single" w:sz="4" w:space="0" w:color="auto"/>
              <w:right w:val="nil"/>
            </w:tcBorders>
          </w:tcPr>
          <w:p w14:paraId="462C5694" w14:textId="77777777" w:rsidR="00F458F5" w:rsidRPr="006530D1" w:rsidRDefault="00F458F5" w:rsidP="00A94791">
            <w:pPr>
              <w:spacing w:line="240" w:lineRule="auto"/>
              <w:jc w:val="center"/>
              <w:rPr>
                <w:i/>
              </w:rPr>
            </w:pPr>
            <w:r w:rsidRPr="006530D1">
              <w:rPr>
                <w:i/>
              </w:rPr>
              <w:t>SD</w:t>
            </w:r>
          </w:p>
        </w:tc>
        <w:tc>
          <w:tcPr>
            <w:tcW w:w="284" w:type="dxa"/>
            <w:tcBorders>
              <w:top w:val="nil"/>
              <w:left w:val="nil"/>
              <w:bottom w:val="nil"/>
              <w:right w:val="nil"/>
            </w:tcBorders>
          </w:tcPr>
          <w:p w14:paraId="2E024455" w14:textId="77777777" w:rsidR="00F458F5" w:rsidRPr="006530D1" w:rsidRDefault="00F458F5" w:rsidP="00A94791">
            <w:pPr>
              <w:pStyle w:val="Listeafsnit"/>
              <w:spacing w:line="240" w:lineRule="auto"/>
              <w:ind w:left="0"/>
              <w:jc w:val="center"/>
              <w:rPr>
                <w:rFonts w:ascii="Times New Roman" w:hAnsi="Times New Roman" w:cs="Times New Roman"/>
                <w:i/>
              </w:rPr>
            </w:pPr>
          </w:p>
        </w:tc>
        <w:tc>
          <w:tcPr>
            <w:tcW w:w="992" w:type="dxa"/>
            <w:tcBorders>
              <w:left w:val="nil"/>
              <w:bottom w:val="single" w:sz="4" w:space="0" w:color="auto"/>
              <w:right w:val="nil"/>
            </w:tcBorders>
          </w:tcPr>
          <w:p w14:paraId="28044D0B" w14:textId="77777777" w:rsidR="00F458F5" w:rsidRPr="006530D1" w:rsidRDefault="00F458F5" w:rsidP="00A94791">
            <w:pPr>
              <w:pStyle w:val="Listeafsnit"/>
              <w:spacing w:line="240" w:lineRule="auto"/>
              <w:ind w:left="0"/>
              <w:jc w:val="center"/>
              <w:rPr>
                <w:rFonts w:ascii="Times New Roman" w:hAnsi="Times New Roman" w:cs="Times New Roman"/>
                <w:i/>
              </w:rPr>
            </w:pPr>
            <w:r w:rsidRPr="006530D1">
              <w:rPr>
                <w:rFonts w:ascii="Times New Roman" w:hAnsi="Times New Roman" w:cs="Times New Roman"/>
                <w:i/>
              </w:rPr>
              <w:t>M</w:t>
            </w:r>
          </w:p>
        </w:tc>
        <w:tc>
          <w:tcPr>
            <w:tcW w:w="283" w:type="dxa"/>
            <w:tcBorders>
              <w:left w:val="nil"/>
              <w:bottom w:val="single" w:sz="4" w:space="0" w:color="auto"/>
              <w:right w:val="nil"/>
            </w:tcBorders>
          </w:tcPr>
          <w:p w14:paraId="480C6282" w14:textId="77777777" w:rsidR="00F458F5" w:rsidRPr="006530D1" w:rsidRDefault="00F458F5" w:rsidP="00A94791">
            <w:pPr>
              <w:pStyle w:val="Listeafsnit"/>
              <w:spacing w:line="240" w:lineRule="auto"/>
              <w:ind w:left="0"/>
              <w:jc w:val="center"/>
              <w:rPr>
                <w:rFonts w:ascii="Times New Roman" w:hAnsi="Times New Roman" w:cs="Times New Roman"/>
                <w:i/>
              </w:rPr>
            </w:pPr>
          </w:p>
        </w:tc>
        <w:tc>
          <w:tcPr>
            <w:tcW w:w="1135" w:type="dxa"/>
            <w:tcBorders>
              <w:left w:val="nil"/>
              <w:bottom w:val="single" w:sz="4" w:space="0" w:color="auto"/>
              <w:right w:val="nil"/>
            </w:tcBorders>
          </w:tcPr>
          <w:p w14:paraId="1E2BE1F5" w14:textId="77777777" w:rsidR="00F458F5" w:rsidRPr="006530D1" w:rsidRDefault="00F458F5" w:rsidP="00A94791">
            <w:pPr>
              <w:pStyle w:val="Listeafsnit"/>
              <w:spacing w:line="240" w:lineRule="auto"/>
              <w:ind w:left="0"/>
              <w:jc w:val="center"/>
              <w:rPr>
                <w:rFonts w:ascii="Times New Roman" w:hAnsi="Times New Roman" w:cs="Times New Roman"/>
                <w:i/>
              </w:rPr>
            </w:pPr>
            <w:r w:rsidRPr="006530D1">
              <w:rPr>
                <w:rFonts w:ascii="Times New Roman" w:hAnsi="Times New Roman" w:cs="Times New Roman"/>
                <w:i/>
              </w:rPr>
              <w:t>SD</w:t>
            </w:r>
          </w:p>
        </w:tc>
        <w:tc>
          <w:tcPr>
            <w:tcW w:w="283" w:type="dxa"/>
            <w:tcBorders>
              <w:left w:val="nil"/>
              <w:bottom w:val="nil"/>
              <w:right w:val="nil"/>
            </w:tcBorders>
          </w:tcPr>
          <w:p w14:paraId="1488277C"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2981" w:type="dxa"/>
            <w:gridSpan w:val="5"/>
            <w:tcBorders>
              <w:left w:val="nil"/>
              <w:right w:val="nil"/>
            </w:tcBorders>
          </w:tcPr>
          <w:p w14:paraId="465F6B5B" w14:textId="77777777" w:rsidR="00F458F5" w:rsidRPr="006530D1" w:rsidRDefault="00F458F5" w:rsidP="00A94791">
            <w:pPr>
              <w:pStyle w:val="Listeafsnit"/>
              <w:spacing w:line="240" w:lineRule="auto"/>
              <w:ind w:left="0"/>
              <w:jc w:val="center"/>
              <w:rPr>
                <w:rFonts w:ascii="Times New Roman" w:hAnsi="Times New Roman" w:cs="Times New Roman"/>
              </w:rPr>
            </w:pPr>
            <w:r w:rsidRPr="006530D1">
              <w:rPr>
                <w:rFonts w:ascii="Times New Roman" w:hAnsi="Times New Roman" w:cs="Times New Roman"/>
                <w:i/>
                <w:iCs/>
              </w:rPr>
              <w:t>t</w:t>
            </w:r>
            <w:r w:rsidRPr="006530D1">
              <w:rPr>
                <w:rFonts w:ascii="Times New Roman" w:hAnsi="Times New Roman" w:cs="Times New Roman"/>
              </w:rPr>
              <w:t>-tests</w:t>
            </w:r>
          </w:p>
        </w:tc>
      </w:tr>
      <w:tr w:rsidR="00F458F5" w14:paraId="7BDDA8EE" w14:textId="77777777" w:rsidTr="00A94791">
        <w:trPr>
          <w:jc w:val="center"/>
        </w:trPr>
        <w:tc>
          <w:tcPr>
            <w:tcW w:w="1383" w:type="dxa"/>
            <w:tcBorders>
              <w:top w:val="nil"/>
              <w:left w:val="nil"/>
              <w:bottom w:val="single" w:sz="4" w:space="0" w:color="auto"/>
              <w:right w:val="nil"/>
            </w:tcBorders>
          </w:tcPr>
          <w:p w14:paraId="6A0F1900" w14:textId="77777777" w:rsidR="00F458F5" w:rsidRDefault="00F458F5" w:rsidP="00A94791">
            <w:pPr>
              <w:spacing w:line="240" w:lineRule="auto"/>
              <w:jc w:val="center"/>
            </w:pPr>
          </w:p>
        </w:tc>
        <w:tc>
          <w:tcPr>
            <w:tcW w:w="279" w:type="dxa"/>
            <w:tcBorders>
              <w:top w:val="nil"/>
              <w:left w:val="nil"/>
              <w:bottom w:val="single" w:sz="4" w:space="0" w:color="auto"/>
              <w:right w:val="nil"/>
            </w:tcBorders>
          </w:tcPr>
          <w:p w14:paraId="603F071D" w14:textId="77777777" w:rsidR="00F458F5" w:rsidRPr="006530D1" w:rsidRDefault="00F458F5" w:rsidP="00A94791">
            <w:pPr>
              <w:spacing w:line="240" w:lineRule="auto"/>
              <w:jc w:val="center"/>
            </w:pPr>
          </w:p>
        </w:tc>
        <w:tc>
          <w:tcPr>
            <w:tcW w:w="2307" w:type="dxa"/>
            <w:gridSpan w:val="3"/>
            <w:tcBorders>
              <w:left w:val="nil"/>
              <w:right w:val="nil"/>
            </w:tcBorders>
          </w:tcPr>
          <w:p w14:paraId="6D00D5E0" w14:textId="77777777" w:rsidR="00F458F5" w:rsidRPr="006530D1" w:rsidRDefault="00F458F5" w:rsidP="00A94791">
            <w:pPr>
              <w:spacing w:line="240" w:lineRule="auto"/>
              <w:jc w:val="center"/>
            </w:pPr>
            <w:r w:rsidRPr="006530D1">
              <w:t>Deck A &amp; B</w:t>
            </w:r>
          </w:p>
        </w:tc>
        <w:tc>
          <w:tcPr>
            <w:tcW w:w="284" w:type="dxa"/>
            <w:tcBorders>
              <w:top w:val="nil"/>
              <w:left w:val="nil"/>
              <w:bottom w:val="nil"/>
              <w:right w:val="nil"/>
            </w:tcBorders>
          </w:tcPr>
          <w:p w14:paraId="5419D342"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2410" w:type="dxa"/>
            <w:gridSpan w:val="3"/>
            <w:tcBorders>
              <w:left w:val="nil"/>
              <w:right w:val="nil"/>
            </w:tcBorders>
          </w:tcPr>
          <w:p w14:paraId="7DCA5F91" w14:textId="77777777" w:rsidR="00F458F5" w:rsidRPr="006530D1" w:rsidRDefault="00F458F5" w:rsidP="00A94791">
            <w:pPr>
              <w:spacing w:line="240" w:lineRule="auto"/>
              <w:jc w:val="center"/>
            </w:pPr>
            <w:r w:rsidRPr="006530D1">
              <w:t>Deck C &amp; D</w:t>
            </w:r>
          </w:p>
        </w:tc>
        <w:tc>
          <w:tcPr>
            <w:tcW w:w="283" w:type="dxa"/>
            <w:tcBorders>
              <w:top w:val="nil"/>
              <w:left w:val="nil"/>
              <w:bottom w:val="nil"/>
              <w:right w:val="nil"/>
            </w:tcBorders>
          </w:tcPr>
          <w:p w14:paraId="57C140A6" w14:textId="77777777" w:rsidR="00F458F5" w:rsidRPr="006530D1" w:rsidRDefault="00F458F5" w:rsidP="00A94791">
            <w:pPr>
              <w:spacing w:line="240" w:lineRule="auto"/>
              <w:jc w:val="center"/>
            </w:pPr>
          </w:p>
        </w:tc>
        <w:tc>
          <w:tcPr>
            <w:tcW w:w="851" w:type="dxa"/>
            <w:tcBorders>
              <w:left w:val="nil"/>
              <w:bottom w:val="single" w:sz="4" w:space="0" w:color="auto"/>
              <w:right w:val="nil"/>
            </w:tcBorders>
          </w:tcPr>
          <w:p w14:paraId="2BDA0DA0" w14:textId="77777777" w:rsidR="00F458F5" w:rsidRPr="006530D1" w:rsidRDefault="00F458F5" w:rsidP="00A94791">
            <w:pPr>
              <w:spacing w:line="240" w:lineRule="auto"/>
              <w:jc w:val="center"/>
            </w:pPr>
            <w:r w:rsidRPr="006530D1">
              <w:rPr>
                <w:i/>
              </w:rPr>
              <w:t>t</w:t>
            </w:r>
            <w:r w:rsidRPr="006530D1">
              <w:t>(202)</w:t>
            </w:r>
          </w:p>
        </w:tc>
        <w:tc>
          <w:tcPr>
            <w:tcW w:w="283" w:type="dxa"/>
            <w:tcBorders>
              <w:left w:val="nil"/>
              <w:bottom w:val="single" w:sz="4" w:space="0" w:color="auto"/>
              <w:right w:val="nil"/>
            </w:tcBorders>
          </w:tcPr>
          <w:p w14:paraId="67498D7D" w14:textId="77777777" w:rsidR="00F458F5" w:rsidRPr="006530D1" w:rsidRDefault="00F458F5" w:rsidP="00A94791">
            <w:pPr>
              <w:spacing w:line="240" w:lineRule="auto"/>
              <w:jc w:val="center"/>
            </w:pPr>
          </w:p>
        </w:tc>
        <w:tc>
          <w:tcPr>
            <w:tcW w:w="851" w:type="dxa"/>
            <w:tcBorders>
              <w:left w:val="nil"/>
              <w:bottom w:val="single" w:sz="4" w:space="0" w:color="auto"/>
              <w:right w:val="nil"/>
            </w:tcBorders>
          </w:tcPr>
          <w:p w14:paraId="0BC5D080" w14:textId="77777777" w:rsidR="00F458F5" w:rsidRPr="006530D1" w:rsidRDefault="00F458F5" w:rsidP="00A94791">
            <w:pPr>
              <w:spacing w:line="240" w:lineRule="auto"/>
              <w:jc w:val="center"/>
              <w:rPr>
                <w:i/>
              </w:rPr>
            </w:pPr>
            <w:r w:rsidRPr="006530D1">
              <w:rPr>
                <w:i/>
              </w:rPr>
              <w:t>p</w:t>
            </w:r>
          </w:p>
        </w:tc>
        <w:tc>
          <w:tcPr>
            <w:tcW w:w="283" w:type="dxa"/>
            <w:tcBorders>
              <w:left w:val="nil"/>
              <w:bottom w:val="single" w:sz="4" w:space="0" w:color="auto"/>
              <w:right w:val="nil"/>
            </w:tcBorders>
          </w:tcPr>
          <w:p w14:paraId="3EDC7B0B" w14:textId="77777777" w:rsidR="00F458F5" w:rsidRPr="006530D1" w:rsidRDefault="00F458F5" w:rsidP="00A94791">
            <w:pPr>
              <w:spacing w:line="240" w:lineRule="auto"/>
              <w:jc w:val="center"/>
              <w:rPr>
                <w:i/>
              </w:rPr>
            </w:pPr>
          </w:p>
        </w:tc>
        <w:tc>
          <w:tcPr>
            <w:tcW w:w="713" w:type="dxa"/>
            <w:tcBorders>
              <w:left w:val="nil"/>
              <w:bottom w:val="single" w:sz="4" w:space="0" w:color="auto"/>
              <w:right w:val="nil"/>
            </w:tcBorders>
          </w:tcPr>
          <w:p w14:paraId="2B6925D8" w14:textId="77777777" w:rsidR="00F458F5" w:rsidRPr="006530D1" w:rsidRDefault="00F458F5" w:rsidP="00A94791">
            <w:pPr>
              <w:spacing w:line="240" w:lineRule="auto"/>
              <w:jc w:val="center"/>
              <w:rPr>
                <w:i/>
              </w:rPr>
            </w:pPr>
            <w:r w:rsidRPr="006530D1">
              <w:rPr>
                <w:i/>
                <w:iCs/>
              </w:rPr>
              <w:t>d</w:t>
            </w:r>
          </w:p>
        </w:tc>
      </w:tr>
      <w:tr w:rsidR="00F458F5" w14:paraId="092F9C78" w14:textId="77777777" w:rsidTr="00A94791">
        <w:trPr>
          <w:jc w:val="center"/>
        </w:trPr>
        <w:tc>
          <w:tcPr>
            <w:tcW w:w="1383" w:type="dxa"/>
            <w:tcBorders>
              <w:left w:val="nil"/>
              <w:bottom w:val="nil"/>
              <w:right w:val="nil"/>
            </w:tcBorders>
          </w:tcPr>
          <w:p w14:paraId="01A6AE06" w14:textId="77777777" w:rsidR="00F458F5" w:rsidRDefault="00F458F5" w:rsidP="00A94791">
            <w:pPr>
              <w:spacing w:line="240" w:lineRule="auto"/>
              <w:jc w:val="center"/>
            </w:pPr>
            <w:r>
              <w:t>Session 1</w:t>
            </w:r>
          </w:p>
        </w:tc>
        <w:tc>
          <w:tcPr>
            <w:tcW w:w="279" w:type="dxa"/>
            <w:tcBorders>
              <w:top w:val="single" w:sz="4" w:space="0" w:color="auto"/>
              <w:left w:val="nil"/>
              <w:bottom w:val="nil"/>
              <w:right w:val="nil"/>
            </w:tcBorders>
          </w:tcPr>
          <w:p w14:paraId="726EBD85" w14:textId="77777777" w:rsidR="00F458F5" w:rsidRPr="006530D1" w:rsidRDefault="00F458F5" w:rsidP="00A94791">
            <w:pPr>
              <w:spacing w:line="240" w:lineRule="auto"/>
              <w:jc w:val="center"/>
            </w:pPr>
          </w:p>
        </w:tc>
        <w:tc>
          <w:tcPr>
            <w:tcW w:w="1031" w:type="dxa"/>
            <w:tcBorders>
              <w:left w:val="nil"/>
              <w:bottom w:val="nil"/>
              <w:right w:val="nil"/>
            </w:tcBorders>
          </w:tcPr>
          <w:p w14:paraId="1D699101" w14:textId="77777777" w:rsidR="00F458F5" w:rsidRPr="006530D1" w:rsidRDefault="00F458F5" w:rsidP="00A94791">
            <w:pPr>
              <w:spacing w:line="240" w:lineRule="auto"/>
              <w:jc w:val="center"/>
            </w:pPr>
            <w:r w:rsidRPr="006530D1">
              <w:t>0.43</w:t>
            </w:r>
          </w:p>
        </w:tc>
        <w:tc>
          <w:tcPr>
            <w:tcW w:w="284" w:type="dxa"/>
            <w:tcBorders>
              <w:left w:val="nil"/>
              <w:bottom w:val="nil"/>
              <w:right w:val="nil"/>
            </w:tcBorders>
          </w:tcPr>
          <w:p w14:paraId="75EC91C7" w14:textId="77777777" w:rsidR="00F458F5" w:rsidRPr="006530D1" w:rsidRDefault="00F458F5" w:rsidP="00A94791">
            <w:pPr>
              <w:spacing w:line="240" w:lineRule="auto"/>
              <w:jc w:val="center"/>
            </w:pPr>
          </w:p>
        </w:tc>
        <w:tc>
          <w:tcPr>
            <w:tcW w:w="992" w:type="dxa"/>
            <w:tcBorders>
              <w:left w:val="nil"/>
              <w:bottom w:val="nil"/>
              <w:right w:val="nil"/>
            </w:tcBorders>
          </w:tcPr>
          <w:p w14:paraId="0FA164E6" w14:textId="77777777" w:rsidR="00F458F5" w:rsidRPr="006530D1" w:rsidRDefault="00F458F5" w:rsidP="00A94791">
            <w:pPr>
              <w:spacing w:line="240" w:lineRule="auto"/>
              <w:jc w:val="center"/>
            </w:pPr>
            <w:r w:rsidRPr="006530D1">
              <w:t>(0.13)</w:t>
            </w:r>
          </w:p>
        </w:tc>
        <w:tc>
          <w:tcPr>
            <w:tcW w:w="284" w:type="dxa"/>
            <w:tcBorders>
              <w:top w:val="nil"/>
              <w:left w:val="nil"/>
              <w:bottom w:val="nil"/>
              <w:right w:val="nil"/>
            </w:tcBorders>
          </w:tcPr>
          <w:p w14:paraId="3DA88AB8"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992" w:type="dxa"/>
            <w:tcBorders>
              <w:left w:val="nil"/>
              <w:bottom w:val="nil"/>
              <w:right w:val="nil"/>
            </w:tcBorders>
          </w:tcPr>
          <w:p w14:paraId="05DE9368" w14:textId="77777777" w:rsidR="00F458F5" w:rsidRPr="006530D1" w:rsidRDefault="00F458F5" w:rsidP="00A94791">
            <w:pPr>
              <w:pStyle w:val="Listeafsnit"/>
              <w:spacing w:line="240" w:lineRule="auto"/>
              <w:ind w:left="0"/>
              <w:jc w:val="center"/>
              <w:rPr>
                <w:rFonts w:ascii="Times New Roman" w:hAnsi="Times New Roman" w:cs="Times New Roman"/>
              </w:rPr>
            </w:pPr>
            <w:r w:rsidRPr="006530D1">
              <w:rPr>
                <w:rFonts w:ascii="Times New Roman" w:hAnsi="Times New Roman" w:cs="Times New Roman"/>
              </w:rPr>
              <w:t>0.57</w:t>
            </w:r>
          </w:p>
        </w:tc>
        <w:tc>
          <w:tcPr>
            <w:tcW w:w="283" w:type="dxa"/>
            <w:tcBorders>
              <w:left w:val="nil"/>
              <w:bottom w:val="nil"/>
              <w:right w:val="nil"/>
            </w:tcBorders>
          </w:tcPr>
          <w:p w14:paraId="46C9B919"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1135" w:type="dxa"/>
            <w:tcBorders>
              <w:left w:val="nil"/>
              <w:bottom w:val="nil"/>
              <w:right w:val="nil"/>
            </w:tcBorders>
          </w:tcPr>
          <w:p w14:paraId="43CED663" w14:textId="77777777" w:rsidR="00F458F5" w:rsidRPr="006530D1" w:rsidRDefault="00F458F5" w:rsidP="00A94791">
            <w:pPr>
              <w:spacing w:line="240" w:lineRule="auto"/>
              <w:jc w:val="center"/>
            </w:pPr>
            <w:r w:rsidRPr="006530D1">
              <w:t>(0.13)</w:t>
            </w:r>
          </w:p>
        </w:tc>
        <w:tc>
          <w:tcPr>
            <w:tcW w:w="283" w:type="dxa"/>
            <w:tcBorders>
              <w:top w:val="nil"/>
              <w:left w:val="nil"/>
              <w:bottom w:val="nil"/>
              <w:right w:val="nil"/>
            </w:tcBorders>
          </w:tcPr>
          <w:p w14:paraId="710379CA" w14:textId="77777777" w:rsidR="00F458F5" w:rsidRPr="006530D1" w:rsidRDefault="00F458F5" w:rsidP="00A94791">
            <w:pPr>
              <w:spacing w:line="240" w:lineRule="auto"/>
              <w:jc w:val="center"/>
            </w:pPr>
          </w:p>
        </w:tc>
        <w:tc>
          <w:tcPr>
            <w:tcW w:w="851" w:type="dxa"/>
            <w:tcBorders>
              <w:left w:val="nil"/>
              <w:bottom w:val="nil"/>
              <w:right w:val="nil"/>
            </w:tcBorders>
          </w:tcPr>
          <w:p w14:paraId="2D6434D1" w14:textId="77777777" w:rsidR="00F458F5" w:rsidRPr="006530D1" w:rsidRDefault="00F458F5" w:rsidP="00A94791">
            <w:pPr>
              <w:spacing w:line="240" w:lineRule="auto"/>
              <w:jc w:val="center"/>
            </w:pPr>
            <w:r w:rsidRPr="006530D1">
              <w:t>7.33</w:t>
            </w:r>
          </w:p>
        </w:tc>
        <w:tc>
          <w:tcPr>
            <w:tcW w:w="283" w:type="dxa"/>
            <w:tcBorders>
              <w:left w:val="nil"/>
              <w:bottom w:val="nil"/>
              <w:right w:val="nil"/>
            </w:tcBorders>
          </w:tcPr>
          <w:p w14:paraId="784B0845" w14:textId="77777777" w:rsidR="00F458F5" w:rsidRPr="006530D1" w:rsidRDefault="00F458F5" w:rsidP="00A94791">
            <w:pPr>
              <w:spacing w:line="240" w:lineRule="auto"/>
              <w:jc w:val="center"/>
            </w:pPr>
          </w:p>
        </w:tc>
        <w:tc>
          <w:tcPr>
            <w:tcW w:w="851" w:type="dxa"/>
            <w:tcBorders>
              <w:left w:val="nil"/>
              <w:bottom w:val="nil"/>
              <w:right w:val="nil"/>
            </w:tcBorders>
          </w:tcPr>
          <w:p w14:paraId="718930CE" w14:textId="77777777" w:rsidR="00F458F5" w:rsidRPr="006530D1" w:rsidRDefault="00F458F5" w:rsidP="00A94791">
            <w:pPr>
              <w:spacing w:line="240" w:lineRule="auto"/>
              <w:jc w:val="center"/>
            </w:pPr>
            <w:r w:rsidRPr="006530D1">
              <w:t>&lt; .001</w:t>
            </w:r>
          </w:p>
        </w:tc>
        <w:tc>
          <w:tcPr>
            <w:tcW w:w="283" w:type="dxa"/>
            <w:tcBorders>
              <w:left w:val="nil"/>
              <w:bottom w:val="nil"/>
              <w:right w:val="nil"/>
            </w:tcBorders>
          </w:tcPr>
          <w:p w14:paraId="372244D9" w14:textId="77777777" w:rsidR="00F458F5" w:rsidRPr="006530D1" w:rsidRDefault="00F458F5" w:rsidP="00A94791">
            <w:pPr>
              <w:spacing w:line="240" w:lineRule="auto"/>
              <w:jc w:val="center"/>
            </w:pPr>
          </w:p>
        </w:tc>
        <w:tc>
          <w:tcPr>
            <w:tcW w:w="713" w:type="dxa"/>
            <w:tcBorders>
              <w:left w:val="nil"/>
              <w:bottom w:val="nil"/>
              <w:right w:val="nil"/>
            </w:tcBorders>
          </w:tcPr>
          <w:p w14:paraId="38B815F8" w14:textId="77777777" w:rsidR="00F458F5" w:rsidRPr="006530D1" w:rsidRDefault="00F458F5" w:rsidP="00A94791">
            <w:pPr>
              <w:spacing w:line="240" w:lineRule="auto"/>
              <w:jc w:val="center"/>
            </w:pPr>
            <w:r w:rsidRPr="006530D1">
              <w:t>1.03</w:t>
            </w:r>
          </w:p>
        </w:tc>
      </w:tr>
      <w:tr w:rsidR="00F458F5" w14:paraId="1F7DD96A" w14:textId="77777777" w:rsidTr="00A94791">
        <w:trPr>
          <w:jc w:val="center"/>
        </w:trPr>
        <w:tc>
          <w:tcPr>
            <w:tcW w:w="1383" w:type="dxa"/>
            <w:tcBorders>
              <w:top w:val="nil"/>
              <w:left w:val="nil"/>
              <w:bottom w:val="nil"/>
              <w:right w:val="nil"/>
            </w:tcBorders>
          </w:tcPr>
          <w:p w14:paraId="0292651D" w14:textId="77777777" w:rsidR="00F458F5" w:rsidRDefault="00F458F5" w:rsidP="00A94791">
            <w:pPr>
              <w:spacing w:line="240" w:lineRule="auto"/>
              <w:jc w:val="center"/>
            </w:pPr>
            <w:r>
              <w:t>Session 2</w:t>
            </w:r>
          </w:p>
        </w:tc>
        <w:tc>
          <w:tcPr>
            <w:tcW w:w="279" w:type="dxa"/>
            <w:tcBorders>
              <w:top w:val="nil"/>
              <w:left w:val="nil"/>
              <w:bottom w:val="nil"/>
              <w:right w:val="nil"/>
            </w:tcBorders>
          </w:tcPr>
          <w:p w14:paraId="453DC1E2" w14:textId="77777777" w:rsidR="00F458F5" w:rsidRPr="006530D1" w:rsidRDefault="00F458F5" w:rsidP="00A94791">
            <w:pPr>
              <w:spacing w:line="240" w:lineRule="auto"/>
              <w:jc w:val="center"/>
            </w:pPr>
          </w:p>
        </w:tc>
        <w:tc>
          <w:tcPr>
            <w:tcW w:w="1031" w:type="dxa"/>
            <w:tcBorders>
              <w:top w:val="nil"/>
              <w:left w:val="nil"/>
              <w:bottom w:val="nil"/>
              <w:right w:val="nil"/>
            </w:tcBorders>
          </w:tcPr>
          <w:p w14:paraId="6D43C55B" w14:textId="77777777" w:rsidR="00F458F5" w:rsidRPr="006530D1" w:rsidRDefault="00F458F5" w:rsidP="00A94791">
            <w:pPr>
              <w:spacing w:line="240" w:lineRule="auto"/>
              <w:jc w:val="center"/>
            </w:pPr>
            <w:r w:rsidRPr="006530D1">
              <w:t>0.30</w:t>
            </w:r>
          </w:p>
        </w:tc>
        <w:tc>
          <w:tcPr>
            <w:tcW w:w="284" w:type="dxa"/>
            <w:tcBorders>
              <w:top w:val="nil"/>
              <w:left w:val="nil"/>
              <w:bottom w:val="nil"/>
              <w:right w:val="nil"/>
            </w:tcBorders>
          </w:tcPr>
          <w:p w14:paraId="5BF72520" w14:textId="77777777" w:rsidR="00F458F5" w:rsidRPr="006530D1" w:rsidRDefault="00F458F5" w:rsidP="00A94791">
            <w:pPr>
              <w:spacing w:line="240" w:lineRule="auto"/>
              <w:jc w:val="center"/>
            </w:pPr>
          </w:p>
        </w:tc>
        <w:tc>
          <w:tcPr>
            <w:tcW w:w="992" w:type="dxa"/>
            <w:tcBorders>
              <w:top w:val="nil"/>
              <w:left w:val="nil"/>
              <w:bottom w:val="nil"/>
              <w:right w:val="nil"/>
            </w:tcBorders>
          </w:tcPr>
          <w:p w14:paraId="33581A36" w14:textId="77777777" w:rsidR="00F458F5" w:rsidRPr="006530D1" w:rsidRDefault="00F458F5" w:rsidP="00A94791">
            <w:pPr>
              <w:spacing w:line="240" w:lineRule="auto"/>
              <w:jc w:val="center"/>
            </w:pPr>
            <w:r w:rsidRPr="006530D1">
              <w:t>(0.16)</w:t>
            </w:r>
          </w:p>
        </w:tc>
        <w:tc>
          <w:tcPr>
            <w:tcW w:w="284" w:type="dxa"/>
            <w:tcBorders>
              <w:top w:val="nil"/>
              <w:left w:val="nil"/>
              <w:bottom w:val="nil"/>
              <w:right w:val="nil"/>
            </w:tcBorders>
          </w:tcPr>
          <w:p w14:paraId="55F25E6F"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992" w:type="dxa"/>
            <w:tcBorders>
              <w:top w:val="nil"/>
              <w:left w:val="nil"/>
              <w:bottom w:val="nil"/>
              <w:right w:val="nil"/>
            </w:tcBorders>
          </w:tcPr>
          <w:p w14:paraId="4E1DB9D7" w14:textId="77777777" w:rsidR="00F458F5" w:rsidRPr="006530D1" w:rsidRDefault="00F458F5" w:rsidP="00A94791">
            <w:pPr>
              <w:pStyle w:val="Listeafsnit"/>
              <w:spacing w:line="240" w:lineRule="auto"/>
              <w:ind w:left="0"/>
              <w:jc w:val="center"/>
              <w:rPr>
                <w:rFonts w:ascii="Times New Roman" w:hAnsi="Times New Roman" w:cs="Times New Roman"/>
              </w:rPr>
            </w:pPr>
            <w:r w:rsidRPr="006530D1">
              <w:rPr>
                <w:rFonts w:ascii="Times New Roman" w:hAnsi="Times New Roman" w:cs="Times New Roman"/>
              </w:rPr>
              <w:t>0.70</w:t>
            </w:r>
          </w:p>
        </w:tc>
        <w:tc>
          <w:tcPr>
            <w:tcW w:w="283" w:type="dxa"/>
            <w:tcBorders>
              <w:top w:val="nil"/>
              <w:left w:val="nil"/>
              <w:bottom w:val="nil"/>
              <w:right w:val="nil"/>
            </w:tcBorders>
          </w:tcPr>
          <w:p w14:paraId="656F4E10"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1135" w:type="dxa"/>
            <w:tcBorders>
              <w:top w:val="nil"/>
              <w:left w:val="nil"/>
              <w:bottom w:val="nil"/>
              <w:right w:val="nil"/>
            </w:tcBorders>
          </w:tcPr>
          <w:p w14:paraId="7A12974C" w14:textId="77777777" w:rsidR="00F458F5" w:rsidRPr="006530D1" w:rsidRDefault="00F458F5" w:rsidP="00A94791">
            <w:pPr>
              <w:spacing w:line="240" w:lineRule="auto"/>
              <w:jc w:val="center"/>
            </w:pPr>
            <w:r w:rsidRPr="006530D1">
              <w:t>(0.16)</w:t>
            </w:r>
          </w:p>
        </w:tc>
        <w:tc>
          <w:tcPr>
            <w:tcW w:w="283" w:type="dxa"/>
            <w:tcBorders>
              <w:top w:val="nil"/>
              <w:left w:val="nil"/>
              <w:bottom w:val="nil"/>
              <w:right w:val="nil"/>
            </w:tcBorders>
          </w:tcPr>
          <w:p w14:paraId="3643367F" w14:textId="77777777" w:rsidR="00F458F5" w:rsidRPr="006530D1" w:rsidRDefault="00F458F5" w:rsidP="00A94791">
            <w:pPr>
              <w:spacing w:line="240" w:lineRule="auto"/>
              <w:jc w:val="center"/>
            </w:pPr>
          </w:p>
        </w:tc>
        <w:tc>
          <w:tcPr>
            <w:tcW w:w="851" w:type="dxa"/>
            <w:tcBorders>
              <w:top w:val="nil"/>
              <w:left w:val="nil"/>
              <w:bottom w:val="nil"/>
              <w:right w:val="nil"/>
            </w:tcBorders>
          </w:tcPr>
          <w:p w14:paraId="4B8E7197" w14:textId="77777777" w:rsidR="00F458F5" w:rsidRPr="006530D1" w:rsidRDefault="00F458F5" w:rsidP="00A94791">
            <w:pPr>
              <w:spacing w:line="240" w:lineRule="auto"/>
              <w:jc w:val="center"/>
            </w:pPr>
            <w:r w:rsidRPr="006530D1">
              <w:t>17.99</w:t>
            </w:r>
          </w:p>
        </w:tc>
        <w:tc>
          <w:tcPr>
            <w:tcW w:w="283" w:type="dxa"/>
            <w:tcBorders>
              <w:top w:val="nil"/>
              <w:left w:val="nil"/>
              <w:bottom w:val="nil"/>
              <w:right w:val="nil"/>
            </w:tcBorders>
          </w:tcPr>
          <w:p w14:paraId="32A88453" w14:textId="77777777" w:rsidR="00F458F5" w:rsidRPr="006530D1" w:rsidRDefault="00F458F5" w:rsidP="00A94791">
            <w:pPr>
              <w:spacing w:line="240" w:lineRule="auto"/>
              <w:jc w:val="center"/>
            </w:pPr>
          </w:p>
        </w:tc>
        <w:tc>
          <w:tcPr>
            <w:tcW w:w="851" w:type="dxa"/>
            <w:tcBorders>
              <w:top w:val="nil"/>
              <w:left w:val="nil"/>
              <w:bottom w:val="nil"/>
              <w:right w:val="nil"/>
            </w:tcBorders>
          </w:tcPr>
          <w:p w14:paraId="05E92F29" w14:textId="77777777" w:rsidR="00F458F5" w:rsidRPr="006530D1" w:rsidRDefault="00F458F5" w:rsidP="00A94791">
            <w:pPr>
              <w:spacing w:line="240" w:lineRule="auto"/>
              <w:jc w:val="center"/>
            </w:pPr>
            <w:r w:rsidRPr="006530D1">
              <w:t>&lt; .001</w:t>
            </w:r>
          </w:p>
        </w:tc>
        <w:tc>
          <w:tcPr>
            <w:tcW w:w="283" w:type="dxa"/>
            <w:tcBorders>
              <w:top w:val="nil"/>
              <w:left w:val="nil"/>
              <w:bottom w:val="nil"/>
              <w:right w:val="nil"/>
            </w:tcBorders>
          </w:tcPr>
          <w:p w14:paraId="5DC2E48D" w14:textId="77777777" w:rsidR="00F458F5" w:rsidRPr="006530D1" w:rsidRDefault="00F458F5" w:rsidP="00A94791">
            <w:pPr>
              <w:spacing w:line="240" w:lineRule="auto"/>
              <w:jc w:val="center"/>
            </w:pPr>
          </w:p>
        </w:tc>
        <w:tc>
          <w:tcPr>
            <w:tcW w:w="713" w:type="dxa"/>
            <w:tcBorders>
              <w:top w:val="nil"/>
              <w:left w:val="nil"/>
              <w:bottom w:val="nil"/>
              <w:right w:val="nil"/>
            </w:tcBorders>
          </w:tcPr>
          <w:p w14:paraId="18C6D8F4" w14:textId="77777777" w:rsidR="00F458F5" w:rsidRPr="006530D1" w:rsidRDefault="00F458F5" w:rsidP="00A94791">
            <w:pPr>
              <w:spacing w:line="240" w:lineRule="auto"/>
              <w:jc w:val="center"/>
            </w:pPr>
            <w:r w:rsidRPr="006530D1">
              <w:t>2.53</w:t>
            </w:r>
          </w:p>
        </w:tc>
      </w:tr>
      <w:tr w:rsidR="00F458F5" w14:paraId="415D21AE" w14:textId="77777777" w:rsidTr="00A94791">
        <w:trPr>
          <w:jc w:val="center"/>
        </w:trPr>
        <w:tc>
          <w:tcPr>
            <w:tcW w:w="9929" w:type="dxa"/>
            <w:gridSpan w:val="15"/>
            <w:tcBorders>
              <w:top w:val="nil"/>
              <w:left w:val="nil"/>
              <w:bottom w:val="nil"/>
              <w:right w:val="nil"/>
            </w:tcBorders>
          </w:tcPr>
          <w:p w14:paraId="3A0A8A01" w14:textId="77777777" w:rsidR="00F458F5" w:rsidRPr="006530D1" w:rsidRDefault="00F458F5" w:rsidP="00A94791">
            <w:pPr>
              <w:spacing w:line="240" w:lineRule="auto"/>
              <w:jc w:val="center"/>
            </w:pPr>
          </w:p>
        </w:tc>
      </w:tr>
      <w:tr w:rsidR="00F458F5" w14:paraId="3BE39C15" w14:textId="77777777" w:rsidTr="00A94791">
        <w:trPr>
          <w:jc w:val="center"/>
        </w:trPr>
        <w:tc>
          <w:tcPr>
            <w:tcW w:w="1383" w:type="dxa"/>
            <w:tcBorders>
              <w:top w:val="nil"/>
              <w:left w:val="nil"/>
              <w:bottom w:val="single" w:sz="4" w:space="0" w:color="auto"/>
              <w:right w:val="nil"/>
            </w:tcBorders>
          </w:tcPr>
          <w:p w14:paraId="2CE1D778" w14:textId="77777777" w:rsidR="00F458F5" w:rsidRDefault="00F458F5" w:rsidP="00A94791">
            <w:pPr>
              <w:spacing w:line="240" w:lineRule="auto"/>
              <w:jc w:val="center"/>
            </w:pPr>
          </w:p>
        </w:tc>
        <w:tc>
          <w:tcPr>
            <w:tcW w:w="279" w:type="dxa"/>
            <w:tcBorders>
              <w:top w:val="nil"/>
              <w:left w:val="nil"/>
              <w:bottom w:val="single" w:sz="4" w:space="0" w:color="auto"/>
              <w:right w:val="nil"/>
            </w:tcBorders>
          </w:tcPr>
          <w:p w14:paraId="6F13E677" w14:textId="77777777" w:rsidR="00F458F5" w:rsidRPr="006530D1" w:rsidRDefault="00F458F5" w:rsidP="00A94791">
            <w:pPr>
              <w:spacing w:line="240" w:lineRule="auto"/>
              <w:jc w:val="center"/>
            </w:pPr>
          </w:p>
        </w:tc>
        <w:tc>
          <w:tcPr>
            <w:tcW w:w="2307" w:type="dxa"/>
            <w:gridSpan w:val="3"/>
            <w:tcBorders>
              <w:top w:val="nil"/>
              <w:left w:val="nil"/>
              <w:right w:val="nil"/>
            </w:tcBorders>
          </w:tcPr>
          <w:p w14:paraId="697D5532" w14:textId="77777777" w:rsidR="00F458F5" w:rsidRPr="006530D1" w:rsidRDefault="00F458F5" w:rsidP="00A94791">
            <w:pPr>
              <w:spacing w:line="240" w:lineRule="auto"/>
              <w:jc w:val="center"/>
            </w:pPr>
            <w:r w:rsidRPr="006530D1">
              <w:t>Session 1</w:t>
            </w:r>
          </w:p>
        </w:tc>
        <w:tc>
          <w:tcPr>
            <w:tcW w:w="284" w:type="dxa"/>
            <w:tcBorders>
              <w:top w:val="nil"/>
              <w:left w:val="nil"/>
              <w:bottom w:val="single" w:sz="4" w:space="0" w:color="auto"/>
              <w:right w:val="nil"/>
            </w:tcBorders>
          </w:tcPr>
          <w:p w14:paraId="083A43A6"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2410" w:type="dxa"/>
            <w:gridSpan w:val="3"/>
            <w:tcBorders>
              <w:top w:val="nil"/>
              <w:left w:val="nil"/>
              <w:right w:val="nil"/>
            </w:tcBorders>
          </w:tcPr>
          <w:p w14:paraId="3E41DAAC" w14:textId="77777777" w:rsidR="00F458F5" w:rsidRPr="006530D1" w:rsidRDefault="00F458F5" w:rsidP="00A94791">
            <w:pPr>
              <w:spacing w:line="240" w:lineRule="auto"/>
              <w:jc w:val="center"/>
            </w:pPr>
            <w:r w:rsidRPr="006530D1">
              <w:t>Session 2</w:t>
            </w:r>
          </w:p>
        </w:tc>
        <w:tc>
          <w:tcPr>
            <w:tcW w:w="283" w:type="dxa"/>
            <w:tcBorders>
              <w:top w:val="nil"/>
              <w:left w:val="nil"/>
              <w:bottom w:val="single" w:sz="4" w:space="0" w:color="auto"/>
              <w:right w:val="nil"/>
            </w:tcBorders>
          </w:tcPr>
          <w:p w14:paraId="7F6EC821" w14:textId="77777777" w:rsidR="00F458F5" w:rsidRPr="006530D1" w:rsidRDefault="00F458F5" w:rsidP="00A94791">
            <w:pPr>
              <w:spacing w:line="240" w:lineRule="auto"/>
              <w:jc w:val="center"/>
            </w:pPr>
          </w:p>
        </w:tc>
        <w:tc>
          <w:tcPr>
            <w:tcW w:w="851" w:type="dxa"/>
            <w:tcBorders>
              <w:top w:val="nil"/>
              <w:left w:val="nil"/>
              <w:bottom w:val="single" w:sz="4" w:space="0" w:color="auto"/>
              <w:right w:val="nil"/>
            </w:tcBorders>
          </w:tcPr>
          <w:p w14:paraId="58009D69" w14:textId="77777777" w:rsidR="00F458F5" w:rsidRPr="006530D1" w:rsidRDefault="00F458F5" w:rsidP="00A94791">
            <w:pPr>
              <w:spacing w:line="240" w:lineRule="auto"/>
              <w:jc w:val="center"/>
            </w:pPr>
            <w:r w:rsidRPr="006530D1">
              <w:rPr>
                <w:i/>
              </w:rPr>
              <w:t>t</w:t>
            </w:r>
            <w:r w:rsidRPr="006530D1">
              <w:t>(202)</w:t>
            </w:r>
          </w:p>
        </w:tc>
        <w:tc>
          <w:tcPr>
            <w:tcW w:w="283" w:type="dxa"/>
            <w:tcBorders>
              <w:top w:val="nil"/>
              <w:left w:val="nil"/>
              <w:bottom w:val="single" w:sz="4" w:space="0" w:color="auto"/>
              <w:right w:val="nil"/>
            </w:tcBorders>
          </w:tcPr>
          <w:p w14:paraId="2AA3B610" w14:textId="77777777" w:rsidR="00F458F5" w:rsidRPr="006530D1" w:rsidRDefault="00F458F5" w:rsidP="00A94791">
            <w:pPr>
              <w:spacing w:line="240" w:lineRule="auto"/>
              <w:jc w:val="center"/>
            </w:pPr>
          </w:p>
        </w:tc>
        <w:tc>
          <w:tcPr>
            <w:tcW w:w="851" w:type="dxa"/>
            <w:tcBorders>
              <w:top w:val="nil"/>
              <w:left w:val="nil"/>
              <w:bottom w:val="single" w:sz="4" w:space="0" w:color="auto"/>
              <w:right w:val="nil"/>
            </w:tcBorders>
          </w:tcPr>
          <w:p w14:paraId="658C5362" w14:textId="77777777" w:rsidR="00F458F5" w:rsidRPr="006530D1" w:rsidRDefault="00F458F5" w:rsidP="00A94791">
            <w:pPr>
              <w:spacing w:line="240" w:lineRule="auto"/>
              <w:jc w:val="center"/>
              <w:rPr>
                <w:i/>
              </w:rPr>
            </w:pPr>
            <w:r w:rsidRPr="006530D1">
              <w:rPr>
                <w:i/>
              </w:rPr>
              <w:t>p</w:t>
            </w:r>
          </w:p>
        </w:tc>
        <w:tc>
          <w:tcPr>
            <w:tcW w:w="283" w:type="dxa"/>
            <w:tcBorders>
              <w:top w:val="nil"/>
              <w:left w:val="nil"/>
              <w:bottom w:val="single" w:sz="4" w:space="0" w:color="auto"/>
              <w:right w:val="nil"/>
            </w:tcBorders>
          </w:tcPr>
          <w:p w14:paraId="5367D30E" w14:textId="77777777" w:rsidR="00F458F5" w:rsidRPr="006530D1" w:rsidRDefault="00F458F5" w:rsidP="00A94791">
            <w:pPr>
              <w:spacing w:line="240" w:lineRule="auto"/>
              <w:jc w:val="center"/>
              <w:rPr>
                <w:i/>
              </w:rPr>
            </w:pPr>
          </w:p>
        </w:tc>
        <w:tc>
          <w:tcPr>
            <w:tcW w:w="713" w:type="dxa"/>
            <w:tcBorders>
              <w:top w:val="nil"/>
              <w:left w:val="nil"/>
              <w:bottom w:val="single" w:sz="4" w:space="0" w:color="auto"/>
              <w:right w:val="nil"/>
            </w:tcBorders>
          </w:tcPr>
          <w:p w14:paraId="5118B4F9" w14:textId="77777777" w:rsidR="00F458F5" w:rsidRPr="006530D1" w:rsidRDefault="00F458F5" w:rsidP="00A94791">
            <w:pPr>
              <w:spacing w:line="240" w:lineRule="auto"/>
              <w:jc w:val="center"/>
              <w:rPr>
                <w:i/>
              </w:rPr>
            </w:pPr>
            <w:r w:rsidRPr="006530D1">
              <w:rPr>
                <w:i/>
                <w:iCs/>
              </w:rPr>
              <w:t>d</w:t>
            </w:r>
          </w:p>
        </w:tc>
      </w:tr>
      <w:tr w:rsidR="00F458F5" w14:paraId="14E19FC2" w14:textId="77777777" w:rsidTr="00A94791">
        <w:trPr>
          <w:jc w:val="center"/>
        </w:trPr>
        <w:tc>
          <w:tcPr>
            <w:tcW w:w="1383" w:type="dxa"/>
            <w:tcBorders>
              <w:left w:val="nil"/>
              <w:bottom w:val="single" w:sz="4" w:space="0" w:color="auto"/>
              <w:right w:val="nil"/>
            </w:tcBorders>
          </w:tcPr>
          <w:p w14:paraId="25E7B37D" w14:textId="77777777" w:rsidR="00F458F5" w:rsidRDefault="00F458F5" w:rsidP="00A94791">
            <w:pPr>
              <w:spacing w:line="240" w:lineRule="auto"/>
              <w:jc w:val="center"/>
            </w:pPr>
            <w:r>
              <w:t>End Capital</w:t>
            </w:r>
          </w:p>
        </w:tc>
        <w:tc>
          <w:tcPr>
            <w:tcW w:w="279" w:type="dxa"/>
            <w:tcBorders>
              <w:left w:val="nil"/>
              <w:bottom w:val="single" w:sz="4" w:space="0" w:color="auto"/>
              <w:right w:val="nil"/>
            </w:tcBorders>
          </w:tcPr>
          <w:p w14:paraId="44DD7E6E" w14:textId="77777777" w:rsidR="00F458F5" w:rsidRPr="006530D1" w:rsidRDefault="00F458F5" w:rsidP="00A94791">
            <w:pPr>
              <w:spacing w:line="240" w:lineRule="auto"/>
              <w:jc w:val="center"/>
            </w:pPr>
          </w:p>
        </w:tc>
        <w:tc>
          <w:tcPr>
            <w:tcW w:w="1031" w:type="dxa"/>
            <w:tcBorders>
              <w:left w:val="nil"/>
              <w:bottom w:val="single" w:sz="4" w:space="0" w:color="auto"/>
              <w:right w:val="nil"/>
            </w:tcBorders>
          </w:tcPr>
          <w:p w14:paraId="00480866" w14:textId="77777777" w:rsidR="00F458F5" w:rsidRPr="006530D1" w:rsidRDefault="00F458F5" w:rsidP="00A94791">
            <w:pPr>
              <w:spacing w:line="240" w:lineRule="auto"/>
              <w:jc w:val="center"/>
            </w:pPr>
            <w:r w:rsidRPr="006530D1">
              <w:t>1999.88</w:t>
            </w:r>
          </w:p>
        </w:tc>
        <w:tc>
          <w:tcPr>
            <w:tcW w:w="284" w:type="dxa"/>
            <w:tcBorders>
              <w:left w:val="nil"/>
              <w:bottom w:val="single" w:sz="4" w:space="0" w:color="auto"/>
              <w:right w:val="nil"/>
            </w:tcBorders>
          </w:tcPr>
          <w:p w14:paraId="6676DAA3" w14:textId="77777777" w:rsidR="00F458F5" w:rsidRPr="006530D1" w:rsidRDefault="00F458F5" w:rsidP="00A94791">
            <w:pPr>
              <w:spacing w:line="240" w:lineRule="auto"/>
              <w:jc w:val="center"/>
            </w:pPr>
          </w:p>
        </w:tc>
        <w:tc>
          <w:tcPr>
            <w:tcW w:w="992" w:type="dxa"/>
            <w:tcBorders>
              <w:left w:val="nil"/>
              <w:bottom w:val="single" w:sz="4" w:space="0" w:color="auto"/>
              <w:right w:val="nil"/>
            </w:tcBorders>
          </w:tcPr>
          <w:p w14:paraId="78AE9826" w14:textId="77777777" w:rsidR="00F458F5" w:rsidRPr="006530D1" w:rsidRDefault="00F458F5" w:rsidP="00A94791">
            <w:pPr>
              <w:spacing w:line="240" w:lineRule="auto"/>
              <w:jc w:val="center"/>
            </w:pPr>
            <w:r w:rsidRPr="006530D1">
              <w:t>866.07</w:t>
            </w:r>
          </w:p>
        </w:tc>
        <w:tc>
          <w:tcPr>
            <w:tcW w:w="284" w:type="dxa"/>
            <w:tcBorders>
              <w:top w:val="single" w:sz="4" w:space="0" w:color="auto"/>
              <w:left w:val="nil"/>
              <w:bottom w:val="single" w:sz="4" w:space="0" w:color="auto"/>
              <w:right w:val="nil"/>
            </w:tcBorders>
          </w:tcPr>
          <w:p w14:paraId="5D0FD879"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992" w:type="dxa"/>
            <w:tcBorders>
              <w:left w:val="nil"/>
              <w:bottom w:val="single" w:sz="4" w:space="0" w:color="auto"/>
              <w:right w:val="nil"/>
            </w:tcBorders>
          </w:tcPr>
          <w:p w14:paraId="43F07EBC" w14:textId="77777777" w:rsidR="00F458F5" w:rsidRPr="006530D1" w:rsidRDefault="00F458F5" w:rsidP="00A94791">
            <w:pPr>
              <w:pStyle w:val="Listeafsnit"/>
              <w:spacing w:line="240" w:lineRule="auto"/>
              <w:ind w:left="0"/>
              <w:jc w:val="center"/>
              <w:rPr>
                <w:rFonts w:ascii="Times New Roman" w:hAnsi="Times New Roman" w:cs="Times New Roman"/>
              </w:rPr>
            </w:pPr>
            <w:r w:rsidRPr="006530D1">
              <w:rPr>
                <w:rFonts w:ascii="Times New Roman" w:hAnsi="Times New Roman" w:cs="Times New Roman"/>
              </w:rPr>
              <w:t>2956.65</w:t>
            </w:r>
          </w:p>
        </w:tc>
        <w:tc>
          <w:tcPr>
            <w:tcW w:w="283" w:type="dxa"/>
            <w:tcBorders>
              <w:left w:val="nil"/>
              <w:bottom w:val="single" w:sz="4" w:space="0" w:color="auto"/>
              <w:right w:val="nil"/>
            </w:tcBorders>
          </w:tcPr>
          <w:p w14:paraId="7C3AD7E5" w14:textId="77777777" w:rsidR="00F458F5" w:rsidRPr="006530D1" w:rsidRDefault="00F458F5" w:rsidP="00A94791">
            <w:pPr>
              <w:pStyle w:val="Listeafsnit"/>
              <w:spacing w:line="240" w:lineRule="auto"/>
              <w:ind w:left="0"/>
              <w:jc w:val="center"/>
              <w:rPr>
                <w:rFonts w:ascii="Times New Roman" w:hAnsi="Times New Roman" w:cs="Times New Roman"/>
              </w:rPr>
            </w:pPr>
          </w:p>
        </w:tc>
        <w:tc>
          <w:tcPr>
            <w:tcW w:w="1135" w:type="dxa"/>
            <w:tcBorders>
              <w:left w:val="nil"/>
              <w:bottom w:val="single" w:sz="4" w:space="0" w:color="auto"/>
              <w:right w:val="nil"/>
            </w:tcBorders>
          </w:tcPr>
          <w:p w14:paraId="78797814" w14:textId="77777777" w:rsidR="00F458F5" w:rsidRPr="006530D1" w:rsidRDefault="00F458F5" w:rsidP="00A94791">
            <w:pPr>
              <w:spacing w:line="240" w:lineRule="auto"/>
              <w:jc w:val="center"/>
            </w:pPr>
            <w:r w:rsidRPr="006530D1">
              <w:t>1291.11</w:t>
            </w:r>
          </w:p>
        </w:tc>
        <w:tc>
          <w:tcPr>
            <w:tcW w:w="283" w:type="dxa"/>
            <w:tcBorders>
              <w:top w:val="single" w:sz="4" w:space="0" w:color="auto"/>
              <w:left w:val="nil"/>
              <w:bottom w:val="single" w:sz="4" w:space="0" w:color="auto"/>
              <w:right w:val="nil"/>
            </w:tcBorders>
          </w:tcPr>
          <w:p w14:paraId="67009C43" w14:textId="77777777" w:rsidR="00F458F5" w:rsidRPr="006530D1" w:rsidRDefault="00F458F5" w:rsidP="00A94791">
            <w:pPr>
              <w:spacing w:line="240" w:lineRule="auto"/>
              <w:jc w:val="center"/>
            </w:pPr>
          </w:p>
        </w:tc>
        <w:tc>
          <w:tcPr>
            <w:tcW w:w="851" w:type="dxa"/>
            <w:tcBorders>
              <w:left w:val="nil"/>
              <w:bottom w:val="single" w:sz="4" w:space="0" w:color="auto"/>
              <w:right w:val="nil"/>
            </w:tcBorders>
          </w:tcPr>
          <w:p w14:paraId="1D77A011" w14:textId="77777777" w:rsidR="00F458F5" w:rsidRPr="006530D1" w:rsidRDefault="00F458F5" w:rsidP="00A94791">
            <w:pPr>
              <w:spacing w:line="240" w:lineRule="auto"/>
              <w:jc w:val="center"/>
            </w:pPr>
            <w:r w:rsidRPr="006530D1">
              <w:t>9.89</w:t>
            </w:r>
          </w:p>
        </w:tc>
        <w:tc>
          <w:tcPr>
            <w:tcW w:w="283" w:type="dxa"/>
            <w:tcBorders>
              <w:left w:val="nil"/>
              <w:bottom w:val="single" w:sz="4" w:space="0" w:color="auto"/>
              <w:right w:val="nil"/>
            </w:tcBorders>
          </w:tcPr>
          <w:p w14:paraId="11446AF8" w14:textId="77777777" w:rsidR="00F458F5" w:rsidRPr="006530D1" w:rsidRDefault="00F458F5" w:rsidP="00A94791">
            <w:pPr>
              <w:spacing w:line="240" w:lineRule="auto"/>
              <w:jc w:val="center"/>
            </w:pPr>
          </w:p>
        </w:tc>
        <w:tc>
          <w:tcPr>
            <w:tcW w:w="851" w:type="dxa"/>
            <w:tcBorders>
              <w:left w:val="nil"/>
              <w:bottom w:val="single" w:sz="4" w:space="0" w:color="auto"/>
              <w:right w:val="nil"/>
            </w:tcBorders>
          </w:tcPr>
          <w:p w14:paraId="08C867D1" w14:textId="77777777" w:rsidR="00F458F5" w:rsidRPr="006530D1" w:rsidRDefault="00F458F5" w:rsidP="00A94791">
            <w:pPr>
              <w:spacing w:line="240" w:lineRule="auto"/>
              <w:jc w:val="center"/>
            </w:pPr>
            <w:r w:rsidRPr="006530D1">
              <w:t>&lt; .001</w:t>
            </w:r>
          </w:p>
        </w:tc>
        <w:tc>
          <w:tcPr>
            <w:tcW w:w="283" w:type="dxa"/>
            <w:tcBorders>
              <w:left w:val="nil"/>
              <w:bottom w:val="single" w:sz="4" w:space="0" w:color="auto"/>
              <w:right w:val="nil"/>
            </w:tcBorders>
          </w:tcPr>
          <w:p w14:paraId="0B43677D" w14:textId="77777777" w:rsidR="00F458F5" w:rsidRPr="006530D1" w:rsidRDefault="00F458F5" w:rsidP="00A94791">
            <w:pPr>
              <w:spacing w:line="240" w:lineRule="auto"/>
              <w:jc w:val="center"/>
            </w:pPr>
          </w:p>
        </w:tc>
        <w:tc>
          <w:tcPr>
            <w:tcW w:w="713" w:type="dxa"/>
            <w:tcBorders>
              <w:left w:val="nil"/>
              <w:bottom w:val="single" w:sz="4" w:space="0" w:color="auto"/>
              <w:right w:val="nil"/>
            </w:tcBorders>
          </w:tcPr>
          <w:p w14:paraId="33E5E07B" w14:textId="77777777" w:rsidR="00F458F5" w:rsidRPr="006530D1" w:rsidRDefault="00F458F5" w:rsidP="00A94791">
            <w:pPr>
              <w:spacing w:line="240" w:lineRule="auto"/>
              <w:jc w:val="center"/>
            </w:pPr>
            <w:r w:rsidRPr="006530D1">
              <w:t>0.89</w:t>
            </w:r>
          </w:p>
        </w:tc>
      </w:tr>
      <w:tr w:rsidR="00F458F5" w:rsidRPr="000045D8" w14:paraId="483866E1" w14:textId="77777777" w:rsidTr="00A94791">
        <w:trPr>
          <w:jc w:val="center"/>
        </w:trPr>
        <w:tc>
          <w:tcPr>
            <w:tcW w:w="9929" w:type="dxa"/>
            <w:gridSpan w:val="15"/>
            <w:tcBorders>
              <w:left w:val="nil"/>
              <w:right w:val="nil"/>
            </w:tcBorders>
          </w:tcPr>
          <w:p w14:paraId="2EBA9D7C" w14:textId="77777777" w:rsidR="00F458F5" w:rsidRPr="008F5680" w:rsidRDefault="00F458F5" w:rsidP="00A94791">
            <w:pPr>
              <w:spacing w:line="240" w:lineRule="auto"/>
              <w:rPr>
                <w:lang w:val="en-US"/>
              </w:rPr>
            </w:pPr>
            <w:r w:rsidRPr="00137BEA">
              <w:rPr>
                <w:i/>
                <w:lang w:val="en-US"/>
              </w:rPr>
              <w:t xml:space="preserve">Note: Values for </w:t>
            </w:r>
            <w:r>
              <w:rPr>
                <w:i/>
                <w:lang w:val="en-US"/>
              </w:rPr>
              <w:t>deck</w:t>
            </w:r>
            <w:r w:rsidRPr="00137BEA">
              <w:rPr>
                <w:i/>
                <w:lang w:val="en-US"/>
              </w:rPr>
              <w:t>-variables are displayed as mean share of total draws for each session. End capital shows the mean capital in DKK at the end of each session</w:t>
            </w:r>
            <w:r>
              <w:rPr>
                <w:lang w:val="en-US"/>
              </w:rPr>
              <w:t>.</w:t>
            </w:r>
          </w:p>
        </w:tc>
      </w:tr>
    </w:tbl>
    <w:p w14:paraId="54C4CADA" w14:textId="77777777" w:rsidR="00F458F5" w:rsidRPr="00F458F5" w:rsidRDefault="00F458F5" w:rsidP="00F458F5">
      <w:pPr>
        <w:rPr>
          <w:lang w:val="en-US"/>
        </w:rPr>
      </w:pPr>
    </w:p>
    <w:p w14:paraId="7D184F9F" w14:textId="77CEB1AA" w:rsidR="009166E0" w:rsidRDefault="009166E0" w:rsidP="009166E0">
      <w:pPr>
        <w:autoSpaceDE w:val="0"/>
        <w:autoSpaceDN w:val="0"/>
        <w:adjustRightInd w:val="0"/>
        <w:spacing w:line="240" w:lineRule="auto"/>
        <w:rPr>
          <w:rFonts w:eastAsiaTheme="minorHAnsi"/>
          <w:lang w:eastAsia="en-US"/>
        </w:rPr>
      </w:pPr>
      <w:r>
        <w:rPr>
          <w:rFonts w:eastAsiaTheme="minorHAnsi"/>
          <w:noProof/>
          <w:lang w:eastAsia="en-US"/>
        </w:rPr>
        <w:lastRenderedPageBreak/>
        <w:drawing>
          <wp:inline distT="0" distB="0" distL="0" distR="0" wp14:anchorId="7584A76F" wp14:editId="58FCDD9D">
            <wp:extent cx="5974080" cy="3512820"/>
            <wp:effectExtent l="0" t="0" r="762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3512820"/>
                    </a:xfrm>
                    <a:prstGeom prst="rect">
                      <a:avLst/>
                    </a:prstGeom>
                    <a:noFill/>
                    <a:ln>
                      <a:noFill/>
                    </a:ln>
                  </pic:spPr>
                </pic:pic>
              </a:graphicData>
            </a:graphic>
          </wp:inline>
        </w:drawing>
      </w:r>
    </w:p>
    <w:p w14:paraId="6332F112" w14:textId="2A9C40FC" w:rsidR="00B65317" w:rsidRPr="00B65317" w:rsidRDefault="00B65317" w:rsidP="009166E0">
      <w:pPr>
        <w:pStyle w:val="Billedtekst"/>
        <w:jc w:val="center"/>
        <w:rPr>
          <w:lang w:val="en-US"/>
        </w:rPr>
      </w:pPr>
      <w:r w:rsidRPr="00B65317">
        <w:rPr>
          <w:lang w:val="en-US"/>
        </w:rPr>
        <w:t xml:space="preserve">Figure </w:t>
      </w:r>
      <w:r>
        <w:fldChar w:fldCharType="begin"/>
      </w:r>
      <w:r w:rsidRPr="00B65317">
        <w:rPr>
          <w:lang w:val="en-US"/>
        </w:rPr>
        <w:instrText xml:space="preserve"> SEQ Figure \* ARABIC </w:instrText>
      </w:r>
      <w:r>
        <w:fldChar w:fldCharType="separate"/>
      </w:r>
      <w:r w:rsidR="005561F7">
        <w:rPr>
          <w:noProof/>
          <w:lang w:val="en-US"/>
        </w:rPr>
        <w:t>1</w:t>
      </w:r>
      <w:r>
        <w:fldChar w:fldCharType="end"/>
      </w:r>
      <w:r w:rsidRPr="00B65317">
        <w:rPr>
          <w:lang w:val="en-US"/>
        </w:rPr>
        <w:t>: Shows the mean no. of draws for each</w:t>
      </w:r>
      <w:r w:rsidRPr="00B65317">
        <w:rPr>
          <w:noProof/>
          <w:lang w:val="en-US"/>
        </w:rPr>
        <w:t xml:space="preserve"> </w:t>
      </w:r>
      <w:r w:rsidR="00D01DD1">
        <w:rPr>
          <w:noProof/>
          <w:lang w:val="en-US"/>
        </w:rPr>
        <w:t>deck</w:t>
      </w:r>
      <w:r w:rsidRPr="00B65317">
        <w:rPr>
          <w:noProof/>
          <w:lang w:val="en-US"/>
        </w:rPr>
        <w:t xml:space="preserve"> for each session.</w:t>
      </w:r>
    </w:p>
    <w:p w14:paraId="04FFAA92" w14:textId="5E2CD8BD" w:rsidR="00611022" w:rsidRPr="0020180F" w:rsidRDefault="004E5A16" w:rsidP="008A552E">
      <w:pPr>
        <w:jc w:val="both"/>
        <w:rPr>
          <w:rFonts w:eastAsiaTheme="minorEastAsia"/>
          <w:lang w:val="en-GB"/>
        </w:rPr>
      </w:pPr>
      <w:r>
        <w:rPr>
          <w:lang w:val="en-GB"/>
        </w:rPr>
        <w:t xml:space="preserve">Figure </w:t>
      </w:r>
      <w:r w:rsidR="001622DE">
        <w:rPr>
          <w:lang w:val="en-GB"/>
        </w:rPr>
        <w:t xml:space="preserve">1 </w:t>
      </w:r>
      <w:r>
        <w:rPr>
          <w:lang w:val="en-GB"/>
        </w:rPr>
        <w:t>show</w:t>
      </w:r>
      <w:r w:rsidR="00144C81">
        <w:rPr>
          <w:lang w:val="en-GB"/>
        </w:rPr>
        <w:t xml:space="preserve">s </w:t>
      </w:r>
      <w:r w:rsidR="00CD61DD">
        <w:rPr>
          <w:lang w:val="en-GB"/>
        </w:rPr>
        <w:t xml:space="preserve">the </w:t>
      </w:r>
      <w:r w:rsidR="003A1456">
        <w:rPr>
          <w:lang w:val="en-GB"/>
        </w:rPr>
        <w:t xml:space="preserve">distribution of draws per deck, for each of the two sessions. </w:t>
      </w:r>
      <w:r w:rsidR="008E5CC4">
        <w:rPr>
          <w:lang w:val="en-GB"/>
        </w:rPr>
        <w:t xml:space="preserve">In each of the sessions, the </w:t>
      </w:r>
      <w:r w:rsidR="001E71C3">
        <w:rPr>
          <w:lang w:val="en-GB"/>
        </w:rPr>
        <w:t>unfavourable decks (A and B) was chosen less than the favourable decks (C and D)</w:t>
      </w:r>
      <w:r w:rsidR="00C55E73">
        <w:rPr>
          <w:lang w:val="en-GB"/>
        </w:rPr>
        <w:t xml:space="preserve">, This was more </w:t>
      </w:r>
      <w:r w:rsidR="00027437">
        <w:rPr>
          <w:lang w:val="en-GB"/>
        </w:rPr>
        <w:t>profound in session 2. A repeated measures ANOVA was used to test w</w:t>
      </w:r>
      <w:r w:rsidR="0019641F">
        <w:rPr>
          <w:lang w:val="en-GB"/>
        </w:rPr>
        <w:t>h</w:t>
      </w:r>
      <w:r w:rsidR="00027437">
        <w:rPr>
          <w:lang w:val="en-GB"/>
        </w:rPr>
        <w:t>ether this effect was significant. The test</w:t>
      </w:r>
      <w:r w:rsidR="00FC18A5">
        <w:rPr>
          <w:lang w:val="en-GB"/>
        </w:rPr>
        <w:t xml:space="preserve"> </w:t>
      </w:r>
      <w:r w:rsidR="008D5F19" w:rsidRPr="00B52B6D">
        <w:rPr>
          <w:lang w:val="en-US"/>
        </w:rPr>
        <w:t xml:space="preserve">showed </w:t>
      </w:r>
      <w:r w:rsidR="008D5F19">
        <w:rPr>
          <w:lang w:val="en-US"/>
        </w:rPr>
        <w:t xml:space="preserve">a significant main effect of deck on number of draws, </w:t>
      </w:r>
      <w:r w:rsidR="008D5F19">
        <w:rPr>
          <w:i/>
          <w:iCs/>
          <w:lang w:val="en-US"/>
        </w:rPr>
        <w:t>F</w:t>
      </w:r>
      <w:r w:rsidR="008D5F19">
        <w:rPr>
          <w:lang w:val="en-US"/>
        </w:rPr>
        <w:t xml:space="preserve">(1.96, 396.68) = 94.38, </w:t>
      </w:r>
      <w:r w:rsidR="008D5F19">
        <w:rPr>
          <w:i/>
          <w:iCs/>
          <w:lang w:val="en-US"/>
        </w:rPr>
        <w:t>p</w:t>
      </w:r>
      <w:r w:rsidR="008D5F19">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D5F19">
        <w:rPr>
          <w:rFonts w:eastAsiaTheme="minorEastAsia"/>
          <w:lang w:val="en-US"/>
        </w:rPr>
        <w:t xml:space="preserve"> = .32 (Huyhn-Feldt corrected), and a significant interaction between session and deck, </w:t>
      </w:r>
      <w:r w:rsidR="008D5F19">
        <w:rPr>
          <w:rFonts w:eastAsiaTheme="minorEastAsia"/>
          <w:i/>
          <w:iCs/>
          <w:lang w:val="en-US"/>
        </w:rPr>
        <w:t>F</w:t>
      </w:r>
      <w:r w:rsidR="008D5F19">
        <w:rPr>
          <w:rFonts w:eastAsiaTheme="minorEastAsia"/>
          <w:lang w:val="en-US"/>
        </w:rPr>
        <w:t xml:space="preserve">(1.94, 392.26) = 61.94, </w:t>
      </w:r>
      <w:r w:rsidR="008D5F19">
        <w:rPr>
          <w:rFonts w:eastAsiaTheme="minorEastAsia"/>
          <w:i/>
          <w:iCs/>
          <w:lang w:val="en-US"/>
        </w:rPr>
        <w:t>p</w:t>
      </w:r>
      <w:r w:rsidR="008D5F19">
        <w:rPr>
          <w:rFonts w:eastAsiaTheme="minorEastAsia"/>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D5F19">
        <w:rPr>
          <w:rFonts w:eastAsiaTheme="minorEastAsia"/>
          <w:lang w:val="en-US"/>
        </w:rPr>
        <w:t xml:space="preserve"> = .24 (Huyhn-Feldt corrected), but no significant main effect of session, </w:t>
      </w:r>
      <w:r w:rsidR="008D5F19">
        <w:rPr>
          <w:rFonts w:eastAsiaTheme="minorEastAsia"/>
          <w:i/>
          <w:iCs/>
          <w:lang w:val="en-US"/>
        </w:rPr>
        <w:t>F</w:t>
      </w:r>
      <w:r w:rsidR="008D5F19">
        <w:rPr>
          <w:rFonts w:eastAsiaTheme="minorEastAsia"/>
          <w:lang w:val="en-US"/>
        </w:rPr>
        <w:t xml:space="preserve">(1, 202) = 1.00, </w:t>
      </w:r>
      <w:r w:rsidR="008D5F19">
        <w:rPr>
          <w:rFonts w:eastAsiaTheme="minorEastAsia"/>
          <w:i/>
          <w:iCs/>
          <w:lang w:val="en-US"/>
        </w:rPr>
        <w:t>p</w:t>
      </w:r>
      <w:r w:rsidR="008D5F19">
        <w:rPr>
          <w:rFonts w:eastAsiaTheme="minorEastAsia"/>
          <w:lang w:val="en-US"/>
        </w:rPr>
        <w:t xml:space="preserve"> = .32,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8D5F19">
        <w:rPr>
          <w:rFonts w:eastAsiaTheme="minorEastAsia"/>
          <w:lang w:val="en-US"/>
        </w:rPr>
        <w:t xml:space="preserve"> = .</w:t>
      </w:r>
      <w:r w:rsidR="008D5F19" w:rsidRPr="0020180F">
        <w:rPr>
          <w:rFonts w:eastAsiaTheme="minorEastAsia"/>
          <w:lang w:val="en-GB"/>
        </w:rPr>
        <w:t>01.</w:t>
      </w:r>
    </w:p>
    <w:p w14:paraId="01241611" w14:textId="21FC688D" w:rsidR="00D87F01" w:rsidRDefault="00D87F01" w:rsidP="008A552E">
      <w:pPr>
        <w:ind w:firstLine="567"/>
        <w:jc w:val="both"/>
        <w:rPr>
          <w:rFonts w:eastAsiaTheme="minorEastAsia"/>
          <w:lang w:val="en-GB"/>
        </w:rPr>
      </w:pPr>
      <w:r>
        <w:rPr>
          <w:rFonts w:eastAsiaTheme="minorEastAsia"/>
          <w:lang w:val="en-GB"/>
        </w:rPr>
        <w:t>If no learning had occurred</w:t>
      </w:r>
      <w:r w:rsidR="00DC221E">
        <w:rPr>
          <w:rFonts w:eastAsiaTheme="minorEastAsia"/>
          <w:lang w:val="en-GB"/>
        </w:rPr>
        <w:t>,</w:t>
      </w:r>
      <w:r>
        <w:rPr>
          <w:rFonts w:eastAsiaTheme="minorEastAsia"/>
          <w:lang w:val="en-GB"/>
        </w:rPr>
        <w:t xml:space="preserve"> we would have expected an equal number of draws from each </w:t>
      </w:r>
      <w:r w:rsidR="00BA0817">
        <w:rPr>
          <w:rFonts w:eastAsiaTheme="minorEastAsia"/>
          <w:lang w:val="en-GB"/>
        </w:rPr>
        <w:t>deck</w:t>
      </w:r>
      <w:r w:rsidR="00D51489">
        <w:rPr>
          <w:rFonts w:eastAsiaTheme="minorEastAsia"/>
          <w:lang w:val="en-GB"/>
        </w:rPr>
        <w:t xml:space="preserve">. The main effect of deck </w:t>
      </w:r>
      <w:r w:rsidR="004A2F25">
        <w:rPr>
          <w:rFonts w:eastAsiaTheme="minorEastAsia"/>
          <w:lang w:val="en-GB"/>
        </w:rPr>
        <w:t xml:space="preserve">on number of draws, suggests that P already were </w:t>
      </w:r>
      <w:r w:rsidR="002E2D6E">
        <w:rPr>
          <w:rFonts w:eastAsiaTheme="minorEastAsia"/>
          <w:lang w:val="en-GB"/>
        </w:rPr>
        <w:t xml:space="preserve">favouring some decks in session 1. </w:t>
      </w:r>
      <w:r w:rsidR="002B5AF3">
        <w:rPr>
          <w:rFonts w:eastAsiaTheme="minorEastAsia"/>
          <w:lang w:val="en-GB"/>
        </w:rPr>
        <w:t xml:space="preserve">The interaction </w:t>
      </w:r>
      <w:r w:rsidR="00FF003E">
        <w:rPr>
          <w:rFonts w:eastAsiaTheme="minorEastAsia"/>
          <w:lang w:val="en-GB"/>
        </w:rPr>
        <w:t xml:space="preserve">between session and deck </w:t>
      </w:r>
      <w:r w:rsidR="002B5AF3">
        <w:rPr>
          <w:rFonts w:eastAsiaTheme="minorEastAsia"/>
          <w:lang w:val="en-GB"/>
        </w:rPr>
        <w:t xml:space="preserve">shows that different decks were chosen </w:t>
      </w:r>
      <w:r w:rsidR="00FF003E">
        <w:rPr>
          <w:rFonts w:eastAsiaTheme="minorEastAsia"/>
          <w:lang w:val="en-GB"/>
        </w:rPr>
        <w:t xml:space="preserve">in </w:t>
      </w:r>
      <w:r w:rsidR="002B5AF3">
        <w:rPr>
          <w:rFonts w:eastAsiaTheme="minorEastAsia"/>
          <w:lang w:val="en-GB"/>
        </w:rPr>
        <w:t>session 1 and 2</w:t>
      </w:r>
      <w:r w:rsidR="00365265">
        <w:rPr>
          <w:rFonts w:eastAsiaTheme="minorEastAsia"/>
          <w:lang w:val="en-GB"/>
        </w:rPr>
        <w:t>.</w:t>
      </w:r>
      <w:r w:rsidR="00FF003E">
        <w:rPr>
          <w:rFonts w:eastAsiaTheme="minorEastAsia"/>
          <w:lang w:val="en-GB"/>
        </w:rPr>
        <w:t xml:space="preserve"> </w:t>
      </w:r>
      <w:r w:rsidR="00B95783">
        <w:rPr>
          <w:rFonts w:eastAsiaTheme="minorEastAsia"/>
          <w:lang w:val="en-GB"/>
        </w:rPr>
        <w:t xml:space="preserve">This is </w:t>
      </w:r>
      <w:r w:rsidR="00F61328">
        <w:rPr>
          <w:rFonts w:eastAsiaTheme="minorEastAsia"/>
          <w:lang w:val="en-GB"/>
        </w:rPr>
        <w:t>supported</w:t>
      </w:r>
      <w:r w:rsidR="001025F8">
        <w:rPr>
          <w:rFonts w:eastAsiaTheme="minorEastAsia"/>
          <w:lang w:val="en-GB"/>
        </w:rPr>
        <w:t xml:space="preserve"> </w:t>
      </w:r>
      <w:r w:rsidR="00F61328">
        <w:rPr>
          <w:rFonts w:eastAsiaTheme="minorEastAsia"/>
          <w:lang w:val="en-GB"/>
        </w:rPr>
        <w:t>by</w:t>
      </w:r>
      <w:r w:rsidR="001025F8">
        <w:rPr>
          <w:rFonts w:eastAsiaTheme="minorEastAsia"/>
          <w:lang w:val="en-GB"/>
        </w:rPr>
        <w:t xml:space="preserve"> table 1 as well, which shows that deck C and D were already favoured in </w:t>
      </w:r>
      <w:r w:rsidR="00F00FA0">
        <w:rPr>
          <w:rFonts w:eastAsiaTheme="minorEastAsia"/>
          <w:lang w:val="en-GB"/>
        </w:rPr>
        <w:t>session 1, but this was even more the case in session 2.</w:t>
      </w:r>
      <w:r w:rsidR="009E0430">
        <w:rPr>
          <w:rFonts w:eastAsiaTheme="minorEastAsia"/>
          <w:lang w:val="en-GB"/>
        </w:rPr>
        <w:t xml:space="preserve"> </w:t>
      </w:r>
      <w:r w:rsidR="00D11F69">
        <w:rPr>
          <w:rFonts w:eastAsiaTheme="minorEastAsia"/>
          <w:lang w:val="en-GB"/>
        </w:rPr>
        <w:t>All this</w:t>
      </w:r>
      <w:r w:rsidR="009B0A15">
        <w:rPr>
          <w:rFonts w:eastAsiaTheme="minorEastAsia"/>
          <w:lang w:val="en-GB"/>
        </w:rPr>
        <w:t xml:space="preserve"> supports </w:t>
      </w:r>
      <w:r w:rsidR="00D11F69">
        <w:rPr>
          <w:rFonts w:eastAsiaTheme="minorEastAsia"/>
          <w:lang w:val="en-GB"/>
        </w:rPr>
        <w:t xml:space="preserve">the somatic marker </w:t>
      </w:r>
      <w:r w:rsidR="00FF003E">
        <w:rPr>
          <w:rFonts w:eastAsiaTheme="minorEastAsia"/>
          <w:lang w:val="en-GB"/>
        </w:rPr>
        <w:t>hypothesis</w:t>
      </w:r>
      <w:r w:rsidR="00DC221E">
        <w:rPr>
          <w:rFonts w:eastAsiaTheme="minorEastAsia"/>
          <w:lang w:val="en-GB"/>
        </w:rPr>
        <w:t>.</w:t>
      </w:r>
    </w:p>
    <w:p w14:paraId="6DB0C29E" w14:textId="6EF736B8" w:rsidR="001523DC" w:rsidRDefault="00116807" w:rsidP="001523DC">
      <w:pPr>
        <w:pStyle w:val="Overskrift2"/>
        <w:rPr>
          <w:rFonts w:eastAsiaTheme="minorEastAsia"/>
          <w:lang w:val="en-GB"/>
        </w:rPr>
      </w:pPr>
      <w:bookmarkStart w:id="6" w:name="_Toc26292352"/>
      <w:r>
        <w:rPr>
          <w:rFonts w:eastAsiaTheme="minorEastAsia"/>
          <w:lang w:val="en-GB"/>
        </w:rPr>
        <w:t xml:space="preserve">Session 1 is for </w:t>
      </w:r>
      <w:r w:rsidR="00631672">
        <w:rPr>
          <w:rFonts w:eastAsiaTheme="minorEastAsia"/>
          <w:lang w:val="en-GB"/>
        </w:rPr>
        <w:t>leaning</w:t>
      </w:r>
      <w:r w:rsidR="00EE2CA9">
        <w:rPr>
          <w:rFonts w:eastAsiaTheme="minorEastAsia"/>
          <w:lang w:val="en-GB"/>
        </w:rPr>
        <w:t>, session 2 is for earning</w:t>
      </w:r>
      <w:bookmarkEnd w:id="6"/>
    </w:p>
    <w:p w14:paraId="5BE09471" w14:textId="72D2F2D3" w:rsidR="000F7A84" w:rsidRPr="000F7A84" w:rsidRDefault="006E40BB" w:rsidP="008A552E">
      <w:pPr>
        <w:jc w:val="both"/>
        <w:rPr>
          <w:lang w:val="en-US"/>
        </w:rPr>
      </w:pPr>
      <w:r w:rsidRPr="000F7A84">
        <w:rPr>
          <w:rFonts w:eastAsiaTheme="minorEastAsia"/>
          <w:lang w:val="en-GB"/>
        </w:rPr>
        <w:t xml:space="preserve">In </w:t>
      </w:r>
      <w:r w:rsidR="009B0A15">
        <w:rPr>
          <w:rFonts w:eastAsiaTheme="minorEastAsia"/>
          <w:lang w:val="en-GB"/>
        </w:rPr>
        <w:t>learning the</w:t>
      </w:r>
      <w:r w:rsidRPr="000F7A84">
        <w:rPr>
          <w:rFonts w:eastAsiaTheme="minorEastAsia"/>
          <w:lang w:val="en-GB"/>
        </w:rPr>
        <w:t xml:space="preserve"> reward/punishment ratio</w:t>
      </w:r>
      <w:r w:rsidR="009D7717" w:rsidRPr="000F7A84">
        <w:rPr>
          <w:rFonts w:eastAsiaTheme="minorEastAsia"/>
          <w:lang w:val="en-GB"/>
        </w:rPr>
        <w:t xml:space="preserve"> of each deck</w:t>
      </w:r>
      <w:r w:rsidR="00035D7E" w:rsidRPr="000F7A84">
        <w:rPr>
          <w:rFonts w:eastAsiaTheme="minorEastAsia"/>
          <w:lang w:val="en-GB"/>
        </w:rPr>
        <w:t xml:space="preserve">, we expect P to </w:t>
      </w:r>
      <w:r w:rsidR="00B43E73" w:rsidRPr="000F7A84">
        <w:rPr>
          <w:rFonts w:eastAsiaTheme="minorEastAsia"/>
          <w:lang w:val="en-GB"/>
        </w:rPr>
        <w:t xml:space="preserve">make an equal amount of draws from each deck. This </w:t>
      </w:r>
      <w:r w:rsidR="00E73148" w:rsidRPr="000F7A84">
        <w:rPr>
          <w:rFonts w:eastAsiaTheme="minorEastAsia"/>
          <w:lang w:val="en-GB"/>
        </w:rPr>
        <w:t>even</w:t>
      </w:r>
      <w:r w:rsidR="002E51D8">
        <w:rPr>
          <w:rFonts w:eastAsiaTheme="minorEastAsia"/>
          <w:lang w:val="en-GB"/>
        </w:rPr>
        <w:t>s</w:t>
      </w:r>
      <w:r w:rsidR="00E73148" w:rsidRPr="000F7A84">
        <w:rPr>
          <w:rFonts w:eastAsiaTheme="minorEastAsia"/>
          <w:lang w:val="en-GB"/>
        </w:rPr>
        <w:t xml:space="preserve"> out the rewards and punishments and therefor</w:t>
      </w:r>
      <w:r w:rsidR="00E511FE">
        <w:rPr>
          <w:rFonts w:eastAsiaTheme="minorEastAsia"/>
          <w:lang w:val="en-GB"/>
        </w:rPr>
        <w:t>e</w:t>
      </w:r>
      <w:r w:rsidR="00E73148" w:rsidRPr="000F7A84">
        <w:rPr>
          <w:rFonts w:eastAsiaTheme="minorEastAsia"/>
          <w:lang w:val="en-GB"/>
        </w:rPr>
        <w:t xml:space="preserve"> result in </w:t>
      </w:r>
      <w:r w:rsidR="00526131" w:rsidRPr="000F7A84">
        <w:rPr>
          <w:rFonts w:eastAsiaTheme="minorEastAsia"/>
          <w:lang w:val="en-GB"/>
        </w:rPr>
        <w:t>no significant</w:t>
      </w:r>
      <w:r w:rsidR="00C807F0">
        <w:rPr>
          <w:rFonts w:eastAsiaTheme="minorEastAsia"/>
          <w:lang w:val="en-GB"/>
        </w:rPr>
        <w:t xml:space="preserve"> overall</w:t>
      </w:r>
      <w:r w:rsidR="00526131" w:rsidRPr="000F7A84">
        <w:rPr>
          <w:rFonts w:eastAsiaTheme="minorEastAsia"/>
          <w:lang w:val="en-GB"/>
        </w:rPr>
        <w:t xml:space="preserve"> earnings</w:t>
      </w:r>
      <w:r w:rsidR="00E73148" w:rsidRPr="000F7A84">
        <w:rPr>
          <w:rFonts w:eastAsiaTheme="minorEastAsia"/>
          <w:lang w:val="en-GB"/>
        </w:rPr>
        <w:t>.</w:t>
      </w:r>
      <w:r w:rsidR="00ED053B" w:rsidRPr="000F7A84">
        <w:rPr>
          <w:rFonts w:eastAsiaTheme="minorEastAsia"/>
          <w:lang w:val="en-GB"/>
        </w:rPr>
        <w:t xml:space="preserve"> When </w:t>
      </w:r>
      <w:r w:rsidR="0063061C" w:rsidRPr="000F7A84">
        <w:rPr>
          <w:rFonts w:eastAsiaTheme="minorEastAsia"/>
          <w:lang w:val="en-GB"/>
        </w:rPr>
        <w:t xml:space="preserve">the favourable decks were determined in session 1, we would expect more of </w:t>
      </w:r>
      <w:r w:rsidR="0063061C" w:rsidRPr="000F7A84">
        <w:rPr>
          <w:rFonts w:eastAsiaTheme="minorEastAsia"/>
          <w:lang w:val="en-GB"/>
        </w:rPr>
        <w:lastRenderedPageBreak/>
        <w:t>these to be chosen in session 2</w:t>
      </w:r>
      <w:r w:rsidR="000F7A84" w:rsidRPr="000F7A84">
        <w:rPr>
          <w:rFonts w:eastAsiaTheme="minorEastAsia"/>
          <w:lang w:val="en-GB"/>
        </w:rPr>
        <w:t xml:space="preserve"> and to see a significant earning. </w:t>
      </w:r>
      <w:r w:rsidR="00F24BCB">
        <w:rPr>
          <w:rFonts w:eastAsiaTheme="minorEastAsia"/>
          <w:lang w:val="en-GB"/>
        </w:rPr>
        <w:t xml:space="preserve">A </w:t>
      </w:r>
      <w:r w:rsidR="000F7A84" w:rsidRPr="000F7A84">
        <w:rPr>
          <w:lang w:val="en-US"/>
        </w:rPr>
        <w:t xml:space="preserve">One sample </w:t>
      </w:r>
      <w:r w:rsidR="000F7A84" w:rsidRPr="000F7A84">
        <w:rPr>
          <w:i/>
          <w:iCs/>
          <w:lang w:val="en-US"/>
        </w:rPr>
        <w:t>t</w:t>
      </w:r>
      <w:r w:rsidR="000F7A84" w:rsidRPr="000F7A84">
        <w:rPr>
          <w:lang w:val="en-US"/>
        </w:rPr>
        <w:t xml:space="preserve">-tests (two-tailed, α = .05) </w:t>
      </w:r>
      <w:r w:rsidR="00F24BCB">
        <w:rPr>
          <w:lang w:val="en-US"/>
        </w:rPr>
        <w:t xml:space="preserve">was used to tests this, and </w:t>
      </w:r>
      <w:r w:rsidR="000F7A84" w:rsidRPr="000F7A84">
        <w:rPr>
          <w:lang w:val="en-US"/>
        </w:rPr>
        <w:t>showed a significant difference from 2000 DKK in end capital (</w:t>
      </w:r>
      <w:r w:rsidR="000F7A84" w:rsidRPr="000F7A84">
        <w:rPr>
          <w:i/>
          <w:iCs/>
          <w:lang w:val="en-US"/>
        </w:rPr>
        <w:t>M</w:t>
      </w:r>
      <w:r w:rsidR="000F7A84" w:rsidRPr="000F7A84">
        <w:rPr>
          <w:lang w:val="en-US"/>
        </w:rPr>
        <w:t xml:space="preserve"> = 2956.65, </w:t>
      </w:r>
      <w:r w:rsidR="000F7A84" w:rsidRPr="000F7A84">
        <w:rPr>
          <w:i/>
          <w:iCs/>
          <w:lang w:val="en-US"/>
        </w:rPr>
        <w:t>SD</w:t>
      </w:r>
      <w:r w:rsidR="000F7A84" w:rsidRPr="000F7A84">
        <w:rPr>
          <w:lang w:val="en-US"/>
        </w:rPr>
        <w:t xml:space="preserve"> = 1291.11) for session 2, </w:t>
      </w:r>
      <w:r w:rsidR="000F7A84" w:rsidRPr="000F7A84">
        <w:rPr>
          <w:i/>
          <w:iCs/>
          <w:lang w:val="en-US"/>
        </w:rPr>
        <w:t>t</w:t>
      </w:r>
      <w:r w:rsidR="000F7A84" w:rsidRPr="000F7A84">
        <w:rPr>
          <w:lang w:val="en-US"/>
        </w:rPr>
        <w:t xml:space="preserve">(202) = 10.56, </w:t>
      </w:r>
      <w:r w:rsidR="000F7A84" w:rsidRPr="000F7A84">
        <w:rPr>
          <w:i/>
          <w:iCs/>
          <w:lang w:val="en-US"/>
        </w:rPr>
        <w:t>p</w:t>
      </w:r>
      <w:r w:rsidR="000F7A84" w:rsidRPr="000F7A84">
        <w:rPr>
          <w:lang w:val="en-US"/>
        </w:rPr>
        <w:t xml:space="preserve"> &lt; .001, </w:t>
      </w:r>
      <w:r w:rsidR="000F7A84" w:rsidRPr="000F7A84">
        <w:rPr>
          <w:i/>
          <w:iCs/>
          <w:lang w:val="en-US"/>
        </w:rPr>
        <w:t>d</w:t>
      </w:r>
      <w:r w:rsidR="000F7A84" w:rsidRPr="000F7A84">
        <w:rPr>
          <w:lang w:val="en-US"/>
        </w:rPr>
        <w:t xml:space="preserve"> = 0.00, but no significant difference from 2000 DKK in end capital (</w:t>
      </w:r>
      <w:r w:rsidR="000F7A84" w:rsidRPr="000F7A84">
        <w:rPr>
          <w:i/>
          <w:iCs/>
          <w:lang w:val="en-US"/>
        </w:rPr>
        <w:t>M</w:t>
      </w:r>
      <w:r w:rsidR="000F7A84" w:rsidRPr="000F7A84">
        <w:rPr>
          <w:lang w:val="en-US"/>
        </w:rPr>
        <w:t xml:space="preserve"> = 1999.88, </w:t>
      </w:r>
      <w:r w:rsidR="000F7A84" w:rsidRPr="000F7A84">
        <w:rPr>
          <w:i/>
          <w:iCs/>
          <w:lang w:val="en-US"/>
        </w:rPr>
        <w:t>SD</w:t>
      </w:r>
      <w:r w:rsidR="000F7A84" w:rsidRPr="000F7A84">
        <w:rPr>
          <w:lang w:val="en-US"/>
        </w:rPr>
        <w:t xml:space="preserve"> = 866.07) for session 1, </w:t>
      </w:r>
      <w:r w:rsidR="000F7A84" w:rsidRPr="000F7A84">
        <w:rPr>
          <w:i/>
          <w:iCs/>
          <w:lang w:val="en-US"/>
        </w:rPr>
        <w:t>t</w:t>
      </w:r>
      <w:r w:rsidR="000F7A84" w:rsidRPr="000F7A84">
        <w:rPr>
          <w:lang w:val="en-US"/>
        </w:rPr>
        <w:t xml:space="preserve">(202) = -0.002, </w:t>
      </w:r>
      <w:r w:rsidR="000F7A84" w:rsidRPr="000F7A84">
        <w:rPr>
          <w:i/>
          <w:iCs/>
          <w:lang w:val="en-US"/>
        </w:rPr>
        <w:t>p</w:t>
      </w:r>
      <w:r w:rsidR="000F7A84" w:rsidRPr="000F7A84">
        <w:rPr>
          <w:lang w:val="en-US"/>
        </w:rPr>
        <w:t xml:space="preserve"> = .998, </w:t>
      </w:r>
      <w:r w:rsidR="000F7A84" w:rsidRPr="000F7A84">
        <w:rPr>
          <w:i/>
          <w:iCs/>
          <w:lang w:val="en-US"/>
        </w:rPr>
        <w:t>d</w:t>
      </w:r>
      <w:r w:rsidR="000F7A84" w:rsidRPr="000F7A84">
        <w:rPr>
          <w:lang w:val="en-US"/>
        </w:rPr>
        <w:t xml:space="preserve"> = 0.74.</w:t>
      </w:r>
      <w:r w:rsidR="003B7EC8">
        <w:rPr>
          <w:lang w:val="en-US"/>
        </w:rPr>
        <w:t xml:space="preserve"> Which confirms the hypothesis.</w:t>
      </w:r>
    </w:p>
    <w:p w14:paraId="4237D19A" w14:textId="2C8DED97" w:rsidR="00EE2CA9" w:rsidRPr="000F7A84" w:rsidRDefault="00EE2CA9" w:rsidP="00EE2CA9">
      <w:pPr>
        <w:rPr>
          <w:rFonts w:eastAsiaTheme="minorEastAsia"/>
          <w:lang w:val="en-US"/>
        </w:rPr>
      </w:pPr>
    </w:p>
    <w:p w14:paraId="054671D7" w14:textId="0B7F559F" w:rsidR="00241EB2" w:rsidRDefault="00241EB2" w:rsidP="008A552E">
      <w:pPr>
        <w:ind w:firstLine="567"/>
        <w:jc w:val="both"/>
        <w:rPr>
          <w:rFonts w:eastAsiaTheme="minorEastAsia"/>
          <w:lang w:val="en-GB"/>
        </w:rPr>
      </w:pPr>
      <w:r>
        <w:rPr>
          <w:rFonts w:eastAsiaTheme="minorEastAsia"/>
          <w:lang w:val="en-GB"/>
        </w:rPr>
        <w:t xml:space="preserve">Figure 2 and 3 shows an example of </w:t>
      </w:r>
      <w:r w:rsidR="00613C97">
        <w:rPr>
          <w:rFonts w:eastAsiaTheme="minorEastAsia"/>
          <w:lang w:val="en-GB"/>
        </w:rPr>
        <w:t>how</w:t>
      </w:r>
      <w:r w:rsidR="002450F8">
        <w:rPr>
          <w:rFonts w:eastAsiaTheme="minorEastAsia"/>
          <w:lang w:val="en-GB"/>
        </w:rPr>
        <w:t xml:space="preserve"> learning can be seen between</w:t>
      </w:r>
      <w:r w:rsidR="00613C97">
        <w:rPr>
          <w:rFonts w:eastAsiaTheme="minorEastAsia"/>
          <w:lang w:val="en-GB"/>
        </w:rPr>
        <w:t xml:space="preserve"> session</w:t>
      </w:r>
      <w:r w:rsidR="002450F8">
        <w:rPr>
          <w:rFonts w:eastAsiaTheme="minorEastAsia"/>
          <w:lang w:val="en-GB"/>
        </w:rPr>
        <w:t>s</w:t>
      </w:r>
      <w:r w:rsidR="00613C97">
        <w:rPr>
          <w:rFonts w:eastAsiaTheme="minorEastAsia"/>
          <w:lang w:val="en-GB"/>
        </w:rPr>
        <w:t>. In figure 2</w:t>
      </w:r>
      <w:r w:rsidR="007C646C">
        <w:rPr>
          <w:rFonts w:eastAsiaTheme="minorEastAsia"/>
          <w:lang w:val="en-GB"/>
        </w:rPr>
        <w:t xml:space="preserve"> we see an equal </w:t>
      </w:r>
      <w:r w:rsidR="002047DD">
        <w:rPr>
          <w:rFonts w:eastAsiaTheme="minorEastAsia"/>
          <w:lang w:val="en-GB"/>
        </w:rPr>
        <w:t xml:space="preserve">amount of draws from each deck until draw number 38. Following a great punishment, we see that this P instantly </w:t>
      </w:r>
      <w:r w:rsidR="005E1AFF">
        <w:rPr>
          <w:rFonts w:eastAsiaTheme="minorEastAsia"/>
          <w:lang w:val="en-GB"/>
        </w:rPr>
        <w:t xml:space="preserve">changes strategy </w:t>
      </w:r>
      <w:r w:rsidR="00376AAC">
        <w:rPr>
          <w:rFonts w:eastAsiaTheme="minorEastAsia"/>
          <w:lang w:val="en-GB"/>
        </w:rPr>
        <w:t>and</w:t>
      </w:r>
      <w:r w:rsidR="005E1AFF">
        <w:rPr>
          <w:rFonts w:eastAsiaTheme="minorEastAsia"/>
          <w:lang w:val="en-GB"/>
        </w:rPr>
        <w:t xml:space="preserve"> focusing only on the safe decks.</w:t>
      </w:r>
    </w:p>
    <w:p w14:paraId="774F3918" w14:textId="2FB60612" w:rsidR="0078400F" w:rsidRDefault="0078400F" w:rsidP="0078400F">
      <w:pPr>
        <w:rPr>
          <w:lang w:val="en-US"/>
        </w:rPr>
      </w:pPr>
    </w:p>
    <w:p w14:paraId="68FA1815" w14:textId="77777777" w:rsidR="005561F7" w:rsidRDefault="005561F7" w:rsidP="005561F7">
      <w:pPr>
        <w:pStyle w:val="Listeafsnit"/>
        <w:keepNext/>
        <w:jc w:val="center"/>
      </w:pPr>
      <w:r>
        <w:rPr>
          <w:noProof/>
        </w:rPr>
        <w:drawing>
          <wp:inline distT="0" distB="0" distL="0" distR="0" wp14:anchorId="0457CE46" wp14:editId="468991BA">
            <wp:extent cx="5760000" cy="3060000"/>
            <wp:effectExtent l="0" t="0" r="12700" b="7620"/>
            <wp:docPr id="3" name="Diagram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41EF95" w14:textId="27E9A18D" w:rsidR="005561F7" w:rsidRDefault="005561F7" w:rsidP="005561F7">
      <w:pPr>
        <w:pStyle w:val="Billedtekst"/>
        <w:jc w:val="center"/>
        <w:rPr>
          <w:lang w:val="en-GB"/>
        </w:rPr>
      </w:pPr>
      <w:r w:rsidRPr="005561F7">
        <w:rPr>
          <w:lang w:val="en-GB"/>
        </w:rPr>
        <w:t xml:space="preserve">Figure </w:t>
      </w:r>
      <w:r w:rsidRPr="005561F7">
        <w:rPr>
          <w:lang w:val="en-GB"/>
        </w:rPr>
        <w:fldChar w:fldCharType="begin"/>
      </w:r>
      <w:r w:rsidRPr="005561F7">
        <w:rPr>
          <w:lang w:val="en-GB"/>
        </w:rPr>
        <w:instrText xml:space="preserve"> SEQ Figure \* ARABIC </w:instrText>
      </w:r>
      <w:r w:rsidRPr="005561F7">
        <w:rPr>
          <w:lang w:val="en-GB"/>
        </w:rPr>
        <w:fldChar w:fldCharType="separate"/>
      </w:r>
      <w:r>
        <w:rPr>
          <w:noProof/>
          <w:lang w:val="en-GB"/>
        </w:rPr>
        <w:t>2</w:t>
      </w:r>
      <w:r w:rsidRPr="005561F7">
        <w:rPr>
          <w:lang w:val="en-GB"/>
        </w:rPr>
        <w:fldChar w:fldCharType="end"/>
      </w:r>
      <w:r w:rsidRPr="005561F7">
        <w:rPr>
          <w:lang w:val="en-GB"/>
        </w:rPr>
        <w:t>: Graph showing capital size and choice of deck, as a function of number of draws in session 1 for FP19203</w:t>
      </w:r>
      <w:r>
        <w:rPr>
          <w:lang w:val="en-GB"/>
        </w:rPr>
        <w:t>.</w:t>
      </w:r>
    </w:p>
    <w:p w14:paraId="48E75FA3" w14:textId="5AFFD360" w:rsidR="005E1AFF" w:rsidRPr="005E1AFF" w:rsidRDefault="00447061" w:rsidP="008A552E">
      <w:pPr>
        <w:ind w:firstLine="567"/>
        <w:jc w:val="both"/>
        <w:rPr>
          <w:lang w:val="en-GB"/>
        </w:rPr>
      </w:pPr>
      <w:r>
        <w:rPr>
          <w:lang w:val="en-GB"/>
        </w:rPr>
        <w:t xml:space="preserve">Figure 3 shows how this is transferred into session 2. Here </w:t>
      </w:r>
      <w:r w:rsidR="00022878">
        <w:rPr>
          <w:lang w:val="en-GB"/>
        </w:rPr>
        <w:t>FP19203 focuses on the two high reward decks, until the first punishment oc</w:t>
      </w:r>
      <w:r w:rsidR="000831FE">
        <w:rPr>
          <w:lang w:val="en-GB"/>
        </w:rPr>
        <w:t xml:space="preserve">curs, hereafter practically only deck C is chosen. </w:t>
      </w:r>
      <w:r w:rsidR="008543E3">
        <w:rPr>
          <w:lang w:val="en-GB"/>
        </w:rPr>
        <w:t>T</w:t>
      </w:r>
      <w:r w:rsidR="007B7C75">
        <w:rPr>
          <w:lang w:val="en-GB"/>
        </w:rPr>
        <w:t>his yields a greater outcome.</w:t>
      </w:r>
    </w:p>
    <w:p w14:paraId="493B1583" w14:textId="77777777" w:rsidR="005561F7" w:rsidRDefault="005561F7" w:rsidP="005561F7">
      <w:pPr>
        <w:pStyle w:val="Listeafsnit"/>
        <w:keepNext/>
      </w:pPr>
      <w:r>
        <w:rPr>
          <w:noProof/>
        </w:rPr>
        <w:lastRenderedPageBreak/>
        <w:drawing>
          <wp:inline distT="0" distB="0" distL="0" distR="0" wp14:anchorId="7E453E8F" wp14:editId="058A8B6D">
            <wp:extent cx="5760000" cy="3060000"/>
            <wp:effectExtent l="0" t="0" r="12700" b="7620"/>
            <wp:docPr id="5" name="Diagram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DA206F" w14:textId="3D5CEAE8" w:rsidR="005561F7" w:rsidRPr="005561F7" w:rsidRDefault="005561F7" w:rsidP="005561F7">
      <w:pPr>
        <w:pStyle w:val="Billedtekst"/>
        <w:jc w:val="center"/>
        <w:rPr>
          <w:lang w:val="en-GB"/>
        </w:rPr>
      </w:pPr>
      <w:r w:rsidRPr="005561F7">
        <w:rPr>
          <w:lang w:val="en-GB"/>
        </w:rPr>
        <w:t xml:space="preserve">Figure </w:t>
      </w:r>
      <w:r w:rsidRPr="005561F7">
        <w:rPr>
          <w:lang w:val="en-GB"/>
        </w:rPr>
        <w:fldChar w:fldCharType="begin"/>
      </w:r>
      <w:r w:rsidRPr="005561F7">
        <w:rPr>
          <w:lang w:val="en-GB"/>
        </w:rPr>
        <w:instrText xml:space="preserve"> SEQ Figure \* ARABIC </w:instrText>
      </w:r>
      <w:r w:rsidRPr="005561F7">
        <w:rPr>
          <w:lang w:val="en-GB"/>
        </w:rPr>
        <w:fldChar w:fldCharType="separate"/>
      </w:r>
      <w:r w:rsidRPr="005561F7">
        <w:rPr>
          <w:noProof/>
          <w:lang w:val="en-GB"/>
        </w:rPr>
        <w:t>3</w:t>
      </w:r>
      <w:r w:rsidRPr="005561F7">
        <w:rPr>
          <w:lang w:val="en-GB"/>
        </w:rPr>
        <w:fldChar w:fldCharType="end"/>
      </w:r>
      <w:r w:rsidRPr="005561F7">
        <w:rPr>
          <w:lang w:val="en-GB"/>
        </w:rPr>
        <w:t>: Graph showing capital size and choice of deck, as a function of number of draws in session 2 for FP19203.</w:t>
      </w:r>
    </w:p>
    <w:p w14:paraId="0FC11CD2" w14:textId="1C9E912E" w:rsidR="00BC2A97" w:rsidRDefault="00481022" w:rsidP="008A552E">
      <w:pPr>
        <w:ind w:firstLine="567"/>
        <w:jc w:val="both"/>
        <w:rPr>
          <w:lang w:val="en-US"/>
        </w:rPr>
      </w:pPr>
      <w:r>
        <w:rPr>
          <w:lang w:val="en-US"/>
        </w:rPr>
        <w:t xml:space="preserve">As exampled by FP19203, some P </w:t>
      </w:r>
      <w:r w:rsidR="00A5587B">
        <w:rPr>
          <w:lang w:val="en-US"/>
        </w:rPr>
        <w:t xml:space="preserve">seem to have </w:t>
      </w:r>
      <w:r w:rsidR="008F440F">
        <w:rPr>
          <w:lang w:val="en-US"/>
        </w:rPr>
        <w:t xml:space="preserve">figured out the reward/punishment ratios rather early, and therefore </w:t>
      </w:r>
      <w:r w:rsidR="00D306BD">
        <w:rPr>
          <w:lang w:val="en-US"/>
        </w:rPr>
        <w:t xml:space="preserve">end up having a </w:t>
      </w:r>
      <w:r w:rsidR="007E4CE4">
        <w:rPr>
          <w:lang w:val="en-US"/>
        </w:rPr>
        <w:t xml:space="preserve">higher final score as well. If this is the result of learning, we expect the </w:t>
      </w:r>
      <w:r w:rsidR="004E6378">
        <w:rPr>
          <w:lang w:val="en-US"/>
        </w:rPr>
        <w:t xml:space="preserve">same P to have a higher score in session 2 as well. In order to test this, a </w:t>
      </w:r>
      <w:r w:rsidR="00BC2A97">
        <w:rPr>
          <w:lang w:val="en-US"/>
        </w:rPr>
        <w:t xml:space="preserve">two-tailed </w:t>
      </w:r>
      <w:r w:rsidR="00BC2A97" w:rsidRPr="00E33FE3">
        <w:rPr>
          <w:lang w:val="en-US"/>
        </w:rPr>
        <w:t>Pearson’s correlation</w:t>
      </w:r>
      <w:r w:rsidR="0017222E">
        <w:rPr>
          <w:lang w:val="en-US"/>
        </w:rPr>
        <w:t xml:space="preserve"> was used. This</w:t>
      </w:r>
      <w:r w:rsidR="00BC2A97" w:rsidRPr="00E33FE3">
        <w:rPr>
          <w:lang w:val="en-US"/>
        </w:rPr>
        <w:t xml:space="preserve"> showed a significant</w:t>
      </w:r>
      <w:r w:rsidR="00BC2A97">
        <w:rPr>
          <w:lang w:val="en-US"/>
        </w:rPr>
        <w:t xml:space="preserve"> positive</w:t>
      </w:r>
      <w:r w:rsidR="00BC2A97" w:rsidRPr="00E33FE3">
        <w:rPr>
          <w:lang w:val="en-US"/>
        </w:rPr>
        <w:t xml:space="preserve"> </w:t>
      </w:r>
      <w:r w:rsidR="00BC2A97">
        <w:rPr>
          <w:lang w:val="en-US"/>
        </w:rPr>
        <w:t xml:space="preserve">correlation between end capital for session 1 and end capital for session 2, </w:t>
      </w:r>
      <w:r w:rsidR="00BC2A97">
        <w:rPr>
          <w:i/>
          <w:iCs/>
          <w:lang w:val="en-US"/>
        </w:rPr>
        <w:t>r</w:t>
      </w:r>
      <w:r w:rsidR="00BC2A97">
        <w:rPr>
          <w:lang w:val="en-US"/>
        </w:rPr>
        <w:t xml:space="preserve">(201) = .23, </w:t>
      </w:r>
      <w:r w:rsidR="00BC2A97">
        <w:rPr>
          <w:i/>
          <w:iCs/>
          <w:lang w:val="en-US"/>
        </w:rPr>
        <w:t>p</w:t>
      </w:r>
      <w:r w:rsidR="00BC2A97">
        <w:rPr>
          <w:lang w:val="en-US"/>
        </w:rPr>
        <w:t xml:space="preserve"> &lt; .001.</w:t>
      </w:r>
      <w:r w:rsidR="0017222E">
        <w:rPr>
          <w:lang w:val="en-US"/>
        </w:rPr>
        <w:t xml:space="preserve"> Which means that P doing well in session 1, does equally </w:t>
      </w:r>
      <w:r w:rsidR="006E3571">
        <w:rPr>
          <w:lang w:val="en-US"/>
        </w:rPr>
        <w:t xml:space="preserve">well in session 2. This supports the hypothesis. </w:t>
      </w:r>
    </w:p>
    <w:p w14:paraId="213BDE9C" w14:textId="10D7C816" w:rsidR="00AA09C7" w:rsidRDefault="00AA09C7" w:rsidP="0017222E">
      <w:pPr>
        <w:rPr>
          <w:lang w:val="en-US"/>
        </w:rPr>
      </w:pPr>
    </w:p>
    <w:p w14:paraId="4123BD6C" w14:textId="051192A6" w:rsidR="00AA09C7" w:rsidRDefault="00AA09C7" w:rsidP="00AA09C7">
      <w:pPr>
        <w:pStyle w:val="Overskrift2"/>
        <w:rPr>
          <w:lang w:val="en-US"/>
        </w:rPr>
      </w:pPr>
      <w:bookmarkStart w:id="7" w:name="_Toc26292353"/>
      <w:r>
        <w:rPr>
          <w:lang w:val="en-US"/>
        </w:rPr>
        <w:t>Age doesn’t bring caution</w:t>
      </w:r>
      <w:bookmarkEnd w:id="7"/>
    </w:p>
    <w:p w14:paraId="76162A1F" w14:textId="4B8C85B0" w:rsidR="00CD77ED" w:rsidRDefault="00AA09C7" w:rsidP="008A552E">
      <w:pPr>
        <w:jc w:val="both"/>
        <w:rPr>
          <w:lang w:val="en-US"/>
        </w:rPr>
      </w:pPr>
      <w:r>
        <w:rPr>
          <w:lang w:val="en-US"/>
        </w:rPr>
        <w:t>To test w</w:t>
      </w:r>
      <w:r w:rsidR="0019641F">
        <w:rPr>
          <w:lang w:val="en-US"/>
        </w:rPr>
        <w:t>h</w:t>
      </w:r>
      <w:r>
        <w:rPr>
          <w:lang w:val="en-US"/>
        </w:rPr>
        <w:t xml:space="preserve">ether </w:t>
      </w:r>
      <w:r w:rsidR="00937ADE">
        <w:rPr>
          <w:lang w:val="en-US"/>
        </w:rPr>
        <w:t xml:space="preserve">younger P were more prone to risk-taking </w:t>
      </w:r>
      <w:r w:rsidR="00952627">
        <w:rPr>
          <w:lang w:val="en-US"/>
        </w:rPr>
        <w:t xml:space="preserve">a </w:t>
      </w:r>
      <w:r w:rsidR="00C66D5D">
        <w:rPr>
          <w:lang w:val="en-US"/>
        </w:rPr>
        <w:t xml:space="preserve">two-tailed </w:t>
      </w:r>
      <w:r w:rsidR="00C66D5D" w:rsidRPr="00E33FE3">
        <w:rPr>
          <w:lang w:val="en-US"/>
        </w:rPr>
        <w:t xml:space="preserve">Pearson’s correlation </w:t>
      </w:r>
      <w:r w:rsidR="00952627">
        <w:rPr>
          <w:lang w:val="en-US"/>
        </w:rPr>
        <w:t xml:space="preserve">was used. This </w:t>
      </w:r>
      <w:r w:rsidR="00C66D5D" w:rsidRPr="00E33FE3">
        <w:rPr>
          <w:lang w:val="en-US"/>
        </w:rPr>
        <w:t xml:space="preserve">showed </w:t>
      </w:r>
      <w:r w:rsidR="00C66D5D">
        <w:rPr>
          <w:lang w:val="en-US"/>
        </w:rPr>
        <w:t>no</w:t>
      </w:r>
      <w:r w:rsidR="00C66D5D" w:rsidRPr="00E33FE3">
        <w:rPr>
          <w:lang w:val="en-US"/>
        </w:rPr>
        <w:t xml:space="preserve"> significant</w:t>
      </w:r>
      <w:r w:rsidR="00C66D5D">
        <w:rPr>
          <w:lang w:val="en-US"/>
        </w:rPr>
        <w:t xml:space="preserve"> correlation between age and end capital for session 2, </w:t>
      </w:r>
      <w:r w:rsidR="00C66D5D">
        <w:rPr>
          <w:i/>
          <w:iCs/>
          <w:lang w:val="en-US"/>
        </w:rPr>
        <w:t>r</w:t>
      </w:r>
      <w:r w:rsidR="00C66D5D">
        <w:rPr>
          <w:lang w:val="en-US"/>
        </w:rPr>
        <w:t xml:space="preserve">(201) = .04, </w:t>
      </w:r>
      <w:r w:rsidR="00C66D5D">
        <w:rPr>
          <w:i/>
          <w:iCs/>
          <w:lang w:val="en-US"/>
        </w:rPr>
        <w:t>p</w:t>
      </w:r>
      <w:r w:rsidR="00C66D5D">
        <w:rPr>
          <w:lang w:val="en-US"/>
        </w:rPr>
        <w:t xml:space="preserve"> = .</w:t>
      </w:r>
      <w:bookmarkStart w:id="8" w:name="_GoBack"/>
      <w:r w:rsidR="00C66D5D">
        <w:rPr>
          <w:lang w:val="en-US"/>
        </w:rPr>
        <w:t>60.</w:t>
      </w:r>
      <w:bookmarkEnd w:id="8"/>
      <w:r w:rsidR="006F423C">
        <w:rPr>
          <w:lang w:val="en-US"/>
        </w:rPr>
        <w:t xml:space="preserve"> Age didn’t correlate with </w:t>
      </w:r>
      <w:r w:rsidR="00727C67">
        <w:rPr>
          <w:lang w:val="en-US"/>
        </w:rPr>
        <w:t>capital, which doesn’t support the hypothesis.</w:t>
      </w:r>
      <w:r w:rsidR="006F423C">
        <w:rPr>
          <w:lang w:val="en-US"/>
        </w:rPr>
        <w:t xml:space="preserve"> </w:t>
      </w:r>
    </w:p>
    <w:p w14:paraId="5316BAE1" w14:textId="3D63749A" w:rsidR="00033298" w:rsidRDefault="00033298" w:rsidP="0078400F">
      <w:pPr>
        <w:rPr>
          <w:lang w:val="en-US"/>
        </w:rPr>
      </w:pPr>
    </w:p>
    <w:p w14:paraId="71E81079" w14:textId="6539D938" w:rsidR="00734925" w:rsidRPr="009A6A11" w:rsidRDefault="00734925" w:rsidP="00734925">
      <w:pPr>
        <w:pStyle w:val="Overskrift1"/>
        <w:rPr>
          <w:lang w:val="en-GB"/>
        </w:rPr>
      </w:pPr>
      <w:bookmarkStart w:id="9" w:name="_Toc26292354"/>
      <w:r w:rsidRPr="009A6A11">
        <w:rPr>
          <w:lang w:val="en-GB"/>
        </w:rPr>
        <w:t>Conclusion</w:t>
      </w:r>
      <w:bookmarkEnd w:id="9"/>
    </w:p>
    <w:p w14:paraId="1F694DDD" w14:textId="3E0DE8F5" w:rsidR="000E6BF8" w:rsidRPr="009A6A11" w:rsidRDefault="00F84E44" w:rsidP="008A552E">
      <w:pPr>
        <w:jc w:val="both"/>
        <w:rPr>
          <w:lang w:val="en-GB"/>
        </w:rPr>
      </w:pPr>
      <w:r>
        <w:rPr>
          <w:lang w:val="en-GB"/>
        </w:rPr>
        <w:t xml:space="preserve">This experiment showed that </w:t>
      </w:r>
      <w:r w:rsidR="006E7822">
        <w:rPr>
          <w:lang w:val="en-GB"/>
        </w:rPr>
        <w:t xml:space="preserve">intuitive </w:t>
      </w:r>
      <w:r>
        <w:rPr>
          <w:lang w:val="en-GB"/>
        </w:rPr>
        <w:t xml:space="preserve">learning </w:t>
      </w:r>
      <w:r w:rsidR="006E7822">
        <w:rPr>
          <w:lang w:val="en-GB"/>
        </w:rPr>
        <w:t>did occur between session 1 and 2</w:t>
      </w:r>
      <w:r w:rsidR="00876E2A">
        <w:rPr>
          <w:lang w:val="en-GB"/>
        </w:rPr>
        <w:t xml:space="preserve">, and that P who did well in </w:t>
      </w:r>
      <w:r w:rsidR="007405A3">
        <w:rPr>
          <w:lang w:val="en-GB"/>
        </w:rPr>
        <w:t>session 1 didn’t do so by chance, since they also did well in session 2</w:t>
      </w:r>
      <w:r w:rsidR="00BB0E06">
        <w:rPr>
          <w:lang w:val="en-GB"/>
        </w:rPr>
        <w:t>. Lastly our experiment didn’t support the hypothesis that with age comes caution.</w:t>
      </w:r>
    </w:p>
    <w:p w14:paraId="6E841B01" w14:textId="4C23D6BC" w:rsidR="009A6A11" w:rsidRPr="009A6A11" w:rsidRDefault="009A6A11" w:rsidP="009A6A11">
      <w:pPr>
        <w:pStyle w:val="Overskrift1"/>
        <w:rPr>
          <w:lang w:val="en-GB"/>
        </w:rPr>
      </w:pPr>
      <w:bookmarkStart w:id="10" w:name="_Toc26292355"/>
      <w:r w:rsidRPr="009A6A11">
        <w:rPr>
          <w:lang w:val="en-GB"/>
        </w:rPr>
        <w:lastRenderedPageBreak/>
        <w:t>References</w:t>
      </w:r>
      <w:bookmarkEnd w:id="10"/>
    </w:p>
    <w:p w14:paraId="23FEC466" w14:textId="01A17700" w:rsidR="0006455C" w:rsidRPr="00F66516" w:rsidRDefault="0006455C" w:rsidP="0006455C">
      <w:pPr>
        <w:widowControl w:val="0"/>
        <w:autoSpaceDE w:val="0"/>
        <w:autoSpaceDN w:val="0"/>
        <w:adjustRightInd w:val="0"/>
        <w:ind w:left="480" w:hanging="480"/>
        <w:rPr>
          <w:noProof/>
          <w:lang w:val="en-US"/>
        </w:rPr>
      </w:pPr>
      <w:r>
        <w:rPr>
          <w:lang w:val="en-GB"/>
        </w:rPr>
        <w:fldChar w:fldCharType="begin" w:fldLock="1"/>
      </w:r>
      <w:r>
        <w:rPr>
          <w:lang w:val="en-GB"/>
        </w:rPr>
        <w:instrText xml:space="preserve">ADDIN Mendeley Bibliography CSL_BIBLIOGRAPHY </w:instrText>
      </w:r>
      <w:r>
        <w:rPr>
          <w:lang w:val="en-GB"/>
        </w:rPr>
        <w:fldChar w:fldCharType="separate"/>
      </w:r>
      <w:r w:rsidRPr="00F66516">
        <w:rPr>
          <w:noProof/>
          <w:lang w:val="en-US"/>
        </w:rPr>
        <w:t xml:space="preserve">Bechara, A., Damasio, A. R., Damasio, H., &amp; Anderson, S. W. (1994). Insensitivity to future consequences following damage to human prefrontal cortex. </w:t>
      </w:r>
      <w:r w:rsidRPr="00F66516">
        <w:rPr>
          <w:i/>
          <w:iCs/>
          <w:noProof/>
          <w:lang w:val="en-US"/>
        </w:rPr>
        <w:t>Cognition</w:t>
      </w:r>
      <w:r w:rsidRPr="00F66516">
        <w:rPr>
          <w:noProof/>
          <w:lang w:val="en-US"/>
        </w:rPr>
        <w:t xml:space="preserve">, </w:t>
      </w:r>
      <w:r w:rsidRPr="00F66516">
        <w:rPr>
          <w:i/>
          <w:iCs/>
          <w:noProof/>
          <w:lang w:val="en-US"/>
        </w:rPr>
        <w:t>50</w:t>
      </w:r>
      <w:r w:rsidRPr="00F66516">
        <w:rPr>
          <w:noProof/>
          <w:lang w:val="en-US"/>
        </w:rPr>
        <w:t>, 7–15.</w:t>
      </w:r>
    </w:p>
    <w:p w14:paraId="7FC13878" w14:textId="77777777" w:rsidR="0006455C" w:rsidRPr="00F66516" w:rsidRDefault="0006455C" w:rsidP="0006455C">
      <w:pPr>
        <w:widowControl w:val="0"/>
        <w:autoSpaceDE w:val="0"/>
        <w:autoSpaceDN w:val="0"/>
        <w:adjustRightInd w:val="0"/>
        <w:ind w:left="480" w:hanging="480"/>
        <w:rPr>
          <w:noProof/>
          <w:lang w:val="en-US"/>
        </w:rPr>
      </w:pPr>
      <w:r w:rsidRPr="00F66516">
        <w:rPr>
          <w:noProof/>
          <w:lang w:val="en-US"/>
        </w:rPr>
        <w:t xml:space="preserve">Purves, D., Cabeza, R., Huettel, S. A., LaBar, K. S., Platt, M. L., &amp; Woldorff, M. G. (2013). </w:t>
      </w:r>
      <w:r w:rsidRPr="00F66516">
        <w:rPr>
          <w:i/>
          <w:iCs/>
          <w:noProof/>
          <w:lang w:val="en-US"/>
        </w:rPr>
        <w:t>Principles of Cognitive Neuroscience</w:t>
      </w:r>
      <w:r w:rsidRPr="00F66516">
        <w:rPr>
          <w:noProof/>
          <w:lang w:val="en-US"/>
        </w:rPr>
        <w:t xml:space="preserve"> (2nd ed.). Sunderland, Massachusetts: Sinauer Associates, Inc., Publishers.</w:t>
      </w:r>
    </w:p>
    <w:p w14:paraId="3D60FCCC" w14:textId="4BF7E811" w:rsidR="003A71B6" w:rsidRDefault="0006455C" w:rsidP="009A6A11">
      <w:pPr>
        <w:rPr>
          <w:lang w:val="en-GB"/>
        </w:rPr>
      </w:pPr>
      <w:r>
        <w:rPr>
          <w:lang w:val="en-GB"/>
        </w:rPr>
        <w:fldChar w:fldCharType="end"/>
      </w:r>
    </w:p>
    <w:p w14:paraId="3B21F5EA" w14:textId="77777777" w:rsidR="003A71B6" w:rsidRPr="003A71B6" w:rsidRDefault="003A71B6" w:rsidP="009A6A11">
      <w:pPr>
        <w:rPr>
          <w:lang w:val="en-US"/>
        </w:rPr>
      </w:pPr>
    </w:p>
    <w:sectPr w:rsidR="003A71B6" w:rsidRPr="003A71B6" w:rsidSect="00FC39BF">
      <w:headerReference w:type="default" r:id="rId14"/>
      <w:footerReference w:type="even" r:id="rId15"/>
      <w:footerReference w:type="default" r:id="rId16"/>
      <w:headerReference w:type="first" r:id="rId17"/>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B6BC" w14:textId="77777777" w:rsidR="006A5C94" w:rsidRDefault="006A5C94" w:rsidP="001078C3">
      <w:pPr>
        <w:spacing w:line="240" w:lineRule="auto"/>
      </w:pPr>
      <w:r>
        <w:separator/>
      </w:r>
    </w:p>
  </w:endnote>
  <w:endnote w:type="continuationSeparator" w:id="0">
    <w:p w14:paraId="4B2CDAD1" w14:textId="77777777" w:rsidR="006A5C94" w:rsidRDefault="006A5C94" w:rsidP="001078C3">
      <w:pPr>
        <w:spacing w:line="240" w:lineRule="auto"/>
      </w:pPr>
      <w:r>
        <w:continuationSeparator/>
      </w:r>
    </w:p>
  </w:endnote>
  <w:endnote w:type="continuationNotice" w:id="1">
    <w:p w14:paraId="51FA774A" w14:textId="77777777" w:rsidR="006A5C94" w:rsidRDefault="006A5C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6A5C94" w:rsidP="00FC39BF">
    <w:pPr>
      <w:pStyle w:val="Sidefod"/>
      <w:ind w:right="360"/>
    </w:pPr>
  </w:p>
  <w:p w14:paraId="3CF47B86" w14:textId="77777777" w:rsidR="00E24AA6" w:rsidRDefault="006A5C9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77777777" w:rsidR="00FC39BF" w:rsidRDefault="00DB6DDB" w:rsidP="00E25657">
    <w:pPr>
      <w:pStyle w:val="Sidefod"/>
      <w:ind w:right="360"/>
      <w:jc w:val="right"/>
    </w:pPr>
    <w:r>
      <w:fldChar w:fldCharType="begin"/>
    </w:r>
    <w:r>
      <w:instrText xml:space="preserve"> PAGE  </w:instrText>
    </w:r>
    <w:r>
      <w:fldChar w:fldCharType="separate"/>
    </w:r>
    <w:r>
      <w:rPr>
        <w:noProof/>
      </w:rPr>
      <w:t>2</w:t>
    </w:r>
    <w:r>
      <w:fldChar w:fldCharType="end"/>
    </w:r>
  </w:p>
  <w:p w14:paraId="02D07F0B" w14:textId="77777777" w:rsidR="00E24AA6" w:rsidRDefault="006A5C9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EB6EF" w14:textId="77777777" w:rsidR="006A5C94" w:rsidRDefault="006A5C94" w:rsidP="001078C3">
      <w:pPr>
        <w:spacing w:line="240" w:lineRule="auto"/>
      </w:pPr>
      <w:r>
        <w:separator/>
      </w:r>
    </w:p>
  </w:footnote>
  <w:footnote w:type="continuationSeparator" w:id="0">
    <w:p w14:paraId="42FFD55F" w14:textId="77777777" w:rsidR="006A5C94" w:rsidRDefault="006A5C94" w:rsidP="001078C3">
      <w:pPr>
        <w:spacing w:line="240" w:lineRule="auto"/>
      </w:pPr>
      <w:r>
        <w:continuationSeparator/>
      </w:r>
    </w:p>
  </w:footnote>
  <w:footnote w:type="continuationNotice" w:id="1">
    <w:p w14:paraId="5D0A23C0" w14:textId="77777777" w:rsidR="006A5C94" w:rsidRDefault="006A5C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3FDFB" w14:textId="026EFC3D" w:rsidR="00A75907" w:rsidRPr="005F00BE" w:rsidRDefault="00A75907" w:rsidP="00A75907">
    <w:pPr>
      <w:pStyle w:val="Sidehoved"/>
      <w:spacing w:line="360" w:lineRule="auto"/>
      <w:rPr>
        <w:sz w:val="20"/>
        <w:szCs w:val="20"/>
        <w:lang w:val="en-US"/>
      </w:rPr>
    </w:pPr>
    <w:r w:rsidRPr="005F00BE">
      <w:rPr>
        <w:sz w:val="20"/>
        <w:szCs w:val="20"/>
        <w:lang w:val="en-US"/>
      </w:rPr>
      <w:t>Sebastian Beck</w:t>
    </w:r>
    <w:r w:rsidR="000045D8">
      <w:rPr>
        <w:sz w:val="20"/>
        <w:szCs w:val="20"/>
        <w:lang w:val="en-US"/>
      </w:rPr>
      <w:t xml:space="preserve"> (PJG511)</w:t>
    </w:r>
    <w:r w:rsidRPr="005F00BE">
      <w:rPr>
        <w:sz w:val="20"/>
        <w:szCs w:val="20"/>
        <w:lang w:val="en-US"/>
      </w:rPr>
      <w:tab/>
    </w:r>
    <w:r>
      <w:rPr>
        <w:sz w:val="20"/>
        <w:szCs w:val="20"/>
        <w:lang w:val="en-US"/>
      </w:rPr>
      <w:t>IOWA</w:t>
    </w:r>
    <w:r w:rsidRPr="005F00BE">
      <w:rPr>
        <w:sz w:val="20"/>
        <w:szCs w:val="20"/>
        <w:lang w:val="en-US"/>
      </w:rPr>
      <w:tab/>
      <w:t>4/12-2019</w:t>
    </w:r>
  </w:p>
  <w:p w14:paraId="4FA382B7" w14:textId="5E57AE74" w:rsidR="00A75907" w:rsidRPr="005F00BE" w:rsidRDefault="00A75907" w:rsidP="00A75907">
    <w:pPr>
      <w:pStyle w:val="Sidehoved"/>
      <w:spacing w:line="360" w:lineRule="auto"/>
      <w:rPr>
        <w:sz w:val="20"/>
        <w:szCs w:val="20"/>
        <w:lang w:val="en-US"/>
      </w:rPr>
    </w:pPr>
    <w:r w:rsidRPr="005F00BE">
      <w:rPr>
        <w:sz w:val="20"/>
        <w:szCs w:val="20"/>
        <w:lang w:val="en-US"/>
      </w:rPr>
      <w:t xml:space="preserve">BA </w:t>
    </w:r>
    <w:proofErr w:type="spellStart"/>
    <w:r w:rsidRPr="005F00BE">
      <w:rPr>
        <w:sz w:val="20"/>
        <w:szCs w:val="20"/>
        <w:lang w:val="en-US"/>
      </w:rPr>
      <w:t>Kognitionspsykologi</w:t>
    </w:r>
    <w:proofErr w:type="spellEnd"/>
    <w:r w:rsidRPr="005F00BE">
      <w:rPr>
        <w:sz w:val="20"/>
        <w:szCs w:val="20"/>
        <w:lang w:val="en-US"/>
      </w:rPr>
      <w:tab/>
    </w:r>
    <w:r w:rsidRPr="005F00BE">
      <w:rPr>
        <w:sz w:val="20"/>
        <w:szCs w:val="20"/>
        <w:lang w:val="en-US"/>
      </w:rPr>
      <w:tab/>
      <w:t xml:space="preserve">Characters: </w:t>
    </w:r>
    <w:r w:rsidR="008A552E">
      <w:rPr>
        <w:sz w:val="20"/>
        <w:szCs w:val="20"/>
        <w:lang w:val="en-US"/>
      </w:rPr>
      <w:t>7.200</w:t>
    </w:r>
  </w:p>
  <w:p w14:paraId="33029F35" w14:textId="77777777" w:rsidR="00E25657" w:rsidRPr="00A75907" w:rsidRDefault="006A5C94">
    <w:pPr>
      <w:pStyle w:val="Sidehoved"/>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E9E7" w14:textId="77777777" w:rsidR="005075A8" w:rsidRDefault="006A5C94" w:rsidP="001078C3">
    <w:pPr>
      <w:pStyle w:val="Sidehoved"/>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14:paraId="62F2EEE8" w14:textId="77777777" w:rsidTr="00080270">
      <w:trPr>
        <w:trHeight w:val="748"/>
      </w:trPr>
      <w:tc>
        <w:tcPr>
          <w:tcW w:w="7864" w:type="dxa"/>
          <w:shd w:val="clear" w:color="auto" w:fill="auto"/>
        </w:tcPr>
        <w:p w14:paraId="46EE3183" w14:textId="77777777" w:rsidR="005075A8" w:rsidRPr="008173D7" w:rsidRDefault="00DB6DDB" w:rsidP="005B0D50">
          <w:pPr>
            <w:pStyle w:val="Template-Hoved1"/>
            <w:rPr>
              <w:lang w:val="da-DK"/>
            </w:rPr>
          </w:pPr>
          <w:bookmarkStart w:id="11" w:name="SD_OFF_Line1"/>
          <w:r w:rsidRPr="008173D7">
            <w:rPr>
              <w:lang w:val="da-DK"/>
            </w:rPr>
            <w:t>KØBENHAVNS UNIVERSITET</w:t>
          </w:r>
          <w:bookmarkEnd w:id="11"/>
        </w:p>
        <w:p w14:paraId="3AEE4C53" w14:textId="77777777" w:rsidR="005075A8" w:rsidRPr="008173D7" w:rsidRDefault="00DB6DDB" w:rsidP="005B0D50">
          <w:pPr>
            <w:pStyle w:val="Template-Hoved2"/>
            <w:rPr>
              <w:lang w:val="da-DK"/>
            </w:rPr>
          </w:pPr>
          <w:bookmarkStart w:id="12" w:name="SD_OFF_Line3"/>
          <w:r w:rsidRPr="008173D7">
            <w:rPr>
              <w:lang w:val="da-DK"/>
            </w:rPr>
            <w:t>DET SAMFUNDSVIDENSKABELIGE FAKULTET</w:t>
          </w:r>
          <w:bookmarkEnd w:id="12"/>
        </w:p>
      </w:tc>
    </w:tr>
  </w:tbl>
  <w:p w14:paraId="1CC4238F" w14:textId="77777777" w:rsidR="005075A8" w:rsidRDefault="00DB6DDB">
    <w:pPr>
      <w:pStyle w:val="Sidehoved"/>
    </w:pPr>
    <w:bookmarkStart w:id="13" w:name="A4Rapport"/>
    <w:bookmarkEnd w:id="13"/>
    <w:r>
      <w:rPr>
        <w:noProof/>
        <w:lang w:val="en-GB" w:eastAsia="en-GB"/>
      </w:rPr>
      <w:drawing>
        <wp:anchor distT="0" distB="0" distL="114300" distR="114300" simplePos="0" relativeHeight="251658240" behindDoc="0" locked="0" layoutInCell="1" allowOverlap="1" wp14:anchorId="514E8305" wp14:editId="4C05306E">
          <wp:simplePos x="0" y="0"/>
          <wp:positionH relativeFrom="page">
            <wp:posOffset>5666105</wp:posOffset>
          </wp:positionH>
          <wp:positionV relativeFrom="page">
            <wp:posOffset>925195</wp:posOffset>
          </wp:positionV>
          <wp:extent cx="1162050" cy="1600200"/>
          <wp:effectExtent l="0" t="0" r="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2050" cy="1600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7E1FCF16" wp14:editId="25588B1C">
              <wp:simplePos x="0" y="0"/>
              <wp:positionH relativeFrom="page">
                <wp:posOffset>-36195</wp:posOffset>
              </wp:positionH>
              <wp:positionV relativeFrom="page">
                <wp:posOffset>2402205</wp:posOffset>
              </wp:positionV>
              <wp:extent cx="7632065" cy="6985"/>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65" cy="6985"/>
                      </a:xfrm>
                      <a:prstGeom prst="rect">
                        <a:avLst/>
                      </a:prstGeom>
                      <a:solidFill>
                        <a:srgbClr val="E1371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C1232" id="SD_Line_1_HIDE" o:spid="_x0000_s1026" style="position:absolute;margin-left:-2.85pt;margin-top:189.15pt;width:600.95pt;height:.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" fillcolor="#e13718"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473"/>
    <w:multiLevelType w:val="hybridMultilevel"/>
    <w:tmpl w:val="4C5487BA"/>
    <w:lvl w:ilvl="0" w:tplc="0FD2467A">
      <w:start w:val="2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D1046F0"/>
    <w:multiLevelType w:val="hybridMultilevel"/>
    <w:tmpl w:val="ACDC24CC"/>
    <w:lvl w:ilvl="0" w:tplc="206C2F1C">
      <w:start w:val="2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081865"/>
    <w:multiLevelType w:val="hybridMultilevel"/>
    <w:tmpl w:val="C8DAC9FC"/>
    <w:lvl w:ilvl="0" w:tplc="206C2F1C">
      <w:start w:val="2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C8B081D"/>
    <w:multiLevelType w:val="hybridMultilevel"/>
    <w:tmpl w:val="38DE1EA8"/>
    <w:lvl w:ilvl="0" w:tplc="206C2F1C">
      <w:start w:val="2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087E"/>
    <w:rsid w:val="0000397E"/>
    <w:rsid w:val="000045D8"/>
    <w:rsid w:val="00017AAF"/>
    <w:rsid w:val="00022878"/>
    <w:rsid w:val="00027437"/>
    <w:rsid w:val="00033298"/>
    <w:rsid w:val="00035D7E"/>
    <w:rsid w:val="00047B47"/>
    <w:rsid w:val="00051787"/>
    <w:rsid w:val="0005547B"/>
    <w:rsid w:val="00063133"/>
    <w:rsid w:val="0006455C"/>
    <w:rsid w:val="00071EC6"/>
    <w:rsid w:val="00077057"/>
    <w:rsid w:val="000778C8"/>
    <w:rsid w:val="000831FE"/>
    <w:rsid w:val="00083ADB"/>
    <w:rsid w:val="00091850"/>
    <w:rsid w:val="00092D21"/>
    <w:rsid w:val="000A2EB1"/>
    <w:rsid w:val="000D5C3B"/>
    <w:rsid w:val="000D7BB3"/>
    <w:rsid w:val="000E0236"/>
    <w:rsid w:val="000E6BF8"/>
    <w:rsid w:val="000F15A0"/>
    <w:rsid w:val="000F7A84"/>
    <w:rsid w:val="001025F8"/>
    <w:rsid w:val="001078C3"/>
    <w:rsid w:val="0011516D"/>
    <w:rsid w:val="00116807"/>
    <w:rsid w:val="00126BDA"/>
    <w:rsid w:val="001345B8"/>
    <w:rsid w:val="00144C81"/>
    <w:rsid w:val="001523DC"/>
    <w:rsid w:val="00160316"/>
    <w:rsid w:val="001622DE"/>
    <w:rsid w:val="0017222E"/>
    <w:rsid w:val="00186A2A"/>
    <w:rsid w:val="001904CA"/>
    <w:rsid w:val="0019641F"/>
    <w:rsid w:val="001A2E85"/>
    <w:rsid w:val="001B139D"/>
    <w:rsid w:val="001B42F7"/>
    <w:rsid w:val="001D0D70"/>
    <w:rsid w:val="001E104F"/>
    <w:rsid w:val="001E71C3"/>
    <w:rsid w:val="0020073E"/>
    <w:rsid w:val="0020180F"/>
    <w:rsid w:val="002037A2"/>
    <w:rsid w:val="002047DD"/>
    <w:rsid w:val="002148B5"/>
    <w:rsid w:val="002265E7"/>
    <w:rsid w:val="00241EB2"/>
    <w:rsid w:val="002450F8"/>
    <w:rsid w:val="00245570"/>
    <w:rsid w:val="00246F85"/>
    <w:rsid w:val="00247360"/>
    <w:rsid w:val="00251864"/>
    <w:rsid w:val="00255575"/>
    <w:rsid w:val="0025595F"/>
    <w:rsid w:val="00260C01"/>
    <w:rsid w:val="00264C9D"/>
    <w:rsid w:val="00266800"/>
    <w:rsid w:val="0026738F"/>
    <w:rsid w:val="0026747D"/>
    <w:rsid w:val="00267989"/>
    <w:rsid w:val="00275745"/>
    <w:rsid w:val="00284CF4"/>
    <w:rsid w:val="002859CF"/>
    <w:rsid w:val="002918F2"/>
    <w:rsid w:val="00293614"/>
    <w:rsid w:val="002A127E"/>
    <w:rsid w:val="002A1EA7"/>
    <w:rsid w:val="002A2406"/>
    <w:rsid w:val="002B01EC"/>
    <w:rsid w:val="002B5AF3"/>
    <w:rsid w:val="002B6D31"/>
    <w:rsid w:val="002D00AA"/>
    <w:rsid w:val="002D5C8A"/>
    <w:rsid w:val="002E2D6E"/>
    <w:rsid w:val="002E51D8"/>
    <w:rsid w:val="002F666F"/>
    <w:rsid w:val="00302070"/>
    <w:rsid w:val="00306AD8"/>
    <w:rsid w:val="00316F44"/>
    <w:rsid w:val="00320028"/>
    <w:rsid w:val="00325284"/>
    <w:rsid w:val="00326687"/>
    <w:rsid w:val="00326AD5"/>
    <w:rsid w:val="003363CD"/>
    <w:rsid w:val="003411C7"/>
    <w:rsid w:val="00352E43"/>
    <w:rsid w:val="003540FB"/>
    <w:rsid w:val="00357811"/>
    <w:rsid w:val="00365265"/>
    <w:rsid w:val="00376AAC"/>
    <w:rsid w:val="00382228"/>
    <w:rsid w:val="003A1456"/>
    <w:rsid w:val="003A71B6"/>
    <w:rsid w:val="003B7CD4"/>
    <w:rsid w:val="003B7EC8"/>
    <w:rsid w:val="003C61EE"/>
    <w:rsid w:val="003E26F9"/>
    <w:rsid w:val="003F695E"/>
    <w:rsid w:val="00403AC5"/>
    <w:rsid w:val="0040495C"/>
    <w:rsid w:val="0041226C"/>
    <w:rsid w:val="0042016F"/>
    <w:rsid w:val="00420A76"/>
    <w:rsid w:val="00430787"/>
    <w:rsid w:val="0043708F"/>
    <w:rsid w:val="00447015"/>
    <w:rsid w:val="00447061"/>
    <w:rsid w:val="00450816"/>
    <w:rsid w:val="0046258D"/>
    <w:rsid w:val="00467B99"/>
    <w:rsid w:val="00467C38"/>
    <w:rsid w:val="00481022"/>
    <w:rsid w:val="00483B26"/>
    <w:rsid w:val="004951CB"/>
    <w:rsid w:val="004A2F25"/>
    <w:rsid w:val="004A5B4B"/>
    <w:rsid w:val="004B66D5"/>
    <w:rsid w:val="004C1103"/>
    <w:rsid w:val="004D01AE"/>
    <w:rsid w:val="004E5A16"/>
    <w:rsid w:val="004E6378"/>
    <w:rsid w:val="004F2968"/>
    <w:rsid w:val="004F4C88"/>
    <w:rsid w:val="004F4DF7"/>
    <w:rsid w:val="0051465D"/>
    <w:rsid w:val="00525962"/>
    <w:rsid w:val="00526131"/>
    <w:rsid w:val="00532579"/>
    <w:rsid w:val="00533E6D"/>
    <w:rsid w:val="00536377"/>
    <w:rsid w:val="00542EB6"/>
    <w:rsid w:val="00547BA1"/>
    <w:rsid w:val="00552CD6"/>
    <w:rsid w:val="005546EF"/>
    <w:rsid w:val="005561F7"/>
    <w:rsid w:val="005618E2"/>
    <w:rsid w:val="00571798"/>
    <w:rsid w:val="00574B34"/>
    <w:rsid w:val="005A0E84"/>
    <w:rsid w:val="005A422B"/>
    <w:rsid w:val="005B58C3"/>
    <w:rsid w:val="005E1AFF"/>
    <w:rsid w:val="005E474A"/>
    <w:rsid w:val="005E5984"/>
    <w:rsid w:val="005E65DA"/>
    <w:rsid w:val="00603DEB"/>
    <w:rsid w:val="00611022"/>
    <w:rsid w:val="00613C97"/>
    <w:rsid w:val="0063061C"/>
    <w:rsid w:val="00631672"/>
    <w:rsid w:val="00634642"/>
    <w:rsid w:val="00641759"/>
    <w:rsid w:val="006475EF"/>
    <w:rsid w:val="006530D1"/>
    <w:rsid w:val="00665C95"/>
    <w:rsid w:val="00671259"/>
    <w:rsid w:val="00671F87"/>
    <w:rsid w:val="006803E2"/>
    <w:rsid w:val="006A5C94"/>
    <w:rsid w:val="006B69F7"/>
    <w:rsid w:val="006B7C09"/>
    <w:rsid w:val="006C53C9"/>
    <w:rsid w:val="006C71BA"/>
    <w:rsid w:val="006D1D30"/>
    <w:rsid w:val="006E3571"/>
    <w:rsid w:val="006E40BB"/>
    <w:rsid w:val="006E61EB"/>
    <w:rsid w:val="006E7822"/>
    <w:rsid w:val="006F034F"/>
    <w:rsid w:val="006F423C"/>
    <w:rsid w:val="006F6A52"/>
    <w:rsid w:val="006F6A79"/>
    <w:rsid w:val="00702922"/>
    <w:rsid w:val="00711192"/>
    <w:rsid w:val="00726BE4"/>
    <w:rsid w:val="00727C67"/>
    <w:rsid w:val="00733611"/>
    <w:rsid w:val="007338AA"/>
    <w:rsid w:val="00734925"/>
    <w:rsid w:val="00740027"/>
    <w:rsid w:val="007405A3"/>
    <w:rsid w:val="007405FA"/>
    <w:rsid w:val="007429E2"/>
    <w:rsid w:val="0075058B"/>
    <w:rsid w:val="00761494"/>
    <w:rsid w:val="0078400F"/>
    <w:rsid w:val="00786E72"/>
    <w:rsid w:val="007A59FD"/>
    <w:rsid w:val="007A6328"/>
    <w:rsid w:val="007B7C75"/>
    <w:rsid w:val="007C05DA"/>
    <w:rsid w:val="007C646C"/>
    <w:rsid w:val="007C6D52"/>
    <w:rsid w:val="007E4CE4"/>
    <w:rsid w:val="007F1873"/>
    <w:rsid w:val="007F48D2"/>
    <w:rsid w:val="00800261"/>
    <w:rsid w:val="00805C9F"/>
    <w:rsid w:val="0081312D"/>
    <w:rsid w:val="00827EF1"/>
    <w:rsid w:val="0083083A"/>
    <w:rsid w:val="0083512D"/>
    <w:rsid w:val="008543E3"/>
    <w:rsid w:val="00855FF2"/>
    <w:rsid w:val="00876E2A"/>
    <w:rsid w:val="0089317A"/>
    <w:rsid w:val="008965E1"/>
    <w:rsid w:val="008A552E"/>
    <w:rsid w:val="008B2AE3"/>
    <w:rsid w:val="008B540D"/>
    <w:rsid w:val="008D3C19"/>
    <w:rsid w:val="008D5DD9"/>
    <w:rsid w:val="008D5F19"/>
    <w:rsid w:val="008E5251"/>
    <w:rsid w:val="008E5CC4"/>
    <w:rsid w:val="008E60C0"/>
    <w:rsid w:val="008F2B36"/>
    <w:rsid w:val="008F440F"/>
    <w:rsid w:val="008F4BE2"/>
    <w:rsid w:val="008F63FC"/>
    <w:rsid w:val="008F72B3"/>
    <w:rsid w:val="0090329F"/>
    <w:rsid w:val="00905C06"/>
    <w:rsid w:val="00915F10"/>
    <w:rsid w:val="009166E0"/>
    <w:rsid w:val="00920F7F"/>
    <w:rsid w:val="00937ADE"/>
    <w:rsid w:val="0094015A"/>
    <w:rsid w:val="00940B20"/>
    <w:rsid w:val="00943EB1"/>
    <w:rsid w:val="00945FB8"/>
    <w:rsid w:val="0094793B"/>
    <w:rsid w:val="009515EC"/>
    <w:rsid w:val="00952627"/>
    <w:rsid w:val="00970AB2"/>
    <w:rsid w:val="00972057"/>
    <w:rsid w:val="00974D5C"/>
    <w:rsid w:val="00977390"/>
    <w:rsid w:val="00977F86"/>
    <w:rsid w:val="00984900"/>
    <w:rsid w:val="0098520F"/>
    <w:rsid w:val="0099054E"/>
    <w:rsid w:val="00990C70"/>
    <w:rsid w:val="009A6A11"/>
    <w:rsid w:val="009A7529"/>
    <w:rsid w:val="009B0A15"/>
    <w:rsid w:val="009B544E"/>
    <w:rsid w:val="009B7DE7"/>
    <w:rsid w:val="009C6A2F"/>
    <w:rsid w:val="009C7265"/>
    <w:rsid w:val="009D3846"/>
    <w:rsid w:val="009D7717"/>
    <w:rsid w:val="009E0430"/>
    <w:rsid w:val="009E5383"/>
    <w:rsid w:val="00A010F8"/>
    <w:rsid w:val="00A04A96"/>
    <w:rsid w:val="00A11455"/>
    <w:rsid w:val="00A1792D"/>
    <w:rsid w:val="00A30E85"/>
    <w:rsid w:val="00A37CED"/>
    <w:rsid w:val="00A37E25"/>
    <w:rsid w:val="00A37ED9"/>
    <w:rsid w:val="00A421AA"/>
    <w:rsid w:val="00A50695"/>
    <w:rsid w:val="00A5587B"/>
    <w:rsid w:val="00A61811"/>
    <w:rsid w:val="00A62720"/>
    <w:rsid w:val="00A67C1D"/>
    <w:rsid w:val="00A7160B"/>
    <w:rsid w:val="00A75907"/>
    <w:rsid w:val="00A771CE"/>
    <w:rsid w:val="00A82BEF"/>
    <w:rsid w:val="00A91BD2"/>
    <w:rsid w:val="00A943FC"/>
    <w:rsid w:val="00AA09C7"/>
    <w:rsid w:val="00AA1614"/>
    <w:rsid w:val="00AC1499"/>
    <w:rsid w:val="00AC5D67"/>
    <w:rsid w:val="00AC6DD1"/>
    <w:rsid w:val="00AC7E38"/>
    <w:rsid w:val="00AF51C3"/>
    <w:rsid w:val="00AF6687"/>
    <w:rsid w:val="00B020DC"/>
    <w:rsid w:val="00B0721F"/>
    <w:rsid w:val="00B14EE9"/>
    <w:rsid w:val="00B2120B"/>
    <w:rsid w:val="00B3056E"/>
    <w:rsid w:val="00B30F9F"/>
    <w:rsid w:val="00B323EB"/>
    <w:rsid w:val="00B43E73"/>
    <w:rsid w:val="00B51C0A"/>
    <w:rsid w:val="00B55E07"/>
    <w:rsid w:val="00B57D01"/>
    <w:rsid w:val="00B63DC4"/>
    <w:rsid w:val="00B65317"/>
    <w:rsid w:val="00B706B6"/>
    <w:rsid w:val="00B81ABE"/>
    <w:rsid w:val="00B9488E"/>
    <w:rsid w:val="00B95783"/>
    <w:rsid w:val="00BA0817"/>
    <w:rsid w:val="00BA1C00"/>
    <w:rsid w:val="00BA7B57"/>
    <w:rsid w:val="00BB0E06"/>
    <w:rsid w:val="00BC2A97"/>
    <w:rsid w:val="00BC30C2"/>
    <w:rsid w:val="00BC6728"/>
    <w:rsid w:val="00BF1845"/>
    <w:rsid w:val="00C0212C"/>
    <w:rsid w:val="00C16BBE"/>
    <w:rsid w:val="00C23DE8"/>
    <w:rsid w:val="00C31F71"/>
    <w:rsid w:val="00C55E73"/>
    <w:rsid w:val="00C610AE"/>
    <w:rsid w:val="00C62083"/>
    <w:rsid w:val="00C66D5D"/>
    <w:rsid w:val="00C7594A"/>
    <w:rsid w:val="00C770E6"/>
    <w:rsid w:val="00C807F0"/>
    <w:rsid w:val="00C83B26"/>
    <w:rsid w:val="00C868FA"/>
    <w:rsid w:val="00C97C6F"/>
    <w:rsid w:val="00CA66C4"/>
    <w:rsid w:val="00CB1DA2"/>
    <w:rsid w:val="00CB76C3"/>
    <w:rsid w:val="00CD61DD"/>
    <w:rsid w:val="00CD77ED"/>
    <w:rsid w:val="00CE156D"/>
    <w:rsid w:val="00CE36EC"/>
    <w:rsid w:val="00D01DD1"/>
    <w:rsid w:val="00D11F69"/>
    <w:rsid w:val="00D24D29"/>
    <w:rsid w:val="00D306BD"/>
    <w:rsid w:val="00D4108A"/>
    <w:rsid w:val="00D44AB4"/>
    <w:rsid w:val="00D50057"/>
    <w:rsid w:val="00D510F2"/>
    <w:rsid w:val="00D51489"/>
    <w:rsid w:val="00D5433F"/>
    <w:rsid w:val="00D56509"/>
    <w:rsid w:val="00D67CAA"/>
    <w:rsid w:val="00D719BB"/>
    <w:rsid w:val="00D772BC"/>
    <w:rsid w:val="00D777DF"/>
    <w:rsid w:val="00D87F01"/>
    <w:rsid w:val="00DA62C3"/>
    <w:rsid w:val="00DB188E"/>
    <w:rsid w:val="00DB6DDB"/>
    <w:rsid w:val="00DC221E"/>
    <w:rsid w:val="00DC2522"/>
    <w:rsid w:val="00DF171A"/>
    <w:rsid w:val="00E147CF"/>
    <w:rsid w:val="00E2253B"/>
    <w:rsid w:val="00E22D05"/>
    <w:rsid w:val="00E232E7"/>
    <w:rsid w:val="00E270DF"/>
    <w:rsid w:val="00E3228E"/>
    <w:rsid w:val="00E4168E"/>
    <w:rsid w:val="00E41E60"/>
    <w:rsid w:val="00E42380"/>
    <w:rsid w:val="00E50C2A"/>
    <w:rsid w:val="00E511FE"/>
    <w:rsid w:val="00E70CF9"/>
    <w:rsid w:val="00E73148"/>
    <w:rsid w:val="00E74849"/>
    <w:rsid w:val="00E80DDC"/>
    <w:rsid w:val="00E9436B"/>
    <w:rsid w:val="00EA6767"/>
    <w:rsid w:val="00EC0FAB"/>
    <w:rsid w:val="00EC20D6"/>
    <w:rsid w:val="00EC3A79"/>
    <w:rsid w:val="00ED053B"/>
    <w:rsid w:val="00EE2CA9"/>
    <w:rsid w:val="00F00FA0"/>
    <w:rsid w:val="00F01460"/>
    <w:rsid w:val="00F12D54"/>
    <w:rsid w:val="00F24BCB"/>
    <w:rsid w:val="00F458F5"/>
    <w:rsid w:val="00F540C5"/>
    <w:rsid w:val="00F54143"/>
    <w:rsid w:val="00F54321"/>
    <w:rsid w:val="00F61328"/>
    <w:rsid w:val="00F6358F"/>
    <w:rsid w:val="00F66516"/>
    <w:rsid w:val="00F81E01"/>
    <w:rsid w:val="00F84E44"/>
    <w:rsid w:val="00F85A35"/>
    <w:rsid w:val="00F937A9"/>
    <w:rsid w:val="00F966F1"/>
    <w:rsid w:val="00FA065C"/>
    <w:rsid w:val="00FA0682"/>
    <w:rsid w:val="00FA3A9F"/>
    <w:rsid w:val="00FB1DC7"/>
    <w:rsid w:val="00FB6DC2"/>
    <w:rsid w:val="00FC18A5"/>
    <w:rsid w:val="00FC4211"/>
    <w:rsid w:val="00FC4A59"/>
    <w:rsid w:val="00FC507E"/>
    <w:rsid w:val="00FD1515"/>
    <w:rsid w:val="00FE757F"/>
    <w:rsid w:val="00FF003E"/>
    <w:rsid w:val="00FF14F9"/>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3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character" w:styleId="Kommentarhenvisning">
    <w:name w:val="annotation reference"/>
    <w:basedOn w:val="Standardskrifttypeiafsnit"/>
    <w:uiPriority w:val="99"/>
    <w:semiHidden/>
    <w:unhideWhenUsed/>
    <w:rsid w:val="00A37CED"/>
    <w:rPr>
      <w:sz w:val="16"/>
      <w:szCs w:val="16"/>
    </w:rPr>
  </w:style>
  <w:style w:type="paragraph" w:styleId="Kommentartekst">
    <w:name w:val="annotation text"/>
    <w:basedOn w:val="Normal"/>
    <w:link w:val="KommentartekstTegn"/>
    <w:uiPriority w:val="99"/>
    <w:semiHidden/>
    <w:unhideWhenUsed/>
    <w:rsid w:val="00A37CED"/>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A37CED"/>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A37CED"/>
    <w:rPr>
      <w:b/>
      <w:bCs/>
    </w:rPr>
  </w:style>
  <w:style w:type="character" w:customStyle="1" w:styleId="KommentaremneTegn">
    <w:name w:val="Kommentaremne Tegn"/>
    <w:basedOn w:val="KommentartekstTegn"/>
    <w:link w:val="Kommentaremne"/>
    <w:uiPriority w:val="99"/>
    <w:semiHidden/>
    <w:rsid w:val="00A37CED"/>
    <w:rPr>
      <w:rFonts w:ascii="Times New Roman" w:eastAsia="Times New Roman" w:hAnsi="Times New Roman" w:cs="Times New Roman"/>
      <w:b/>
      <w:bCs/>
      <w:sz w:val="20"/>
      <w:szCs w:val="20"/>
      <w:lang w:eastAsia="da-DK"/>
    </w:rPr>
  </w:style>
  <w:style w:type="paragraph" w:styleId="Markeringsbobletekst">
    <w:name w:val="Balloon Text"/>
    <w:basedOn w:val="Normal"/>
    <w:link w:val="MarkeringsbobletekstTegn"/>
    <w:uiPriority w:val="99"/>
    <w:semiHidden/>
    <w:unhideWhenUsed/>
    <w:rsid w:val="00A37CED"/>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37CED"/>
    <w:rPr>
      <w:rFonts w:ascii="Segoe UI" w:eastAsia="Times New Roman" w:hAnsi="Segoe UI" w:cs="Segoe UI"/>
      <w:sz w:val="18"/>
      <w:szCs w:val="18"/>
      <w:lang w:eastAsia="da-DK"/>
    </w:rPr>
  </w:style>
  <w:style w:type="paragraph" w:styleId="Listeafsnit">
    <w:name w:val="List Paragraph"/>
    <w:basedOn w:val="Normal"/>
    <w:uiPriority w:val="34"/>
    <w:qFormat/>
    <w:rsid w:val="001A2E85"/>
    <w:pPr>
      <w:spacing w:after="160" w:line="259" w:lineRule="auto"/>
      <w:ind w:left="720"/>
      <w:contextualSpacing/>
    </w:pPr>
    <w:rPr>
      <w:rFonts w:asciiTheme="minorHAnsi" w:eastAsiaTheme="minorHAnsi" w:hAnsiTheme="minorHAnsi" w:cstheme="minorBidi"/>
      <w:sz w:val="22"/>
      <w:szCs w:val="22"/>
      <w:lang w:eastAsia="en-US"/>
    </w:rPr>
  </w:style>
  <w:style w:type="paragraph" w:styleId="Billedtekst">
    <w:name w:val="caption"/>
    <w:basedOn w:val="Normal"/>
    <w:next w:val="Normal"/>
    <w:uiPriority w:val="35"/>
    <w:unhideWhenUsed/>
    <w:qFormat/>
    <w:rsid w:val="00B65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be98364f8934a45/01%20PSYK2018/3.%20Semester/01%20Kognitionspsykologi/03%20&#216;velseshold/99%20Afleveringer/05%20Iowa%20Gambling%20Task/Iowa2019_Indtastningsark%20til%20figurer_FP19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be98364f8934a45/01%20PSYK2018/3.%20Semester/01%20Kognitionspsykologi/03%20&#216;velseshold/99%20Afleveringer/05%20Iowa%20Gambling%20Task/Iowa2019_Indtastningsark%20til%20figurer_FP19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900" b="1"/>
              <a:t>Capital</a:t>
            </a:r>
            <a:r>
              <a:rPr lang="en-US" sz="900" b="1" baseline="0"/>
              <a:t> size and choice of card deck as a function of number draws </a:t>
            </a:r>
            <a:r>
              <a:rPr lang="en-US" sz="900" b="1"/>
              <a:t>(FP19203,</a:t>
            </a:r>
            <a:r>
              <a:rPr lang="en-US" sz="900" b="1" baseline="0"/>
              <a:t> first session)</a:t>
            </a:r>
            <a:endParaRPr lang="en-US" sz="900" b="1"/>
          </a:p>
        </c:rich>
      </c:tx>
      <c:layout>
        <c:manualLayout>
          <c:xMode val="edge"/>
          <c:yMode val="edge"/>
          <c:x val="0.14541587662024275"/>
          <c:y val="1.8467220683287166E-2"/>
        </c:manualLayout>
      </c:layout>
      <c:overlay val="0"/>
    </c:title>
    <c:autoTitleDeleted val="0"/>
    <c:plotArea>
      <c:layout>
        <c:manualLayout>
          <c:layoutTarget val="inner"/>
          <c:xMode val="edge"/>
          <c:yMode val="edge"/>
          <c:x val="9.7773201989918596E-2"/>
          <c:y val="0.16859070302162599"/>
          <c:w val="0.83236846440220102"/>
          <c:h val="0.59192954599683301"/>
        </c:manualLayout>
      </c:layout>
      <c:scatterChart>
        <c:scatterStyle val="lineMarker"/>
        <c:varyColors val="0"/>
        <c:ser>
          <c:idx val="1"/>
          <c:order val="1"/>
          <c:tx>
            <c:strRef>
              <c:f>'[Iowa2019_Indtastningsark til figurer_FP19203.xlsx]Kapital &amp; Valg indtast'!$C$6</c:f>
              <c:strCache>
                <c:ptCount val="1"/>
                <c:pt idx="0">
                  <c:v>Capital</c:v>
                </c:pt>
              </c:strCache>
            </c:strRef>
          </c:tx>
          <c:spPr>
            <a:ln w="31750"/>
          </c:spPr>
          <c:marker>
            <c:symbol val="none"/>
          </c:marker>
          <c:xVal>
            <c:numRef>
              <c:f>'[Iowa2019_Indtastningsark til figurer_FP19203.xlsx]Kapital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'[Iowa2019_Indtastningsark til figurer_FP19203.xlsx]Kapital &amp; Valg indtast'!$C$7:$C$106</c:f>
              <c:numCache>
                <c:formatCode>General</c:formatCode>
                <c:ptCount val="100"/>
                <c:pt idx="0">
                  <c:v>2100</c:v>
                </c:pt>
                <c:pt idx="1">
                  <c:v>2200</c:v>
                </c:pt>
                <c:pt idx="2">
                  <c:v>2250</c:v>
                </c:pt>
                <c:pt idx="3">
                  <c:v>2300</c:v>
                </c:pt>
                <c:pt idx="4">
                  <c:v>2400</c:v>
                </c:pt>
                <c:pt idx="5">
                  <c:v>2500</c:v>
                </c:pt>
                <c:pt idx="6">
                  <c:v>2550</c:v>
                </c:pt>
                <c:pt idx="7">
                  <c:v>2600</c:v>
                </c:pt>
                <c:pt idx="8">
                  <c:v>2550</c:v>
                </c:pt>
                <c:pt idx="9">
                  <c:v>2650</c:v>
                </c:pt>
                <c:pt idx="10">
                  <c:v>2650</c:v>
                </c:pt>
                <c:pt idx="11">
                  <c:v>2700</c:v>
                </c:pt>
                <c:pt idx="12">
                  <c:v>2800</c:v>
                </c:pt>
                <c:pt idx="13">
                  <c:v>2900</c:v>
                </c:pt>
                <c:pt idx="14">
                  <c:v>2950</c:v>
                </c:pt>
                <c:pt idx="15">
                  <c:v>3000</c:v>
                </c:pt>
                <c:pt idx="16">
                  <c:v>2800</c:v>
                </c:pt>
                <c:pt idx="17">
                  <c:v>2900</c:v>
                </c:pt>
                <c:pt idx="18">
                  <c:v>2900</c:v>
                </c:pt>
                <c:pt idx="19">
                  <c:v>2950</c:v>
                </c:pt>
                <c:pt idx="20">
                  <c:v>3050</c:v>
                </c:pt>
                <c:pt idx="21">
                  <c:v>3150</c:v>
                </c:pt>
                <c:pt idx="22">
                  <c:v>3200</c:v>
                </c:pt>
                <c:pt idx="23">
                  <c:v>3250</c:v>
                </c:pt>
                <c:pt idx="24">
                  <c:v>3150</c:v>
                </c:pt>
                <c:pt idx="25">
                  <c:v>3250</c:v>
                </c:pt>
                <c:pt idx="26">
                  <c:v>3250</c:v>
                </c:pt>
                <c:pt idx="27">
                  <c:v>3300</c:v>
                </c:pt>
                <c:pt idx="28">
                  <c:v>3400</c:v>
                </c:pt>
                <c:pt idx="29">
                  <c:v>3500</c:v>
                </c:pt>
                <c:pt idx="30">
                  <c:v>3550</c:v>
                </c:pt>
                <c:pt idx="31">
                  <c:v>3600</c:v>
                </c:pt>
                <c:pt idx="32">
                  <c:v>3450</c:v>
                </c:pt>
                <c:pt idx="33">
                  <c:v>2300</c:v>
                </c:pt>
                <c:pt idx="34">
                  <c:v>2300</c:v>
                </c:pt>
                <c:pt idx="35">
                  <c:v>2350</c:v>
                </c:pt>
                <c:pt idx="36">
                  <c:v>2150</c:v>
                </c:pt>
                <c:pt idx="37">
                  <c:v>2150</c:v>
                </c:pt>
                <c:pt idx="38">
                  <c:v>2200</c:v>
                </c:pt>
                <c:pt idx="39">
                  <c:v>2250</c:v>
                </c:pt>
                <c:pt idx="40">
                  <c:v>2300</c:v>
                </c:pt>
                <c:pt idx="41">
                  <c:v>2325</c:v>
                </c:pt>
                <c:pt idx="42">
                  <c:v>2375</c:v>
                </c:pt>
                <c:pt idx="43">
                  <c:v>2350</c:v>
                </c:pt>
                <c:pt idx="44">
                  <c:v>2400</c:v>
                </c:pt>
                <c:pt idx="45">
                  <c:v>2450</c:v>
                </c:pt>
                <c:pt idx="46">
                  <c:v>2500</c:v>
                </c:pt>
                <c:pt idx="47">
                  <c:v>2550</c:v>
                </c:pt>
                <c:pt idx="48">
                  <c:v>2600</c:v>
                </c:pt>
                <c:pt idx="49">
                  <c:v>2650</c:v>
                </c:pt>
                <c:pt idx="50">
                  <c:v>2700</c:v>
                </c:pt>
                <c:pt idx="51">
                  <c:v>2725</c:v>
                </c:pt>
                <c:pt idx="52">
                  <c:v>2775</c:v>
                </c:pt>
                <c:pt idx="53">
                  <c:v>2750</c:v>
                </c:pt>
                <c:pt idx="54">
                  <c:v>2800</c:v>
                </c:pt>
                <c:pt idx="55">
                  <c:v>2850</c:v>
                </c:pt>
                <c:pt idx="56">
                  <c:v>2650</c:v>
                </c:pt>
                <c:pt idx="57">
                  <c:v>2650</c:v>
                </c:pt>
                <c:pt idx="58">
                  <c:v>2700</c:v>
                </c:pt>
                <c:pt idx="59">
                  <c:v>2750</c:v>
                </c:pt>
                <c:pt idx="60">
                  <c:v>2800</c:v>
                </c:pt>
                <c:pt idx="61">
                  <c:v>2850</c:v>
                </c:pt>
                <c:pt idx="62">
                  <c:v>2900</c:v>
                </c:pt>
                <c:pt idx="63">
                  <c:v>2950</c:v>
                </c:pt>
                <c:pt idx="64">
                  <c:v>3000</c:v>
                </c:pt>
                <c:pt idx="65">
                  <c:v>3000</c:v>
                </c:pt>
                <c:pt idx="66">
                  <c:v>3050</c:v>
                </c:pt>
                <c:pt idx="67">
                  <c:v>3075</c:v>
                </c:pt>
                <c:pt idx="68">
                  <c:v>3125</c:v>
                </c:pt>
                <c:pt idx="69">
                  <c:v>3125</c:v>
                </c:pt>
                <c:pt idx="70">
                  <c:v>3175</c:v>
                </c:pt>
                <c:pt idx="71">
                  <c:v>3225</c:v>
                </c:pt>
                <c:pt idx="72">
                  <c:v>3275</c:v>
                </c:pt>
                <c:pt idx="73">
                  <c:v>3325</c:v>
                </c:pt>
                <c:pt idx="74">
                  <c:v>3125</c:v>
                </c:pt>
                <c:pt idx="75">
                  <c:v>3100</c:v>
                </c:pt>
                <c:pt idx="76">
                  <c:v>3150</c:v>
                </c:pt>
                <c:pt idx="77">
                  <c:v>3150</c:v>
                </c:pt>
                <c:pt idx="78">
                  <c:v>3200</c:v>
                </c:pt>
                <c:pt idx="79">
                  <c:v>3250</c:v>
                </c:pt>
                <c:pt idx="80">
                  <c:v>3300</c:v>
                </c:pt>
                <c:pt idx="81">
                  <c:v>3350</c:v>
                </c:pt>
                <c:pt idx="82">
                  <c:v>3400</c:v>
                </c:pt>
                <c:pt idx="83">
                  <c:v>3450</c:v>
                </c:pt>
                <c:pt idx="84">
                  <c:v>3500</c:v>
                </c:pt>
                <c:pt idx="85">
                  <c:v>3525</c:v>
                </c:pt>
                <c:pt idx="86">
                  <c:v>3325</c:v>
                </c:pt>
                <c:pt idx="87">
                  <c:v>3350</c:v>
                </c:pt>
                <c:pt idx="88">
                  <c:v>3400</c:v>
                </c:pt>
                <c:pt idx="89">
                  <c:v>3375</c:v>
                </c:pt>
                <c:pt idx="90">
                  <c:v>3425</c:v>
                </c:pt>
                <c:pt idx="91">
                  <c:v>3425</c:v>
                </c:pt>
                <c:pt idx="92">
                  <c:v>3400</c:v>
                </c:pt>
                <c:pt idx="93">
                  <c:v>3450</c:v>
                </c:pt>
                <c:pt idx="94">
                  <c:v>3500</c:v>
                </c:pt>
                <c:pt idx="95">
                  <c:v>3550</c:v>
                </c:pt>
                <c:pt idx="96">
                  <c:v>3600</c:v>
                </c:pt>
                <c:pt idx="97">
                  <c:v>3600</c:v>
                </c:pt>
                <c:pt idx="98">
                  <c:v>3650</c:v>
                </c:pt>
                <c:pt idx="99">
                  <c:v>3650</c:v>
                </c:pt>
              </c:numCache>
            </c:numRef>
          </c:yVal>
          <c:smooth val="0"/>
          <c:extLst>
            <c:ext xmlns:c16="http://schemas.microsoft.com/office/drawing/2014/chart" uri="{C3380CC4-5D6E-409C-BE32-E72D297353CC}">
              <c16:uniqueId val="{00000000-8F74-408A-A14A-B1266B53349F}"/>
            </c:ext>
          </c:extLst>
        </c:ser>
        <c:dLbls>
          <c:showLegendKey val="0"/>
          <c:showVal val="0"/>
          <c:showCatName val="0"/>
          <c:showSerName val="0"/>
          <c:showPercent val="0"/>
          <c:showBubbleSize val="0"/>
        </c:dLbls>
        <c:axId val="93136000"/>
        <c:axId val="93137920"/>
      </c:scatterChart>
      <c:scatterChart>
        <c:scatterStyle val="lineMarker"/>
        <c:varyColors val="0"/>
        <c:ser>
          <c:idx val="0"/>
          <c:order val="0"/>
          <c:tx>
            <c:strRef>
              <c:f>'[Iowa2019_Indtastningsark til figurer_FP19203.xlsx]Kapital &amp; Valg indtast'!$B$6</c:f>
              <c:strCache>
                <c:ptCount val="1"/>
                <c:pt idx="0">
                  <c:v>Choice</c:v>
                </c:pt>
              </c:strCache>
            </c:strRef>
          </c:tx>
          <c:spPr>
            <a:ln>
              <a:prstDash val="sysDash"/>
            </a:ln>
          </c:spPr>
          <c:marker>
            <c:symbol val="none"/>
          </c:marker>
          <c:xVal>
            <c:numRef>
              <c:f>'[Iowa2019_Indtastningsark til figurer_FP19203.xlsx]Kapital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'[Iowa2019_Indtastningsark til figurer_FP19203.xlsx]Kapital &amp; Valg indtast'!$B$7:$B$106</c:f>
              <c:numCache>
                <c:formatCode>General</c:formatCode>
                <c:ptCount val="100"/>
                <c:pt idx="0">
                  <c:v>1</c:v>
                </c:pt>
                <c:pt idx="1">
                  <c:v>2</c:v>
                </c:pt>
                <c:pt idx="2">
                  <c:v>3</c:v>
                </c:pt>
                <c:pt idx="3">
                  <c:v>4</c:v>
                </c:pt>
                <c:pt idx="4">
                  <c:v>1</c:v>
                </c:pt>
                <c:pt idx="5">
                  <c:v>2</c:v>
                </c:pt>
                <c:pt idx="6">
                  <c:v>3</c:v>
                </c:pt>
                <c:pt idx="7">
                  <c:v>4</c:v>
                </c:pt>
                <c:pt idx="8">
                  <c:v>1</c:v>
                </c:pt>
                <c:pt idx="9">
                  <c:v>2</c:v>
                </c:pt>
                <c:pt idx="10">
                  <c:v>3</c:v>
                </c:pt>
                <c:pt idx="11">
                  <c:v>4</c:v>
                </c:pt>
                <c:pt idx="12">
                  <c:v>1</c:v>
                </c:pt>
                <c:pt idx="13">
                  <c:v>2</c:v>
                </c:pt>
                <c:pt idx="14">
                  <c:v>3</c:v>
                </c:pt>
                <c:pt idx="15">
                  <c:v>4</c:v>
                </c:pt>
                <c:pt idx="16">
                  <c:v>1</c:v>
                </c:pt>
                <c:pt idx="17">
                  <c:v>2</c:v>
                </c:pt>
                <c:pt idx="18">
                  <c:v>3</c:v>
                </c:pt>
                <c:pt idx="19">
                  <c:v>4</c:v>
                </c:pt>
                <c:pt idx="20">
                  <c:v>1</c:v>
                </c:pt>
                <c:pt idx="21">
                  <c:v>2</c:v>
                </c:pt>
                <c:pt idx="22">
                  <c:v>3</c:v>
                </c:pt>
                <c:pt idx="23">
                  <c:v>4</c:v>
                </c:pt>
                <c:pt idx="24">
                  <c:v>1</c:v>
                </c:pt>
                <c:pt idx="25">
                  <c:v>2</c:v>
                </c:pt>
                <c:pt idx="26">
                  <c:v>3</c:v>
                </c:pt>
                <c:pt idx="27">
                  <c:v>4</c:v>
                </c:pt>
                <c:pt idx="28">
                  <c:v>1</c:v>
                </c:pt>
                <c:pt idx="29">
                  <c:v>2</c:v>
                </c:pt>
                <c:pt idx="30">
                  <c:v>3</c:v>
                </c:pt>
                <c:pt idx="31">
                  <c:v>4</c:v>
                </c:pt>
                <c:pt idx="32">
                  <c:v>1</c:v>
                </c:pt>
                <c:pt idx="33">
                  <c:v>2</c:v>
                </c:pt>
                <c:pt idx="34">
                  <c:v>3</c:v>
                </c:pt>
                <c:pt idx="35">
                  <c:v>4</c:v>
                </c:pt>
                <c:pt idx="36">
                  <c:v>4</c:v>
                </c:pt>
                <c:pt idx="37">
                  <c:v>3</c:v>
                </c:pt>
                <c:pt idx="38">
                  <c:v>4</c:v>
                </c:pt>
                <c:pt idx="39">
                  <c:v>3</c:v>
                </c:pt>
                <c:pt idx="40">
                  <c:v>4</c:v>
                </c:pt>
                <c:pt idx="41">
                  <c:v>3</c:v>
                </c:pt>
                <c:pt idx="42">
                  <c:v>4</c:v>
                </c:pt>
                <c:pt idx="43">
                  <c:v>3</c:v>
                </c:pt>
                <c:pt idx="44">
                  <c:v>4</c:v>
                </c:pt>
                <c:pt idx="45">
                  <c:v>3</c:v>
                </c:pt>
                <c:pt idx="46">
                  <c:v>4</c:v>
                </c:pt>
                <c:pt idx="47">
                  <c:v>3</c:v>
                </c:pt>
                <c:pt idx="48">
                  <c:v>4</c:v>
                </c:pt>
                <c:pt idx="49">
                  <c:v>3</c:v>
                </c:pt>
                <c:pt idx="50">
                  <c:v>4</c:v>
                </c:pt>
                <c:pt idx="51">
                  <c:v>3</c:v>
                </c:pt>
                <c:pt idx="52">
                  <c:v>4</c:v>
                </c:pt>
                <c:pt idx="53">
                  <c:v>3</c:v>
                </c:pt>
                <c:pt idx="54">
                  <c:v>4</c:v>
                </c:pt>
                <c:pt idx="55">
                  <c:v>3</c:v>
                </c:pt>
                <c:pt idx="56">
                  <c:v>4</c:v>
                </c:pt>
                <c:pt idx="57">
                  <c:v>3</c:v>
                </c:pt>
                <c:pt idx="58">
                  <c:v>4</c:v>
                </c:pt>
                <c:pt idx="59">
                  <c:v>3</c:v>
                </c:pt>
                <c:pt idx="60">
                  <c:v>4</c:v>
                </c:pt>
                <c:pt idx="61">
                  <c:v>3</c:v>
                </c:pt>
                <c:pt idx="62">
                  <c:v>4</c:v>
                </c:pt>
                <c:pt idx="63">
                  <c:v>3</c:v>
                </c:pt>
                <c:pt idx="64">
                  <c:v>4</c:v>
                </c:pt>
                <c:pt idx="65">
                  <c:v>3</c:v>
                </c:pt>
                <c:pt idx="66">
                  <c:v>4</c:v>
                </c:pt>
                <c:pt idx="67">
                  <c:v>3</c:v>
                </c:pt>
                <c:pt idx="68">
                  <c:v>4</c:v>
                </c:pt>
                <c:pt idx="69">
                  <c:v>3</c:v>
                </c:pt>
                <c:pt idx="70">
                  <c:v>4</c:v>
                </c:pt>
                <c:pt idx="71">
                  <c:v>3</c:v>
                </c:pt>
                <c:pt idx="72">
                  <c:v>4</c:v>
                </c:pt>
                <c:pt idx="73">
                  <c:v>3</c:v>
                </c:pt>
                <c:pt idx="74">
                  <c:v>4</c:v>
                </c:pt>
                <c:pt idx="75">
                  <c:v>3</c:v>
                </c:pt>
                <c:pt idx="76">
                  <c:v>4</c:v>
                </c:pt>
                <c:pt idx="77">
                  <c:v>3</c:v>
                </c:pt>
                <c:pt idx="78">
                  <c:v>4</c:v>
                </c:pt>
                <c:pt idx="79">
                  <c:v>3</c:v>
                </c:pt>
                <c:pt idx="80">
                  <c:v>4</c:v>
                </c:pt>
                <c:pt idx="81">
                  <c:v>3</c:v>
                </c:pt>
                <c:pt idx="82">
                  <c:v>4</c:v>
                </c:pt>
                <c:pt idx="83">
                  <c:v>3</c:v>
                </c:pt>
                <c:pt idx="84">
                  <c:v>4</c:v>
                </c:pt>
                <c:pt idx="85">
                  <c:v>3</c:v>
                </c:pt>
                <c:pt idx="86">
                  <c:v>4</c:v>
                </c:pt>
                <c:pt idx="87">
                  <c:v>3</c:v>
                </c:pt>
                <c:pt idx="88">
                  <c:v>3</c:v>
                </c:pt>
                <c:pt idx="89">
                  <c:v>3</c:v>
                </c:pt>
                <c:pt idx="90">
                  <c:v>3</c:v>
                </c:pt>
                <c:pt idx="91">
                  <c:v>3</c:v>
                </c:pt>
                <c:pt idx="92">
                  <c:v>3</c:v>
                </c:pt>
                <c:pt idx="93">
                  <c:v>4</c:v>
                </c:pt>
                <c:pt idx="94">
                  <c:v>3</c:v>
                </c:pt>
                <c:pt idx="95">
                  <c:v>3</c:v>
                </c:pt>
                <c:pt idx="96">
                  <c:v>4</c:v>
                </c:pt>
                <c:pt idx="97">
                  <c:v>3</c:v>
                </c:pt>
                <c:pt idx="98">
                  <c:v>3</c:v>
                </c:pt>
                <c:pt idx="99">
                  <c:v>3</c:v>
                </c:pt>
              </c:numCache>
            </c:numRef>
          </c:yVal>
          <c:smooth val="0"/>
          <c:extLst>
            <c:ext xmlns:c16="http://schemas.microsoft.com/office/drawing/2014/chart" uri="{C3380CC4-5D6E-409C-BE32-E72D297353CC}">
              <c16:uniqueId val="{00000001-8F74-408A-A14A-B1266B53349F}"/>
            </c:ext>
          </c:extLst>
        </c:ser>
        <c:dLbls>
          <c:showLegendKey val="0"/>
          <c:showVal val="0"/>
          <c:showCatName val="0"/>
          <c:showSerName val="0"/>
          <c:showPercent val="0"/>
          <c:showBubbleSize val="0"/>
        </c:dLbls>
        <c:axId val="93146112"/>
        <c:axId val="93144192"/>
      </c:scatterChart>
      <c:valAx>
        <c:axId val="93136000"/>
        <c:scaling>
          <c:orientation val="minMax"/>
          <c:max val="101"/>
          <c:min val="0"/>
        </c:scaling>
        <c:delete val="0"/>
        <c:axPos val="b"/>
        <c:title>
          <c:tx>
            <c:rich>
              <a:bodyPr/>
              <a:lstStyle/>
              <a:p>
                <a:pPr>
                  <a:defRPr sz="1000"/>
                </a:pPr>
                <a:r>
                  <a:rPr lang="en-US" sz="1000"/>
                  <a:t>Draw #</a:t>
                </a:r>
              </a:p>
            </c:rich>
          </c:tx>
          <c:overlay val="0"/>
        </c:title>
        <c:numFmt formatCode="General" sourceLinked="1"/>
        <c:majorTickMark val="out"/>
        <c:minorTickMark val="none"/>
        <c:tickLblPos val="nextTo"/>
        <c:txPr>
          <a:bodyPr/>
          <a:lstStyle/>
          <a:p>
            <a:pPr>
              <a:defRPr sz="1000"/>
            </a:pPr>
            <a:endParaRPr lang="da-DK"/>
          </a:p>
        </c:txPr>
        <c:crossAx val="93137920"/>
        <c:crosses val="autoZero"/>
        <c:crossBetween val="midCat"/>
        <c:majorUnit val="10"/>
      </c:valAx>
      <c:valAx>
        <c:axId val="93137920"/>
        <c:scaling>
          <c:orientation val="minMax"/>
          <c:max val="4000"/>
          <c:min val="1000"/>
        </c:scaling>
        <c:delete val="0"/>
        <c:axPos val="l"/>
        <c:majorGridlines/>
        <c:title>
          <c:tx>
            <c:rich>
              <a:bodyPr rot="-5400000" vert="horz"/>
              <a:lstStyle/>
              <a:p>
                <a:pPr>
                  <a:defRPr sz="900"/>
                </a:pPr>
                <a:r>
                  <a:rPr lang="en-US" sz="900"/>
                  <a:t>Capital (DKK)</a:t>
                </a:r>
              </a:p>
            </c:rich>
          </c:tx>
          <c:layout>
            <c:manualLayout>
              <c:xMode val="edge"/>
              <c:yMode val="edge"/>
              <c:x val="6.8337129840546698E-2"/>
              <c:y val="0.34178317737983582"/>
            </c:manualLayout>
          </c:layout>
          <c:overlay val="0"/>
        </c:title>
        <c:numFmt formatCode="General" sourceLinked="1"/>
        <c:majorTickMark val="out"/>
        <c:minorTickMark val="none"/>
        <c:tickLblPos val="nextTo"/>
        <c:txPr>
          <a:bodyPr/>
          <a:lstStyle/>
          <a:p>
            <a:pPr>
              <a:defRPr sz="1000"/>
            </a:pPr>
            <a:endParaRPr lang="da-DK"/>
          </a:p>
        </c:txPr>
        <c:crossAx val="93136000"/>
        <c:crosses val="autoZero"/>
        <c:crossBetween val="midCat"/>
        <c:majorUnit val="1000"/>
      </c:valAx>
      <c:valAx>
        <c:axId val="93144192"/>
        <c:scaling>
          <c:orientation val="minMax"/>
          <c:max val="4"/>
          <c:min val="1"/>
        </c:scaling>
        <c:delete val="0"/>
        <c:axPos val="r"/>
        <c:title>
          <c:tx>
            <c:rich>
              <a:bodyPr rot="-5400000" vert="horz"/>
              <a:lstStyle/>
              <a:p>
                <a:pPr>
                  <a:defRPr sz="900"/>
                </a:pPr>
                <a:r>
                  <a:rPr lang="en-US" sz="900"/>
                  <a:t>Card deck</a:t>
                </a:r>
              </a:p>
            </c:rich>
          </c:tx>
          <c:layout>
            <c:manualLayout>
              <c:xMode val="edge"/>
              <c:yMode val="edge"/>
              <c:x val="0.92412665387213844"/>
              <c:y val="0.3790175293185305"/>
            </c:manualLayout>
          </c:layout>
          <c:overlay val="0"/>
        </c:title>
        <c:numFmt formatCode="General" sourceLinked="1"/>
        <c:majorTickMark val="out"/>
        <c:minorTickMark val="none"/>
        <c:tickLblPos val="nextTo"/>
        <c:txPr>
          <a:bodyPr/>
          <a:lstStyle/>
          <a:p>
            <a:pPr>
              <a:defRPr sz="1000"/>
            </a:pPr>
            <a:endParaRPr lang="da-DK"/>
          </a:p>
        </c:txPr>
        <c:crossAx val="93146112"/>
        <c:crosses val="max"/>
        <c:crossBetween val="midCat"/>
        <c:majorUnit val="1"/>
      </c:valAx>
      <c:valAx>
        <c:axId val="93146112"/>
        <c:scaling>
          <c:orientation val="minMax"/>
        </c:scaling>
        <c:delete val="1"/>
        <c:axPos val="b"/>
        <c:numFmt formatCode="General" sourceLinked="1"/>
        <c:majorTickMark val="out"/>
        <c:minorTickMark val="none"/>
        <c:tickLblPos val="none"/>
        <c:crossAx val="93144192"/>
        <c:crosses val="autoZero"/>
        <c:crossBetween val="midCat"/>
      </c:valAx>
    </c:plotArea>
    <c:legend>
      <c:legendPos val="b"/>
      <c:layout>
        <c:manualLayout>
          <c:xMode val="edge"/>
          <c:yMode val="edge"/>
          <c:x val="0.21741102123054665"/>
          <c:y val="0.92899062824903123"/>
          <c:w val="0.57176504702288056"/>
          <c:h val="4.6335691089461298E-2"/>
        </c:manualLayout>
      </c:layout>
      <c:overlay val="0"/>
      <c:txPr>
        <a:bodyPr/>
        <a:lstStyle/>
        <a:p>
          <a:pPr>
            <a:defRPr sz="1000"/>
          </a:pPr>
          <a:endParaRPr lang="da-DK"/>
        </a:p>
      </c:txPr>
    </c:legend>
    <c:plotVisOnly val="1"/>
    <c:dispBlanksAs val="gap"/>
    <c:showDLblsOverMax val="0"/>
  </c:chart>
  <c:txPr>
    <a:bodyPr/>
    <a:lstStyle/>
    <a:p>
      <a:pPr>
        <a:defRPr sz="1600"/>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900" b="1" i="0" baseline="0">
                <a:effectLst/>
              </a:rPr>
              <a:t>Capital size and choice of card deck as a function of number draws (FP19203, second session)</a:t>
            </a:r>
            <a:endParaRPr lang="da-DK" sz="900">
              <a:effectLst/>
            </a:endParaRPr>
          </a:p>
        </c:rich>
      </c:tx>
      <c:layout>
        <c:manualLayout>
          <c:xMode val="edge"/>
          <c:yMode val="edge"/>
          <c:x val="0.10678450199237774"/>
          <c:y val="2.3089268262388746E-2"/>
        </c:manualLayout>
      </c:layout>
      <c:overlay val="0"/>
    </c:title>
    <c:autoTitleDeleted val="0"/>
    <c:plotArea>
      <c:layout>
        <c:manualLayout>
          <c:layoutTarget val="inner"/>
          <c:xMode val="edge"/>
          <c:yMode val="edge"/>
          <c:x val="9.7773201989918596E-2"/>
          <c:y val="0.16859070302162599"/>
          <c:w val="0.83236846440220102"/>
          <c:h val="0.59192954599683301"/>
        </c:manualLayout>
      </c:layout>
      <c:scatterChart>
        <c:scatterStyle val="lineMarker"/>
        <c:varyColors val="0"/>
        <c:ser>
          <c:idx val="1"/>
          <c:order val="1"/>
          <c:tx>
            <c:strRef>
              <c:f>'Kapital &amp; Valg indtast'!$C$6</c:f>
              <c:strCache>
                <c:ptCount val="1"/>
                <c:pt idx="0">
                  <c:v>Capital</c:v>
                </c:pt>
              </c:strCache>
            </c:strRef>
          </c:tx>
          <c:spPr>
            <a:ln w="31750"/>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indtast'!$W$7:$W$106</c:f>
              <c:numCache>
                <c:formatCode>General</c:formatCode>
                <c:ptCount val="100"/>
                <c:pt idx="0">
                  <c:v>2050</c:v>
                </c:pt>
                <c:pt idx="1">
                  <c:v>2100</c:v>
                </c:pt>
                <c:pt idx="2">
                  <c:v>2100</c:v>
                </c:pt>
                <c:pt idx="3">
                  <c:v>2150</c:v>
                </c:pt>
                <c:pt idx="4">
                  <c:v>2150</c:v>
                </c:pt>
                <c:pt idx="5">
                  <c:v>2250</c:v>
                </c:pt>
                <c:pt idx="6">
                  <c:v>2350</c:v>
                </c:pt>
                <c:pt idx="7">
                  <c:v>2450</c:v>
                </c:pt>
                <c:pt idx="8">
                  <c:v>2550</c:v>
                </c:pt>
                <c:pt idx="9">
                  <c:v>2650</c:v>
                </c:pt>
                <c:pt idx="10">
                  <c:v>2750</c:v>
                </c:pt>
                <c:pt idx="11">
                  <c:v>2700</c:v>
                </c:pt>
                <c:pt idx="12">
                  <c:v>2800</c:v>
                </c:pt>
                <c:pt idx="13">
                  <c:v>2900</c:v>
                </c:pt>
                <c:pt idx="14">
                  <c:v>3000</c:v>
                </c:pt>
                <c:pt idx="15">
                  <c:v>2800</c:v>
                </c:pt>
                <c:pt idx="16">
                  <c:v>2900</c:v>
                </c:pt>
                <c:pt idx="17">
                  <c:v>2950</c:v>
                </c:pt>
                <c:pt idx="18">
                  <c:v>3000</c:v>
                </c:pt>
                <c:pt idx="19">
                  <c:v>3050</c:v>
                </c:pt>
                <c:pt idx="20">
                  <c:v>3050</c:v>
                </c:pt>
                <c:pt idx="21">
                  <c:v>3100</c:v>
                </c:pt>
                <c:pt idx="22">
                  <c:v>3150</c:v>
                </c:pt>
                <c:pt idx="23">
                  <c:v>3150</c:v>
                </c:pt>
                <c:pt idx="24">
                  <c:v>3150</c:v>
                </c:pt>
                <c:pt idx="25">
                  <c:v>3200</c:v>
                </c:pt>
                <c:pt idx="26">
                  <c:v>3225</c:v>
                </c:pt>
                <c:pt idx="27">
                  <c:v>3200</c:v>
                </c:pt>
                <c:pt idx="28">
                  <c:v>3250</c:v>
                </c:pt>
                <c:pt idx="29">
                  <c:v>3300</c:v>
                </c:pt>
                <c:pt idx="30">
                  <c:v>3350</c:v>
                </c:pt>
                <c:pt idx="31">
                  <c:v>3375</c:v>
                </c:pt>
                <c:pt idx="32">
                  <c:v>3350</c:v>
                </c:pt>
                <c:pt idx="33">
                  <c:v>3400</c:v>
                </c:pt>
                <c:pt idx="34">
                  <c:v>3400</c:v>
                </c:pt>
                <c:pt idx="35">
                  <c:v>3450</c:v>
                </c:pt>
                <c:pt idx="36">
                  <c:v>3500</c:v>
                </c:pt>
                <c:pt idx="37">
                  <c:v>3550</c:v>
                </c:pt>
                <c:pt idx="38">
                  <c:v>3550</c:v>
                </c:pt>
                <c:pt idx="39">
                  <c:v>3575</c:v>
                </c:pt>
                <c:pt idx="40">
                  <c:v>3575</c:v>
                </c:pt>
                <c:pt idx="41">
                  <c:v>3625</c:v>
                </c:pt>
                <c:pt idx="42">
                  <c:v>3675</c:v>
                </c:pt>
                <c:pt idx="43">
                  <c:v>3650</c:v>
                </c:pt>
                <c:pt idx="44">
                  <c:v>3650</c:v>
                </c:pt>
                <c:pt idx="45">
                  <c:v>3700</c:v>
                </c:pt>
                <c:pt idx="46">
                  <c:v>3750</c:v>
                </c:pt>
                <c:pt idx="47">
                  <c:v>3800</c:v>
                </c:pt>
                <c:pt idx="48">
                  <c:v>3825</c:v>
                </c:pt>
                <c:pt idx="49">
                  <c:v>3850</c:v>
                </c:pt>
                <c:pt idx="50">
                  <c:v>3900</c:v>
                </c:pt>
                <c:pt idx="51">
                  <c:v>3875</c:v>
                </c:pt>
                <c:pt idx="52">
                  <c:v>3925</c:v>
                </c:pt>
                <c:pt idx="53">
                  <c:v>3925</c:v>
                </c:pt>
                <c:pt idx="54">
                  <c:v>3900</c:v>
                </c:pt>
                <c:pt idx="55">
                  <c:v>3950</c:v>
                </c:pt>
                <c:pt idx="56">
                  <c:v>4000</c:v>
                </c:pt>
                <c:pt idx="57">
                  <c:v>4000</c:v>
                </c:pt>
                <c:pt idx="58">
                  <c:v>4050</c:v>
                </c:pt>
                <c:pt idx="59">
                  <c:v>4050</c:v>
                </c:pt>
                <c:pt idx="60">
                  <c:v>4100</c:v>
                </c:pt>
                <c:pt idx="61">
                  <c:v>4100</c:v>
                </c:pt>
                <c:pt idx="62">
                  <c:v>4150</c:v>
                </c:pt>
                <c:pt idx="63">
                  <c:v>4150</c:v>
                </c:pt>
                <c:pt idx="64">
                  <c:v>4150</c:v>
                </c:pt>
                <c:pt idx="65">
                  <c:v>4200</c:v>
                </c:pt>
                <c:pt idx="66">
                  <c:v>4225</c:v>
                </c:pt>
                <c:pt idx="67">
                  <c:v>4200</c:v>
                </c:pt>
                <c:pt idx="68">
                  <c:v>4250</c:v>
                </c:pt>
                <c:pt idx="69">
                  <c:v>4300</c:v>
                </c:pt>
                <c:pt idx="70">
                  <c:v>4350</c:v>
                </c:pt>
                <c:pt idx="71">
                  <c:v>4375</c:v>
                </c:pt>
                <c:pt idx="72">
                  <c:v>4350</c:v>
                </c:pt>
                <c:pt idx="73">
                  <c:v>4400</c:v>
                </c:pt>
                <c:pt idx="74">
                  <c:v>4400</c:v>
                </c:pt>
                <c:pt idx="75">
                  <c:v>4450</c:v>
                </c:pt>
                <c:pt idx="76">
                  <c:v>4500</c:v>
                </c:pt>
                <c:pt idx="77">
                  <c:v>4550</c:v>
                </c:pt>
                <c:pt idx="78">
                  <c:v>4550</c:v>
                </c:pt>
                <c:pt idx="79">
                  <c:v>4575</c:v>
                </c:pt>
                <c:pt idx="80">
                  <c:v>4575</c:v>
                </c:pt>
                <c:pt idx="81">
                  <c:v>4625</c:v>
                </c:pt>
                <c:pt idx="82">
                  <c:v>4675</c:v>
                </c:pt>
                <c:pt idx="83">
                  <c:v>4650</c:v>
                </c:pt>
                <c:pt idx="84">
                  <c:v>4650</c:v>
                </c:pt>
                <c:pt idx="85">
                  <c:v>4700</c:v>
                </c:pt>
                <c:pt idx="86">
                  <c:v>4750</c:v>
                </c:pt>
                <c:pt idx="87">
                  <c:v>4800</c:v>
                </c:pt>
                <c:pt idx="88">
                  <c:v>4825</c:v>
                </c:pt>
                <c:pt idx="89">
                  <c:v>4850</c:v>
                </c:pt>
                <c:pt idx="90">
                  <c:v>4900</c:v>
                </c:pt>
                <c:pt idx="91">
                  <c:v>4875</c:v>
                </c:pt>
                <c:pt idx="92">
                  <c:v>4925</c:v>
                </c:pt>
                <c:pt idx="93">
                  <c:v>4925</c:v>
                </c:pt>
                <c:pt idx="94">
                  <c:v>4900</c:v>
                </c:pt>
                <c:pt idx="95">
                  <c:v>4950</c:v>
                </c:pt>
                <c:pt idx="96">
                  <c:v>5000</c:v>
                </c:pt>
                <c:pt idx="97">
                  <c:v>5000</c:v>
                </c:pt>
                <c:pt idx="98">
                  <c:v>5050</c:v>
                </c:pt>
                <c:pt idx="99">
                  <c:v>5050</c:v>
                </c:pt>
              </c:numCache>
            </c:numRef>
          </c:yVal>
          <c:smooth val="0"/>
          <c:extLst>
            <c:ext xmlns:c16="http://schemas.microsoft.com/office/drawing/2014/chart" uri="{C3380CC4-5D6E-409C-BE32-E72D297353CC}">
              <c16:uniqueId val="{00000000-4D1B-43FB-9CDB-1C0C03365C85}"/>
            </c:ext>
          </c:extLst>
        </c:ser>
        <c:dLbls>
          <c:showLegendKey val="0"/>
          <c:showVal val="0"/>
          <c:showCatName val="0"/>
          <c:showSerName val="0"/>
          <c:showPercent val="0"/>
          <c:showBubbleSize val="0"/>
        </c:dLbls>
        <c:axId val="93791360"/>
        <c:axId val="93793280"/>
      </c:scatterChart>
      <c:scatterChart>
        <c:scatterStyle val="lineMarker"/>
        <c:varyColors val="0"/>
        <c:ser>
          <c:idx val="0"/>
          <c:order val="0"/>
          <c:tx>
            <c:strRef>
              <c:f>'Kapital &amp; Valg indtast'!$B$6</c:f>
              <c:strCache>
                <c:ptCount val="1"/>
                <c:pt idx="0">
                  <c:v>Deck choice</c:v>
                </c:pt>
              </c:strCache>
            </c:strRef>
          </c:tx>
          <c:spPr>
            <a:ln>
              <a:prstDash val="sysDash"/>
            </a:ln>
          </c:spPr>
          <c:marker>
            <c:symbol val="none"/>
          </c:marker>
          <c:xVal>
            <c:numRef>
              <c:f>'Kapital &amp; Valg indtast'!$A$7:$A$106</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'Kapital &amp; Valg indtast'!$V$7:$V$106</c:f>
              <c:numCache>
                <c:formatCode>General</c:formatCode>
                <c:ptCount val="100"/>
                <c:pt idx="0">
                  <c:v>3</c:v>
                </c:pt>
                <c:pt idx="1">
                  <c:v>3</c:v>
                </c:pt>
                <c:pt idx="2">
                  <c:v>3</c:v>
                </c:pt>
                <c:pt idx="3">
                  <c:v>3</c:v>
                </c:pt>
                <c:pt idx="4">
                  <c:v>3</c:v>
                </c:pt>
                <c:pt idx="5">
                  <c:v>2</c:v>
                </c:pt>
                <c:pt idx="6">
                  <c:v>1</c:v>
                </c:pt>
                <c:pt idx="7">
                  <c:v>2</c:v>
                </c:pt>
                <c:pt idx="8">
                  <c:v>1</c:v>
                </c:pt>
                <c:pt idx="9">
                  <c:v>2</c:v>
                </c:pt>
                <c:pt idx="10">
                  <c:v>2</c:v>
                </c:pt>
                <c:pt idx="11">
                  <c:v>1</c:v>
                </c:pt>
                <c:pt idx="12">
                  <c:v>2</c:v>
                </c:pt>
                <c:pt idx="13">
                  <c:v>2</c:v>
                </c:pt>
                <c:pt idx="14">
                  <c:v>1</c:v>
                </c:pt>
                <c:pt idx="15">
                  <c:v>1</c:v>
                </c:pt>
                <c:pt idx="16">
                  <c:v>2</c:v>
                </c:pt>
                <c:pt idx="17">
                  <c:v>4</c:v>
                </c:pt>
                <c:pt idx="18">
                  <c:v>3</c:v>
                </c:pt>
                <c:pt idx="19">
                  <c:v>4</c:v>
                </c:pt>
                <c:pt idx="20">
                  <c:v>3</c:v>
                </c:pt>
                <c:pt idx="21">
                  <c:v>4</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0"/>
          <c:extLst>
            <c:ext xmlns:c16="http://schemas.microsoft.com/office/drawing/2014/chart" uri="{C3380CC4-5D6E-409C-BE32-E72D297353CC}">
              <c16:uniqueId val="{00000001-4D1B-43FB-9CDB-1C0C03365C85}"/>
            </c:ext>
          </c:extLst>
        </c:ser>
        <c:dLbls>
          <c:showLegendKey val="0"/>
          <c:showVal val="0"/>
          <c:showCatName val="0"/>
          <c:showSerName val="0"/>
          <c:showPercent val="0"/>
          <c:showBubbleSize val="0"/>
        </c:dLbls>
        <c:axId val="93797376"/>
        <c:axId val="93795456"/>
      </c:scatterChart>
      <c:valAx>
        <c:axId val="93791360"/>
        <c:scaling>
          <c:orientation val="minMax"/>
          <c:max val="101"/>
          <c:min val="0"/>
        </c:scaling>
        <c:delete val="0"/>
        <c:axPos val="b"/>
        <c:title>
          <c:tx>
            <c:rich>
              <a:bodyPr/>
              <a:lstStyle/>
              <a:p>
                <a:pPr>
                  <a:defRPr sz="1000"/>
                </a:pPr>
                <a:r>
                  <a:rPr lang="en-US" sz="1000"/>
                  <a:t>Draw #</a:t>
                </a:r>
              </a:p>
            </c:rich>
          </c:tx>
          <c:overlay val="0"/>
        </c:title>
        <c:numFmt formatCode="General" sourceLinked="1"/>
        <c:majorTickMark val="out"/>
        <c:minorTickMark val="none"/>
        <c:tickLblPos val="nextTo"/>
        <c:txPr>
          <a:bodyPr/>
          <a:lstStyle/>
          <a:p>
            <a:pPr>
              <a:defRPr sz="1000"/>
            </a:pPr>
            <a:endParaRPr lang="da-DK"/>
          </a:p>
        </c:txPr>
        <c:crossAx val="93793280"/>
        <c:crosses val="autoZero"/>
        <c:crossBetween val="midCat"/>
        <c:majorUnit val="10"/>
      </c:valAx>
      <c:valAx>
        <c:axId val="93793280"/>
        <c:scaling>
          <c:orientation val="minMax"/>
          <c:max val="5500"/>
          <c:min val="1000"/>
        </c:scaling>
        <c:delete val="0"/>
        <c:axPos val="l"/>
        <c:majorGridlines/>
        <c:title>
          <c:tx>
            <c:rich>
              <a:bodyPr rot="-5400000" vert="horz"/>
              <a:lstStyle/>
              <a:p>
                <a:pPr>
                  <a:defRPr sz="900"/>
                </a:pPr>
                <a:r>
                  <a:rPr lang="en-US" sz="900"/>
                  <a:t>Capital (DKK)</a:t>
                </a:r>
              </a:p>
            </c:rich>
          </c:tx>
          <c:layout>
            <c:manualLayout>
              <c:xMode val="edge"/>
              <c:yMode val="edge"/>
              <c:x val="6.8363083934675273E-2"/>
              <c:y val="0.33377754587418662"/>
            </c:manualLayout>
          </c:layout>
          <c:overlay val="0"/>
        </c:title>
        <c:numFmt formatCode="General" sourceLinked="1"/>
        <c:majorTickMark val="out"/>
        <c:minorTickMark val="none"/>
        <c:tickLblPos val="nextTo"/>
        <c:txPr>
          <a:bodyPr/>
          <a:lstStyle/>
          <a:p>
            <a:pPr>
              <a:defRPr sz="1000"/>
            </a:pPr>
            <a:endParaRPr lang="da-DK"/>
          </a:p>
        </c:txPr>
        <c:crossAx val="93791360"/>
        <c:crosses val="autoZero"/>
        <c:crossBetween val="midCat"/>
        <c:majorUnit val="1000"/>
      </c:valAx>
      <c:valAx>
        <c:axId val="93795456"/>
        <c:scaling>
          <c:orientation val="minMax"/>
          <c:max val="4"/>
          <c:min val="1"/>
        </c:scaling>
        <c:delete val="0"/>
        <c:axPos val="r"/>
        <c:title>
          <c:tx>
            <c:rich>
              <a:bodyPr rot="-5400000" vert="horz"/>
              <a:lstStyle/>
              <a:p>
                <a:pPr>
                  <a:defRPr sz="900"/>
                </a:pPr>
                <a:r>
                  <a:rPr lang="en-US" sz="900"/>
                  <a:t>Card deck</a:t>
                </a:r>
              </a:p>
            </c:rich>
          </c:tx>
          <c:overlay val="0"/>
        </c:title>
        <c:numFmt formatCode="General" sourceLinked="1"/>
        <c:majorTickMark val="out"/>
        <c:minorTickMark val="none"/>
        <c:tickLblPos val="nextTo"/>
        <c:txPr>
          <a:bodyPr/>
          <a:lstStyle/>
          <a:p>
            <a:pPr>
              <a:defRPr sz="1000"/>
            </a:pPr>
            <a:endParaRPr lang="da-DK"/>
          </a:p>
        </c:txPr>
        <c:crossAx val="93797376"/>
        <c:crosses val="max"/>
        <c:crossBetween val="midCat"/>
        <c:majorUnit val="1"/>
      </c:valAx>
      <c:valAx>
        <c:axId val="93797376"/>
        <c:scaling>
          <c:orientation val="minMax"/>
        </c:scaling>
        <c:delete val="1"/>
        <c:axPos val="b"/>
        <c:numFmt formatCode="General" sourceLinked="1"/>
        <c:majorTickMark val="out"/>
        <c:minorTickMark val="none"/>
        <c:tickLblPos val="none"/>
        <c:crossAx val="93795456"/>
        <c:crosses val="autoZero"/>
        <c:crossBetween val="midCat"/>
      </c:valAx>
    </c:plotArea>
    <c:legend>
      <c:legendPos val="b"/>
      <c:layout>
        <c:manualLayout>
          <c:xMode val="edge"/>
          <c:yMode val="edge"/>
          <c:x val="0.16385505560426777"/>
          <c:y val="0.89535861255201132"/>
          <c:w val="0.67224266299768842"/>
          <c:h val="7.404301892418147E-2"/>
        </c:manualLayout>
      </c:layout>
      <c:overlay val="0"/>
      <c:txPr>
        <a:bodyPr/>
        <a:lstStyle/>
        <a:p>
          <a:pPr>
            <a:defRPr sz="1000"/>
          </a:pPr>
          <a:endParaRPr lang="da-DK"/>
        </a:p>
      </c:txPr>
    </c:legend>
    <c:plotVisOnly val="1"/>
    <c:dispBlanksAs val="gap"/>
    <c:showDLblsOverMax val="0"/>
  </c:chart>
  <c:txPr>
    <a:bodyPr/>
    <a:lstStyle/>
    <a:p>
      <a:pPr>
        <a:defRPr sz="1600"/>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3.xml><?xml version="1.0" encoding="utf-8"?>
<ds:datastoreItem xmlns:ds="http://schemas.openxmlformats.org/officeDocument/2006/customXml" ds:itemID="{2C7F19E2-7AE8-4B07-9A2D-B896E31412F8}"/>
</file>

<file path=customXml/itemProps4.xml><?xml version="1.0" encoding="utf-8"?>
<ds:datastoreItem xmlns:ds="http://schemas.openxmlformats.org/officeDocument/2006/customXml" ds:itemID="{31B4FF42-C3DA-4DBB-B822-826DED14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2606</Words>
  <Characters>13135</Characters>
  <Application>Microsoft Office Word</Application>
  <DocSecurity>0</DocSecurity>
  <Lines>437</Lines>
  <Paragraphs>286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15455</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Beck</dc:creator>
  <cp:keywords/>
  <dc:description/>
  <cp:lastModifiedBy>Sebastian Misfeldt Beck</cp:lastModifiedBy>
  <cp:revision>3</cp:revision>
  <dcterms:created xsi:type="dcterms:W3CDTF">2019-12-03T18:07:00Z</dcterms:created>
  <dcterms:modified xsi:type="dcterms:W3CDTF">2019-12-03T18:13:00Z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144b8bfe-3b8d-3c22-ae6e-ab080bfc3214</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