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5D804" w14:textId="7B8C2329" w:rsidR="00251DAD" w:rsidRDefault="00251DAD" w:rsidP="00700DDA">
      <w:pPr>
        <w:pStyle w:val="Overskrift1"/>
        <w:spacing w:line="360" w:lineRule="auto"/>
        <w:jc w:val="both"/>
        <w:rPr>
          <w:lang w:val="en-GB"/>
        </w:rPr>
      </w:pPr>
      <w:bookmarkStart w:id="0" w:name="_Toc23092986"/>
      <w:r>
        <w:rPr>
          <w:lang w:val="en-GB"/>
        </w:rPr>
        <w:t>Iowa Gambling Task</w:t>
      </w:r>
    </w:p>
    <w:p w14:paraId="7EB2F007" w14:textId="684E6717" w:rsidR="001078C3" w:rsidRPr="00A16966" w:rsidRDefault="006F034F" w:rsidP="00700DDA">
      <w:pPr>
        <w:pStyle w:val="Overskrift1"/>
        <w:spacing w:line="360" w:lineRule="auto"/>
        <w:jc w:val="both"/>
        <w:rPr>
          <w:lang w:val="en-GB"/>
        </w:rPr>
      </w:pPr>
      <w:r w:rsidRPr="00A16966">
        <w:rPr>
          <w:lang w:val="en-GB"/>
        </w:rPr>
        <w:t>Introduction</w:t>
      </w:r>
      <w:bookmarkEnd w:id="0"/>
    </w:p>
    <w:p w14:paraId="3B7E968F" w14:textId="3A263995" w:rsidR="006F034F" w:rsidRPr="00A16966" w:rsidRDefault="008152E5" w:rsidP="00700DDA">
      <w:pPr>
        <w:jc w:val="both"/>
        <w:rPr>
          <w:lang w:val="en-GB"/>
        </w:rPr>
      </w:pPr>
      <w:r w:rsidRPr="00A16966">
        <w:rPr>
          <w:lang w:val="en-GB"/>
        </w:rPr>
        <w:t xml:space="preserve">This </w:t>
      </w:r>
      <w:r w:rsidR="00FC4437" w:rsidRPr="00A16966">
        <w:rPr>
          <w:lang w:val="en-GB"/>
        </w:rPr>
        <w:t xml:space="preserve">paper examines </w:t>
      </w:r>
      <w:r w:rsidR="00EE723D" w:rsidRPr="00A16966">
        <w:rPr>
          <w:lang w:val="en-GB"/>
        </w:rPr>
        <w:t xml:space="preserve">decision-making </w:t>
      </w:r>
      <w:r w:rsidR="0055193E" w:rsidRPr="00A16966">
        <w:rPr>
          <w:lang w:val="en-GB"/>
        </w:rPr>
        <w:t>under imperfect circumstances</w:t>
      </w:r>
      <w:r w:rsidR="000F18FF" w:rsidRPr="00A16966">
        <w:rPr>
          <w:lang w:val="en-GB"/>
        </w:rPr>
        <w:t xml:space="preserve"> – meaning that</w:t>
      </w:r>
      <w:r w:rsidR="001D48E8">
        <w:rPr>
          <w:lang w:val="en-GB"/>
        </w:rPr>
        <w:t>, much like in real-life situations,</w:t>
      </w:r>
      <w:r w:rsidR="000F18FF" w:rsidRPr="00A16966">
        <w:rPr>
          <w:lang w:val="en-GB"/>
        </w:rPr>
        <w:t xml:space="preserve"> not all necessary information is available to the </w:t>
      </w:r>
      <w:r w:rsidR="00FB178F" w:rsidRPr="00A16966">
        <w:rPr>
          <w:lang w:val="en-GB"/>
        </w:rPr>
        <w:t xml:space="preserve">decisionmaker. </w:t>
      </w:r>
      <w:r w:rsidR="00377326" w:rsidRPr="00A16966">
        <w:rPr>
          <w:lang w:val="en-GB"/>
        </w:rPr>
        <w:t xml:space="preserve">Decisions are </w:t>
      </w:r>
      <w:r w:rsidR="00F316F7" w:rsidRPr="00A16966">
        <w:rPr>
          <w:lang w:val="en-GB"/>
        </w:rPr>
        <w:t>examined during</w:t>
      </w:r>
      <w:r w:rsidR="00B64669" w:rsidRPr="00A16966">
        <w:rPr>
          <w:lang w:val="en-GB"/>
        </w:rPr>
        <w:t xml:space="preserve"> two sessions of</w:t>
      </w:r>
      <w:r w:rsidR="00F316F7" w:rsidRPr="00A16966">
        <w:rPr>
          <w:lang w:val="en-GB"/>
        </w:rPr>
        <w:t xml:space="preserve"> a card-drawing game in which participants can cho</w:t>
      </w:r>
      <w:r w:rsidR="00FA5A98" w:rsidRPr="00A16966">
        <w:rPr>
          <w:lang w:val="en-GB"/>
        </w:rPr>
        <w:t>o</w:t>
      </w:r>
      <w:r w:rsidR="00F316F7" w:rsidRPr="00A16966">
        <w:rPr>
          <w:lang w:val="en-GB"/>
        </w:rPr>
        <w:t xml:space="preserve">se </w:t>
      </w:r>
      <w:r w:rsidR="00957E09" w:rsidRPr="00A16966">
        <w:rPr>
          <w:lang w:val="en-GB"/>
        </w:rPr>
        <w:t xml:space="preserve">to draw cards from four different </w:t>
      </w:r>
      <w:r w:rsidR="000C3DFB">
        <w:rPr>
          <w:lang w:val="en-GB"/>
        </w:rPr>
        <w:t>deck</w:t>
      </w:r>
      <w:r w:rsidR="00B64669" w:rsidRPr="00A16966">
        <w:rPr>
          <w:lang w:val="en-GB"/>
        </w:rPr>
        <w:t>s</w:t>
      </w:r>
      <w:r w:rsidR="00FA5A98" w:rsidRPr="00A16966">
        <w:rPr>
          <w:lang w:val="en-GB"/>
        </w:rPr>
        <w:t xml:space="preserve">, which will either reward or </w:t>
      </w:r>
      <w:r w:rsidR="00911F02" w:rsidRPr="00A16966">
        <w:rPr>
          <w:lang w:val="en-GB"/>
        </w:rPr>
        <w:t>punish them with virtual currency</w:t>
      </w:r>
      <w:r w:rsidR="00957E09" w:rsidRPr="00A16966">
        <w:rPr>
          <w:lang w:val="en-GB"/>
        </w:rPr>
        <w:t xml:space="preserve">. Knowing nothing about </w:t>
      </w:r>
      <w:r w:rsidR="00AC3DA4" w:rsidRPr="00A16966">
        <w:rPr>
          <w:lang w:val="en-GB"/>
        </w:rPr>
        <w:t xml:space="preserve">any of the </w:t>
      </w:r>
      <w:r w:rsidR="000C3DFB">
        <w:rPr>
          <w:lang w:val="en-GB"/>
        </w:rPr>
        <w:t>deck</w:t>
      </w:r>
      <w:r w:rsidR="00AC3DA4" w:rsidRPr="00A16966">
        <w:rPr>
          <w:lang w:val="en-GB"/>
        </w:rPr>
        <w:t xml:space="preserve">s, the participants will have to experience </w:t>
      </w:r>
      <w:r w:rsidR="001D4485" w:rsidRPr="00A16966">
        <w:rPr>
          <w:lang w:val="en-GB"/>
        </w:rPr>
        <w:t>the thrill of gain or the agony of loss to inform their</w:t>
      </w:r>
      <w:r w:rsidR="005C4DED">
        <w:rPr>
          <w:lang w:val="en-GB"/>
        </w:rPr>
        <w:t xml:space="preserve"> strategy</w:t>
      </w:r>
      <w:r w:rsidR="00020E9A" w:rsidRPr="00A16966">
        <w:rPr>
          <w:lang w:val="en-GB"/>
        </w:rPr>
        <w:t>.</w:t>
      </w:r>
    </w:p>
    <w:p w14:paraId="49AA8CB6" w14:textId="5C1D9F13" w:rsidR="00077444" w:rsidRPr="00A16966" w:rsidRDefault="00A81AE0" w:rsidP="00DF206A">
      <w:pPr>
        <w:ind w:firstLine="567"/>
        <w:jc w:val="both"/>
        <w:rPr>
          <w:lang w:val="en-GB"/>
        </w:rPr>
      </w:pPr>
      <w:r>
        <w:rPr>
          <w:lang w:val="en-GB"/>
        </w:rPr>
        <w:t>The original authors of</w:t>
      </w:r>
      <w:r w:rsidR="00C655BE" w:rsidRPr="00A16966">
        <w:rPr>
          <w:lang w:val="en-GB"/>
        </w:rPr>
        <w:t xml:space="preserve"> the experiment</w:t>
      </w:r>
      <w:r w:rsidR="003C583F" w:rsidRPr="00A16966">
        <w:rPr>
          <w:lang w:val="en-GB"/>
        </w:rPr>
        <w:t>,</w:t>
      </w:r>
      <w:r w:rsidR="00C655BE" w:rsidRPr="00A16966">
        <w:rPr>
          <w:lang w:val="en-GB"/>
        </w:rPr>
        <w:t xml:space="preserve"> </w:t>
      </w:r>
      <w:r w:rsidR="000B002B" w:rsidRPr="00A16966">
        <w:rPr>
          <w:lang w:val="en-GB"/>
        </w:rPr>
        <w:t>posited that participants</w:t>
      </w:r>
      <w:r w:rsidR="00607F92" w:rsidRPr="00A16966">
        <w:rPr>
          <w:lang w:val="en-GB"/>
        </w:rPr>
        <w:t>, when presented with such complex choices</w:t>
      </w:r>
      <w:r w:rsidR="00C75852" w:rsidRPr="00A16966">
        <w:rPr>
          <w:lang w:val="en-GB"/>
        </w:rPr>
        <w:t>,</w:t>
      </w:r>
      <w:r w:rsidR="00607F92" w:rsidRPr="00A16966">
        <w:rPr>
          <w:lang w:val="en-GB"/>
        </w:rPr>
        <w:t xml:space="preserve"> </w:t>
      </w:r>
      <w:r w:rsidR="000B002B" w:rsidRPr="00A16966">
        <w:rPr>
          <w:lang w:val="en-GB"/>
        </w:rPr>
        <w:t xml:space="preserve">would use somatic markers to </w:t>
      </w:r>
      <w:r w:rsidR="00035C69" w:rsidRPr="00A16966">
        <w:rPr>
          <w:lang w:val="en-GB"/>
        </w:rPr>
        <w:t>inform their decision making</w:t>
      </w:r>
      <w:r w:rsidR="00242212">
        <w:rPr>
          <w:lang w:val="en-GB"/>
        </w:rPr>
        <w:t xml:space="preserve"> </w:t>
      </w:r>
      <w:r w:rsidR="00242212">
        <w:rPr>
          <w:lang w:val="en-GB"/>
        </w:rPr>
        <w:fldChar w:fldCharType="begin" w:fldLock="1"/>
      </w:r>
      <w:r w:rsidR="00431D16">
        <w:rPr>
          <w:lang w:val="en-GB"/>
        </w:rPr>
        <w:instrText>ADDIN CSL_CITATION {"citationItems":[{"id":"ITEM-1","itemData":{"abstract":"Following damage to the ventromedial prefrontal cortex, humans develop a defect in real-life decision-making, which contrasts with otherwise normal intellectual functions. Currently, there is no neuropsychological probe to detect in the laboratory, and the cognitive and neural mechanisms responsible for this defect have resisted explanation. Here, using a novel task which simulates real-life decision-making in the way it factors uncertainty of premises and outcomes, as well as reward and punishment, we find that prefrontal patients, unlike controls, are oblivious to the future consequences of their actions, and seem to be guided by immediate prospects only. This finding offers, for the first time, the possibility of detecting these patients' elusive impairment in the laboratory, measuring it, and investigating its possible causes.","author":[{"dropping-particle":"","family":"Bechara","given":"Antoine","non-dropping-particle":"","parse-names":false,"suffix":""},{"dropping-particle":"","family":"Damasio","given":"Antonio R","non-dropping-particle":"","parse-names":false,"suffix":""},{"dropping-particle":"","family":"Damasio","given":"Hanna","non-dropping-particle":"","parse-names":false,"suffix":""},{"dropping-particle":"","family":"Anderson","given":"Steven W","non-dropping-particle":"","parse-names":false,"suffix":""}],"container-title":"Cognition","id":"ITEM-1","issued":{"date-parts":[["1994"]]},"page":"7-15","title":"Insensitivity to future consequences following damage to human prefrontal cortex","type":"article-journal","volume":"50"},"uris":["http://www.mendeley.com/documents/?uuid=f11c0c92-0c5f-47a8-810e-bc116e25903e"]},{"id":"ITEM-2","itemData":{"author":[{"dropping-particle":"","family":"Dunn","given":"Barnaby D","non-dropping-particle":"","parse-names":false,"suffix":""},{"dropping-particle":"","family":"Galton","given":"Hannah C","non-dropping-particle":"","parse-names":false,"suffix":""},{"dropping-particle":"","family":"Morgan","given":"Ruth","non-dropping-particle":"","parse-names":false,"suffix":""},{"dropping-particle":"","family":"Evans","given":"Davy","non-dropping-particle":"","parse-names":false,"suffix":""},{"dropping-particle":"","family":"Oliver","given":"Clare","non-dropping-particle":"","parse-names":false,"suffix":""},{"dropping-particle":"","family":"Meyer","given":"Marcel","non-dropping-particle":"","parse-names":false,"suffix":""},{"dropping-particle":"","family":"Cusack","given":"Rhodri","non-dropping-particle":"","parse-names":false,"suffix":""},{"dropping-particle":"","family":"Lawrence","given":"Andrew D","non-dropping-particle":"","parse-names":false,"suffix":""},{"dropping-particle":"","family":"Dalgleish","given":"Tim","non-dropping-particle":"","parse-names":false,"suffix":""}],"container-title":"Psychological Science","id":"ITEM-2","issue":"12","issued":{"date-parts":[["2010"]]},"page":"1835-1844","title":"Listening to Your Heart: How Interoception Shapes Emotion Experience and Intuitive","type":"article-journal","volume":"21"},"uris":["http://www.mendeley.com/documents/?uuid=e97e82d3-bfda-4e1c-b738-b1ad76dac765"]}],"mendeley":{"formattedCitation":"(Bechara, Damasio, Damasio, &amp; Anderson, 1994; Dunn et al., 2010)","plainTextFormattedCitation":"(Bechara, Damasio, Damasio, &amp; Anderson, 1994; Dunn et al., 2010)","previouslyFormattedCitation":"(Bechara, Damasio, Damasio, &amp; Anderson, 1994; Dunn et al., 2010)"},"properties":{"noteIndex":0},"schema":"https://github.com/citation-style-language/schema/raw/master/csl-citation.json"}</w:instrText>
      </w:r>
      <w:r w:rsidR="00242212">
        <w:rPr>
          <w:lang w:val="en-GB"/>
        </w:rPr>
        <w:fldChar w:fldCharType="separate"/>
      </w:r>
      <w:r w:rsidR="00242212" w:rsidRPr="00242212">
        <w:rPr>
          <w:noProof/>
          <w:lang w:val="en-GB"/>
        </w:rPr>
        <w:t>(Bechara, Damasio, Damasio, &amp; Anderson, 1994; Dunn et al., 2010)</w:t>
      </w:r>
      <w:r w:rsidR="00242212">
        <w:rPr>
          <w:lang w:val="en-GB"/>
        </w:rPr>
        <w:fldChar w:fldCharType="end"/>
      </w:r>
      <w:r w:rsidR="00E10A15">
        <w:rPr>
          <w:lang w:val="en-GB"/>
        </w:rPr>
        <w:t>.</w:t>
      </w:r>
    </w:p>
    <w:p w14:paraId="749C589C" w14:textId="23A6E713" w:rsidR="00341556" w:rsidRPr="00A16966" w:rsidRDefault="00341556" w:rsidP="00700DDA">
      <w:pPr>
        <w:jc w:val="both"/>
        <w:rPr>
          <w:lang w:val="en-GB"/>
        </w:rPr>
      </w:pPr>
    </w:p>
    <w:p w14:paraId="54FB9C2B" w14:textId="0C117682" w:rsidR="00341556" w:rsidRPr="00A16966" w:rsidRDefault="00C327B5" w:rsidP="00700DDA">
      <w:pPr>
        <w:jc w:val="both"/>
        <w:rPr>
          <w:lang w:val="en-GB"/>
        </w:rPr>
      </w:pPr>
      <w:r>
        <w:rPr>
          <w:lang w:val="en-GB"/>
        </w:rPr>
        <w:t>Participants are expected to</w:t>
      </w:r>
      <w:r w:rsidR="004928EB" w:rsidRPr="00A16966">
        <w:rPr>
          <w:lang w:val="en-GB"/>
        </w:rPr>
        <w:t xml:space="preserve"> learn from the results of their draws and eventually form a strategy</w:t>
      </w:r>
      <w:r w:rsidR="00CE301E" w:rsidRPr="00A16966">
        <w:rPr>
          <w:lang w:val="en-GB"/>
        </w:rPr>
        <w:t>, which would lead</w:t>
      </w:r>
      <w:r w:rsidR="00772769" w:rsidRPr="00A16966">
        <w:rPr>
          <w:lang w:val="en-GB"/>
        </w:rPr>
        <w:t xml:space="preserve"> to </w:t>
      </w:r>
      <w:r w:rsidR="004276D5" w:rsidRPr="00A16966">
        <w:rPr>
          <w:lang w:val="en-GB"/>
        </w:rPr>
        <w:t>more selectively draw</w:t>
      </w:r>
      <w:r>
        <w:rPr>
          <w:lang w:val="en-GB"/>
        </w:rPr>
        <w:t>ing</w:t>
      </w:r>
      <w:r w:rsidR="004276D5" w:rsidRPr="00A16966">
        <w:rPr>
          <w:lang w:val="en-GB"/>
        </w:rPr>
        <w:t xml:space="preserve"> from </w:t>
      </w:r>
      <w:r w:rsidR="00EA1BEA">
        <w:rPr>
          <w:lang w:val="en-GB"/>
        </w:rPr>
        <w:t>profitable</w:t>
      </w:r>
      <w:r w:rsidR="004276D5" w:rsidRPr="00A16966">
        <w:rPr>
          <w:lang w:val="en-GB"/>
        </w:rPr>
        <w:t xml:space="preserve"> </w:t>
      </w:r>
      <w:r w:rsidR="000C3DFB">
        <w:rPr>
          <w:lang w:val="en-GB"/>
        </w:rPr>
        <w:t>deck</w:t>
      </w:r>
      <w:r w:rsidR="004276D5" w:rsidRPr="00A16966">
        <w:rPr>
          <w:lang w:val="en-GB"/>
        </w:rPr>
        <w:t xml:space="preserve">s in session </w:t>
      </w:r>
      <w:r w:rsidR="00772769" w:rsidRPr="00A16966">
        <w:rPr>
          <w:lang w:val="en-GB"/>
        </w:rPr>
        <w:t>two</w:t>
      </w:r>
      <w:r w:rsidR="00B47177" w:rsidRPr="00A16966">
        <w:rPr>
          <w:lang w:val="en-GB"/>
        </w:rPr>
        <w:t xml:space="preserve">, resulting in a higher end capital for </w:t>
      </w:r>
      <w:r w:rsidR="00BB2C7C" w:rsidRPr="00A16966">
        <w:rPr>
          <w:lang w:val="en-GB"/>
        </w:rPr>
        <w:t>this session</w:t>
      </w:r>
      <w:r w:rsidR="00B47177" w:rsidRPr="00A16966">
        <w:rPr>
          <w:lang w:val="en-GB"/>
        </w:rPr>
        <w:t xml:space="preserve"> than the first.</w:t>
      </w:r>
      <w:r w:rsidR="00431D16">
        <w:rPr>
          <w:lang w:val="en-GB"/>
        </w:rPr>
        <w:t xml:space="preserve"> Further, older individuals are expected</w:t>
      </w:r>
      <w:r w:rsidR="00D570A9">
        <w:rPr>
          <w:lang w:val="en-GB"/>
        </w:rPr>
        <w:t xml:space="preserve"> to have a lower risk tolerance, leading to a higher end capital</w:t>
      </w:r>
      <w:r w:rsidR="00431D16">
        <w:rPr>
          <w:lang w:val="en-GB"/>
        </w:rPr>
        <w:t xml:space="preserve"> </w:t>
      </w:r>
      <w:r w:rsidR="00431D16">
        <w:rPr>
          <w:lang w:val="en-GB"/>
        </w:rPr>
        <w:fldChar w:fldCharType="begin" w:fldLock="1"/>
      </w:r>
      <w:r w:rsidR="00D34246">
        <w:rPr>
          <w:lang w:val="en-GB"/>
        </w:rPr>
        <w:instrText>ADDIN CSL_CITATION {"citationItems":[{"id":"ITEM-1","itemData":{"abstract":"MÅ ALDRIG DELES","author":[{"dropping-particle":"","family":"Purves","given":"Dale","non-dropping-particle":"","parse-names":false,"suffix":""},{"dropping-particle":"","family":"Cabeza","given":"Roberto","non-dropping-particle":"","parse-names":false,"suffix":""},{"dropping-particle":"","family":"Huettel","given":"Scott A.","non-dropping-particle":"","parse-names":false,"suffix":""},{"dropping-particle":"","family":"LaBar","given":"Kevin S.","non-dropping-particle":"","parse-names":false,"suffix":""},{"dropping-particle":"","family":"Platt","given":"Michael L.","non-dropping-particle":"","parse-names":false,"suffix":""},{"dropping-particle":"","family":"Woldorff","given":"Marty G.","non-dropping-particle":"","parse-names":false,"suffix":""}],"edition":"2","id":"ITEM-1","issued":{"date-parts":[["2013"]]},"publisher":"Sinauer Associates, Inc., Publishers","publisher-place":"Sunderland, Massachusetts","title":"Principles of Cognitive Neuroscience","type":"book"},"uris":["http://www.mendeley.com/documents/?uuid=0d82e883-c1ee-4174-b840-476900ed37ef"]}],"mendeley":{"formattedCitation":"(Purves et al., 2013)","plainTextFormattedCitation":"(Purves et al., 2013)","previouslyFormattedCitation":"(Purves et al., 2013)"},"properties":{"noteIndex":0},"schema":"https://github.com/citation-style-language/schema/raw/master/csl-citation.json"}</w:instrText>
      </w:r>
      <w:r w:rsidR="00431D16">
        <w:rPr>
          <w:lang w:val="en-GB"/>
        </w:rPr>
        <w:fldChar w:fldCharType="separate"/>
      </w:r>
      <w:r w:rsidR="00431D16" w:rsidRPr="00431D16">
        <w:rPr>
          <w:noProof/>
          <w:lang w:val="en-GB"/>
        </w:rPr>
        <w:t>(Purves et al., 2013)</w:t>
      </w:r>
      <w:r w:rsidR="00431D16">
        <w:rPr>
          <w:lang w:val="en-GB"/>
        </w:rPr>
        <w:fldChar w:fldCharType="end"/>
      </w:r>
      <w:r w:rsidR="00431D16">
        <w:rPr>
          <w:lang w:val="en-GB"/>
        </w:rPr>
        <w:t xml:space="preserve">. </w:t>
      </w:r>
    </w:p>
    <w:p w14:paraId="33F0F61A" w14:textId="3838A956" w:rsidR="001078C3" w:rsidRPr="00A16966" w:rsidRDefault="006F034F" w:rsidP="00700DDA">
      <w:pPr>
        <w:pStyle w:val="Overskrift1"/>
        <w:spacing w:line="360" w:lineRule="auto"/>
        <w:jc w:val="both"/>
        <w:rPr>
          <w:lang w:val="en-GB"/>
        </w:rPr>
      </w:pPr>
      <w:bookmarkStart w:id="1" w:name="_Toc23092987"/>
      <w:r w:rsidRPr="00A16966">
        <w:rPr>
          <w:lang w:val="en-GB"/>
        </w:rPr>
        <w:t>Method</w:t>
      </w:r>
      <w:bookmarkEnd w:id="1"/>
    </w:p>
    <w:p w14:paraId="3E1E1066" w14:textId="12B10C71" w:rsidR="001078C3" w:rsidRPr="00B9335C" w:rsidRDefault="00B9335C" w:rsidP="00700DDA">
      <w:pPr>
        <w:jc w:val="both"/>
        <w:rPr>
          <w:color w:val="000000"/>
          <w:shd w:val="clear" w:color="auto" w:fill="FFFFFF"/>
          <w:lang w:val="en-GB"/>
        </w:rPr>
      </w:pPr>
      <w:r>
        <w:rPr>
          <w:rStyle w:val="normaltextrun"/>
          <w:color w:val="000000"/>
          <w:shd w:val="clear" w:color="auto" w:fill="FFFFFF"/>
          <w:lang w:val="en-GB"/>
        </w:rPr>
        <w:t xml:space="preserve">This experiment included </w:t>
      </w:r>
      <w:r>
        <w:rPr>
          <w:rStyle w:val="normaltextrun"/>
          <w:i/>
          <w:iCs/>
          <w:color w:val="000000"/>
          <w:shd w:val="clear" w:color="auto" w:fill="FFFFFF"/>
          <w:lang w:val="en-GB"/>
        </w:rPr>
        <w:t xml:space="preserve">N </w:t>
      </w:r>
      <w:r>
        <w:rPr>
          <w:rStyle w:val="normaltextrun"/>
          <w:color w:val="000000"/>
          <w:shd w:val="clear" w:color="auto" w:fill="FFFFFF"/>
          <w:lang w:val="en-GB"/>
        </w:rPr>
        <w:t xml:space="preserve">= </w:t>
      </w:r>
      <w:r w:rsidR="00042533">
        <w:rPr>
          <w:rStyle w:val="normaltextrun"/>
          <w:color w:val="000000"/>
          <w:shd w:val="clear" w:color="auto" w:fill="FFFFFF"/>
          <w:lang w:val="en-GB"/>
        </w:rPr>
        <w:t>203</w:t>
      </w:r>
      <w:r>
        <w:rPr>
          <w:rStyle w:val="normaltextrun"/>
          <w:color w:val="000000"/>
          <w:shd w:val="clear" w:color="auto" w:fill="FFFFFF"/>
          <w:lang w:val="en-GB"/>
        </w:rPr>
        <w:t xml:space="preserve"> participants, all psychology students at UCPH. </w:t>
      </w:r>
      <w:r w:rsidR="00440F2E">
        <w:rPr>
          <w:rStyle w:val="normaltextrun"/>
          <w:color w:val="000000"/>
          <w:shd w:val="clear" w:color="auto" w:fill="FFFFFF"/>
          <w:lang w:val="en-GB"/>
        </w:rPr>
        <w:t>S</w:t>
      </w:r>
      <w:r>
        <w:rPr>
          <w:rStyle w:val="normaltextrun"/>
          <w:color w:val="000000"/>
          <w:shd w:val="clear" w:color="auto" w:fill="FFFFFF"/>
          <w:lang w:val="en-GB"/>
        </w:rPr>
        <w:t>ex differences were not considered.</w:t>
      </w:r>
    </w:p>
    <w:p w14:paraId="242EE2BE" w14:textId="4A6F0B50" w:rsidR="00FD0104" w:rsidRDefault="00FD0104" w:rsidP="00700DDA">
      <w:pPr>
        <w:pStyle w:val="Overskrift2"/>
        <w:rPr>
          <w:lang w:val="en-GB"/>
        </w:rPr>
      </w:pPr>
      <w:bookmarkStart w:id="2" w:name="_Toc23092988"/>
      <w:r>
        <w:rPr>
          <w:lang w:val="en-GB"/>
        </w:rPr>
        <w:t>Materials</w:t>
      </w:r>
      <w:bookmarkEnd w:id="2"/>
    </w:p>
    <w:p w14:paraId="5208E54B" w14:textId="4CCF6584" w:rsidR="00D343C8" w:rsidRDefault="00D343C8" w:rsidP="00700DDA">
      <w:pPr>
        <w:pStyle w:val="Listeafsnit"/>
        <w:numPr>
          <w:ilvl w:val="0"/>
          <w:numId w:val="1"/>
        </w:numPr>
        <w:spacing w:line="360" w:lineRule="auto"/>
        <w:rPr>
          <w:lang w:val="en-GB"/>
        </w:rPr>
      </w:pPr>
      <w:r>
        <w:rPr>
          <w:lang w:val="en-GB"/>
        </w:rPr>
        <w:t>Computer</w:t>
      </w:r>
    </w:p>
    <w:p w14:paraId="2111CF89" w14:textId="3B794CEA" w:rsidR="00FD0104" w:rsidRDefault="0057318A" w:rsidP="00700DDA">
      <w:pPr>
        <w:pStyle w:val="Listeafsnit"/>
        <w:numPr>
          <w:ilvl w:val="0"/>
          <w:numId w:val="1"/>
        </w:numPr>
        <w:spacing w:line="360" w:lineRule="auto"/>
        <w:rPr>
          <w:lang w:val="en-GB"/>
        </w:rPr>
      </w:pPr>
      <w:r>
        <w:rPr>
          <w:lang w:val="en-GB"/>
        </w:rPr>
        <w:t>E-Prime®</w:t>
      </w:r>
      <w:r w:rsidR="00C30A05">
        <w:rPr>
          <w:lang w:val="en-GB"/>
        </w:rPr>
        <w:t xml:space="preserve"> </w:t>
      </w:r>
      <w:r w:rsidR="00D223A9">
        <w:rPr>
          <w:lang w:val="en-GB"/>
        </w:rPr>
        <w:t xml:space="preserve">file containing </w:t>
      </w:r>
      <w:r w:rsidR="00184CF4">
        <w:rPr>
          <w:lang w:val="en-GB"/>
        </w:rPr>
        <w:t xml:space="preserve">the Iowa Gambling </w:t>
      </w:r>
      <w:r w:rsidR="00E84C5B">
        <w:rPr>
          <w:lang w:val="en-GB"/>
        </w:rPr>
        <w:t>Task</w:t>
      </w:r>
    </w:p>
    <w:p w14:paraId="53F7582D" w14:textId="77777777" w:rsidR="00221140" w:rsidRDefault="004B552D" w:rsidP="00700DDA">
      <w:pPr>
        <w:pStyle w:val="Listeafsnit"/>
        <w:numPr>
          <w:ilvl w:val="0"/>
          <w:numId w:val="1"/>
        </w:numPr>
        <w:spacing w:line="360" w:lineRule="auto"/>
        <w:rPr>
          <w:lang w:val="en-GB"/>
        </w:rPr>
      </w:pPr>
      <w:r>
        <w:rPr>
          <w:lang w:val="en-GB"/>
        </w:rPr>
        <w:t>Headphones</w:t>
      </w:r>
      <w:r w:rsidR="00221140" w:rsidRPr="00221140">
        <w:rPr>
          <w:lang w:val="en-GB"/>
        </w:rPr>
        <w:t xml:space="preserve"> </w:t>
      </w:r>
    </w:p>
    <w:p w14:paraId="145F1FC0" w14:textId="49B4FA36" w:rsidR="001F6C7B" w:rsidRPr="005A593F" w:rsidRDefault="00221140" w:rsidP="005A593F">
      <w:pPr>
        <w:pStyle w:val="Listeafsnit"/>
        <w:numPr>
          <w:ilvl w:val="0"/>
          <w:numId w:val="1"/>
        </w:numPr>
        <w:spacing w:line="360" w:lineRule="auto"/>
        <w:rPr>
          <w:lang w:val="en-GB"/>
        </w:rPr>
      </w:pPr>
      <w:r>
        <w:rPr>
          <w:lang w:val="en-GB"/>
        </w:rPr>
        <w:t>Questionnaire for reflection</w:t>
      </w:r>
    </w:p>
    <w:p w14:paraId="2D2C4D34" w14:textId="395E8F6B" w:rsidR="005A593F" w:rsidRDefault="005A593F" w:rsidP="005A593F">
      <w:pPr>
        <w:pStyle w:val="Overskrift2"/>
        <w:rPr>
          <w:lang w:val="en-GB"/>
        </w:rPr>
      </w:pPr>
      <w:bookmarkStart w:id="3" w:name="_Toc23092989"/>
      <w:r>
        <w:rPr>
          <w:lang w:val="en-GB"/>
        </w:rPr>
        <w:lastRenderedPageBreak/>
        <w:t>Procedure</w:t>
      </w:r>
      <w:bookmarkEnd w:id="3"/>
    </w:p>
    <w:p w14:paraId="22E826C4" w14:textId="4F321B1C" w:rsidR="000C3DFB" w:rsidRPr="000C3DFB" w:rsidRDefault="000C3DFB" w:rsidP="00700DDA">
      <w:pPr>
        <w:jc w:val="both"/>
        <w:rPr>
          <w:lang w:val="en-GB"/>
        </w:rPr>
      </w:pPr>
      <w:r>
        <w:rPr>
          <w:lang w:val="en-GB"/>
        </w:rPr>
        <w:t xml:space="preserve">On their computer screen, each participant was given a loan of 2000 DKK and options of four decks, A, B, C, and D to draw cards from. Once the participant drew a card, either reward or punishment was administered, and the corresponding sound effect was played. Participants did not know the number of draws they had to make. </w:t>
      </w:r>
      <w:r w:rsidR="00F8476D">
        <w:rPr>
          <w:lang w:val="en-GB"/>
        </w:rPr>
        <w:t>There were</w:t>
      </w:r>
      <w:r>
        <w:rPr>
          <w:lang w:val="en-GB"/>
        </w:rPr>
        <w:t xml:space="preserve"> two sessions of 100 draws </w:t>
      </w:r>
      <w:r w:rsidR="00DE2654">
        <w:rPr>
          <w:lang w:val="en-GB"/>
        </w:rPr>
        <w:t xml:space="preserve">and after each </w:t>
      </w:r>
      <w:r>
        <w:rPr>
          <w:lang w:val="en-GB"/>
        </w:rPr>
        <w:t xml:space="preserve">session, participants were asked to estimate the size of rewards and punishments </w:t>
      </w:r>
      <w:r w:rsidR="00D16372">
        <w:rPr>
          <w:lang w:val="en-GB"/>
        </w:rPr>
        <w:t>as well the frequency of punishment</w:t>
      </w:r>
      <w:r>
        <w:rPr>
          <w:lang w:val="en-GB"/>
        </w:rPr>
        <w:t xml:space="preserve"> </w:t>
      </w:r>
      <w:r w:rsidR="00D16372">
        <w:rPr>
          <w:lang w:val="en-GB"/>
        </w:rPr>
        <w:t>for each deck.</w:t>
      </w:r>
      <w:r w:rsidR="0026518C">
        <w:rPr>
          <w:lang w:val="en-GB"/>
        </w:rPr>
        <w:t xml:space="preserve"> Decks A and B </w:t>
      </w:r>
      <w:r w:rsidR="00790022">
        <w:rPr>
          <w:lang w:val="en-GB"/>
        </w:rPr>
        <w:t xml:space="preserve">were designed to </w:t>
      </w:r>
      <w:r w:rsidR="00F921B3">
        <w:rPr>
          <w:lang w:val="en-GB"/>
        </w:rPr>
        <w:t xml:space="preserve">net </w:t>
      </w:r>
      <w:r w:rsidR="00F6600F">
        <w:rPr>
          <w:lang w:val="en-GB"/>
        </w:rPr>
        <w:t>the same</w:t>
      </w:r>
      <w:r w:rsidR="00D01D5A">
        <w:rPr>
          <w:lang w:val="en-GB"/>
        </w:rPr>
        <w:t xml:space="preserve"> average</w:t>
      </w:r>
      <w:r w:rsidR="00F6600F">
        <w:rPr>
          <w:lang w:val="en-GB"/>
        </w:rPr>
        <w:t xml:space="preserve"> loss while decks C and D were designed to </w:t>
      </w:r>
      <w:r w:rsidR="00D01D5A">
        <w:rPr>
          <w:lang w:val="en-GB"/>
        </w:rPr>
        <w:t>net the same average gain</w:t>
      </w:r>
      <w:r w:rsidR="00F921B3">
        <w:rPr>
          <w:lang w:val="en-GB"/>
        </w:rPr>
        <w:t>.</w:t>
      </w:r>
    </w:p>
    <w:p w14:paraId="4D0C6EEB" w14:textId="266EE80D" w:rsidR="001078C3" w:rsidRPr="00A16966" w:rsidRDefault="00734925" w:rsidP="00700DDA">
      <w:pPr>
        <w:pStyle w:val="Overskrift1"/>
        <w:spacing w:line="360" w:lineRule="auto"/>
        <w:jc w:val="both"/>
        <w:rPr>
          <w:lang w:val="en-GB"/>
        </w:rPr>
      </w:pPr>
      <w:bookmarkStart w:id="4" w:name="_Toc23092990"/>
      <w:r w:rsidRPr="00A16966">
        <w:rPr>
          <w:lang w:val="en-GB"/>
        </w:rPr>
        <w:t>Results</w:t>
      </w:r>
      <w:bookmarkEnd w:id="4"/>
    </w:p>
    <w:p w14:paraId="13C040D6" w14:textId="76A6242F" w:rsidR="00617116" w:rsidRPr="00A16966" w:rsidRDefault="001A203F" w:rsidP="00700DDA">
      <w:pPr>
        <w:jc w:val="both"/>
        <w:rPr>
          <w:lang w:val="en-GB"/>
        </w:rPr>
      </w:pPr>
      <w:r w:rsidRPr="00A16966">
        <w:rPr>
          <w:lang w:val="en-GB"/>
        </w:rPr>
        <w:t xml:space="preserve">Figure 1 </w:t>
      </w:r>
      <w:r w:rsidR="000E05F0" w:rsidRPr="00A16966">
        <w:rPr>
          <w:lang w:val="en-GB"/>
        </w:rPr>
        <w:t xml:space="preserve">displays a </w:t>
      </w:r>
      <w:r w:rsidR="00934E73" w:rsidRPr="00A16966">
        <w:rPr>
          <w:lang w:val="en-GB"/>
        </w:rPr>
        <w:t xml:space="preserve">general </w:t>
      </w:r>
      <w:r w:rsidR="0079444D" w:rsidRPr="00A16966">
        <w:rPr>
          <w:lang w:val="en-GB"/>
        </w:rPr>
        <w:t>preference</w:t>
      </w:r>
      <w:r w:rsidR="00934E73" w:rsidRPr="00A16966">
        <w:rPr>
          <w:lang w:val="en-GB"/>
        </w:rPr>
        <w:t xml:space="preserve"> for the lower</w:t>
      </w:r>
      <w:r w:rsidR="0079444D" w:rsidRPr="00A16966">
        <w:rPr>
          <w:lang w:val="en-GB"/>
        </w:rPr>
        <w:t xml:space="preserve"> risk </w:t>
      </w:r>
      <w:r w:rsidR="000C3DFB">
        <w:rPr>
          <w:lang w:val="en-GB"/>
        </w:rPr>
        <w:t>deck</w:t>
      </w:r>
      <w:r w:rsidR="0079444D" w:rsidRPr="00A16966">
        <w:rPr>
          <w:lang w:val="en-GB"/>
        </w:rPr>
        <w:t xml:space="preserve">s C and D over high risk </w:t>
      </w:r>
      <w:r w:rsidR="000C3DFB">
        <w:rPr>
          <w:lang w:val="en-GB"/>
        </w:rPr>
        <w:t>deck</w:t>
      </w:r>
      <w:r w:rsidR="0079444D" w:rsidRPr="00A16966">
        <w:rPr>
          <w:lang w:val="en-GB"/>
        </w:rPr>
        <w:t xml:space="preserve">s A and </w:t>
      </w:r>
      <w:r w:rsidR="00E60666">
        <w:rPr>
          <w:lang w:val="en-GB"/>
        </w:rPr>
        <w:t>B</w:t>
      </w:r>
      <w:r w:rsidR="0079444D" w:rsidRPr="00A16966">
        <w:rPr>
          <w:lang w:val="en-GB"/>
        </w:rPr>
        <w:t xml:space="preserve">. This preference is even more pronounced in session two, implying that participants have learnt from </w:t>
      </w:r>
      <w:r w:rsidR="00D90269" w:rsidRPr="00A16966">
        <w:rPr>
          <w:lang w:val="en-GB"/>
        </w:rPr>
        <w:t xml:space="preserve">the results of their draws in session </w:t>
      </w:r>
      <w:r w:rsidR="00C817CA" w:rsidRPr="00A16966">
        <w:rPr>
          <w:lang w:val="en-GB"/>
        </w:rPr>
        <w:t>one, now playing more carefully.</w:t>
      </w:r>
    </w:p>
    <w:p w14:paraId="70D3DA98" w14:textId="40D17AF6" w:rsidR="002D7DAA" w:rsidRDefault="00E32E1C" w:rsidP="00700DDA">
      <w:pPr>
        <w:keepNext/>
        <w:autoSpaceDE w:val="0"/>
        <w:autoSpaceDN w:val="0"/>
        <w:adjustRightInd w:val="0"/>
        <w:jc w:val="both"/>
      </w:pPr>
      <w:r w:rsidRPr="001E4388">
        <w:rPr>
          <w:noProof/>
        </w:rPr>
        <w:drawing>
          <wp:inline distT="0" distB="0" distL="0" distR="0" wp14:anchorId="3F670AC8" wp14:editId="264627E1">
            <wp:extent cx="6120130" cy="3582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82035"/>
                    </a:xfrm>
                    <a:prstGeom prst="rect">
                      <a:avLst/>
                    </a:prstGeom>
                  </pic:spPr>
                </pic:pic>
              </a:graphicData>
            </a:graphic>
          </wp:inline>
        </w:drawing>
      </w:r>
    </w:p>
    <w:p w14:paraId="45B99A41" w14:textId="720D36BA" w:rsidR="00D607AE" w:rsidRPr="00D753E0" w:rsidRDefault="002D7DAA" w:rsidP="00700DDA">
      <w:pPr>
        <w:pStyle w:val="Billedtekst"/>
        <w:spacing w:line="360" w:lineRule="auto"/>
        <w:jc w:val="both"/>
        <w:rPr>
          <w:lang w:val="en-US"/>
        </w:rPr>
      </w:pPr>
      <w:r w:rsidRPr="002D7DAA">
        <w:rPr>
          <w:lang w:val="en-US"/>
        </w:rPr>
        <w:t xml:space="preserve">Figure </w:t>
      </w:r>
      <w:r>
        <w:fldChar w:fldCharType="begin"/>
      </w:r>
      <w:r w:rsidRPr="002D7DAA">
        <w:rPr>
          <w:lang w:val="en-US"/>
        </w:rPr>
        <w:instrText xml:space="preserve"> SEQ Figure \* ARABIC </w:instrText>
      </w:r>
      <w:r>
        <w:fldChar w:fldCharType="separate"/>
      </w:r>
      <w:r w:rsidR="007C7324">
        <w:rPr>
          <w:noProof/>
          <w:lang w:val="en-US"/>
        </w:rPr>
        <w:t>1</w:t>
      </w:r>
      <w:r>
        <w:fldChar w:fldCharType="end"/>
      </w:r>
      <w:r w:rsidRPr="002D7DAA">
        <w:rPr>
          <w:lang w:val="en-US"/>
        </w:rPr>
        <w:t xml:space="preserve">: Bar chart showing mean number of draws from each </w:t>
      </w:r>
      <w:r w:rsidR="000C3DFB">
        <w:rPr>
          <w:lang w:val="en-US"/>
        </w:rPr>
        <w:t>deck</w:t>
      </w:r>
      <w:r w:rsidRPr="002D7DAA">
        <w:rPr>
          <w:lang w:val="en-US"/>
        </w:rPr>
        <w:t xml:space="preserve"> in both sessions</w:t>
      </w:r>
    </w:p>
    <w:p w14:paraId="1B97A764" w14:textId="02E75BD0" w:rsidR="007B45BC" w:rsidRDefault="00225B85" w:rsidP="007B45BC">
      <w:pPr>
        <w:pStyle w:val="Overskrift2"/>
        <w:rPr>
          <w:lang w:val="en-GB"/>
        </w:rPr>
      </w:pPr>
      <w:r>
        <w:rPr>
          <w:lang w:val="en-GB"/>
        </w:rPr>
        <w:t>Learning to play safe</w:t>
      </w:r>
    </w:p>
    <w:p w14:paraId="7C5F8DDF" w14:textId="6F5B45F4" w:rsidR="00D607AE" w:rsidRPr="00A16966" w:rsidRDefault="00A906A6" w:rsidP="00700DDA">
      <w:pPr>
        <w:autoSpaceDE w:val="0"/>
        <w:autoSpaceDN w:val="0"/>
        <w:adjustRightInd w:val="0"/>
        <w:jc w:val="both"/>
        <w:rPr>
          <w:lang w:val="en-GB"/>
        </w:rPr>
      </w:pPr>
      <w:r w:rsidRPr="00A16966">
        <w:rPr>
          <w:lang w:val="en-GB"/>
        </w:rPr>
        <w:t>To test whether these differences are significant</w:t>
      </w:r>
      <w:r w:rsidR="0011537A" w:rsidRPr="00A16966">
        <w:rPr>
          <w:lang w:val="en-GB"/>
        </w:rPr>
        <w:t xml:space="preserve">, </w:t>
      </w:r>
      <w:r w:rsidR="007F7693" w:rsidRPr="00A16966">
        <w:rPr>
          <w:lang w:val="en-GB"/>
        </w:rPr>
        <w:t>a repeated measures ANOVA was conducted</w:t>
      </w:r>
      <w:r w:rsidR="007E6474" w:rsidRPr="00A16966">
        <w:rPr>
          <w:lang w:val="en-GB"/>
        </w:rPr>
        <w:t>.</w:t>
      </w:r>
    </w:p>
    <w:p w14:paraId="378CF6DB" w14:textId="571726D7" w:rsidR="00DB3CE4" w:rsidRDefault="00F14ECA" w:rsidP="00DF206A">
      <w:pPr>
        <w:ind w:firstLine="567"/>
        <w:jc w:val="both"/>
        <w:rPr>
          <w:rFonts w:eastAsiaTheme="minorEastAsia"/>
          <w:lang w:val="en-US"/>
        </w:rPr>
      </w:pPr>
      <w:r>
        <w:rPr>
          <w:lang w:val="en-US"/>
        </w:rPr>
        <w:lastRenderedPageBreak/>
        <w:t xml:space="preserve">The test </w:t>
      </w:r>
      <w:r w:rsidR="00DB3CE4" w:rsidRPr="00B52B6D">
        <w:rPr>
          <w:lang w:val="en-US"/>
        </w:rPr>
        <w:t xml:space="preserve">showed </w:t>
      </w:r>
      <w:r w:rsidR="00DB3CE4">
        <w:rPr>
          <w:lang w:val="en-US"/>
        </w:rPr>
        <w:t xml:space="preserve">a significant main effect of deck on number of draws, </w:t>
      </w:r>
      <w:r w:rsidR="00DB3CE4">
        <w:rPr>
          <w:i/>
          <w:iCs/>
          <w:lang w:val="en-US"/>
        </w:rPr>
        <w:t>F</w:t>
      </w:r>
      <w:r w:rsidR="00DB3CE4">
        <w:rPr>
          <w:lang w:val="en-US"/>
        </w:rPr>
        <w:t xml:space="preserve">(1.96, 396.68) = 94.38, </w:t>
      </w:r>
      <w:r w:rsidR="00DB3CE4">
        <w:rPr>
          <w:i/>
          <w:iCs/>
          <w:lang w:val="en-US"/>
        </w:rPr>
        <w:t>p</w:t>
      </w:r>
      <w:r w:rsidR="00DB3CE4">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DB3CE4">
        <w:rPr>
          <w:rFonts w:eastAsiaTheme="minorEastAsia"/>
          <w:lang w:val="en-US"/>
        </w:rPr>
        <w:t xml:space="preserve"> = .32 (Huyhn-Feldt corrected), and a significant interaction between session and deck, </w:t>
      </w:r>
      <w:r w:rsidR="00DB3CE4">
        <w:rPr>
          <w:rFonts w:eastAsiaTheme="minorEastAsia"/>
          <w:i/>
          <w:iCs/>
          <w:lang w:val="en-US"/>
        </w:rPr>
        <w:t>F</w:t>
      </w:r>
      <w:r w:rsidR="00DB3CE4">
        <w:rPr>
          <w:rFonts w:eastAsiaTheme="minorEastAsia"/>
          <w:lang w:val="en-US"/>
        </w:rPr>
        <w:t xml:space="preserve">(1.94, 392.26) = 61.94, </w:t>
      </w:r>
      <w:r w:rsidR="00DB3CE4">
        <w:rPr>
          <w:rFonts w:eastAsiaTheme="minorEastAsia"/>
          <w:i/>
          <w:iCs/>
          <w:lang w:val="en-US"/>
        </w:rPr>
        <w:t>p</w:t>
      </w:r>
      <w:r w:rsidR="00DB3CE4">
        <w:rPr>
          <w:rFonts w:eastAsiaTheme="minorEastAsia"/>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DB3CE4">
        <w:rPr>
          <w:rFonts w:eastAsiaTheme="minorEastAsia"/>
          <w:lang w:val="en-US"/>
        </w:rPr>
        <w:t xml:space="preserve"> = .24 (Huyhn-Feldt corrected)</w:t>
      </w:r>
      <w:r w:rsidR="0025214C">
        <w:rPr>
          <w:rFonts w:eastAsiaTheme="minorEastAsia"/>
          <w:lang w:val="en-US"/>
        </w:rPr>
        <w:t>.</w:t>
      </w:r>
    </w:p>
    <w:p w14:paraId="0117F5CE" w14:textId="0F3D8634" w:rsidR="009012E1" w:rsidRPr="00DB3CE4" w:rsidRDefault="009012E1" w:rsidP="00700DDA">
      <w:pPr>
        <w:jc w:val="both"/>
        <w:rPr>
          <w:rFonts w:eastAsiaTheme="minorEastAsia"/>
          <w:lang w:val="en-US"/>
        </w:rPr>
      </w:pPr>
    </w:p>
    <w:p w14:paraId="64A2E6C6" w14:textId="1BF8C17D" w:rsidR="00D607AE" w:rsidRDefault="002F4043" w:rsidP="00700DDA">
      <w:pPr>
        <w:jc w:val="both"/>
        <w:rPr>
          <w:lang w:val="en-GB"/>
        </w:rPr>
      </w:pPr>
      <w:r w:rsidRPr="00A16966">
        <w:rPr>
          <w:lang w:val="en-GB"/>
        </w:rPr>
        <w:t>The</w:t>
      </w:r>
      <w:r w:rsidR="00A71E6D" w:rsidRPr="00A16966">
        <w:rPr>
          <w:lang w:val="en-GB"/>
        </w:rPr>
        <w:t xml:space="preserve"> significant effect of </w:t>
      </w:r>
      <w:r w:rsidR="00FD6B20">
        <w:rPr>
          <w:lang w:val="en-GB"/>
        </w:rPr>
        <w:t>deck</w:t>
      </w:r>
      <w:r w:rsidR="00A71E6D" w:rsidRPr="00A16966">
        <w:rPr>
          <w:lang w:val="en-GB"/>
        </w:rPr>
        <w:t xml:space="preserve"> means that participants learn</w:t>
      </w:r>
      <w:r w:rsidR="00881A00">
        <w:rPr>
          <w:lang w:val="en-GB"/>
        </w:rPr>
        <w:t>t</w:t>
      </w:r>
      <w:r w:rsidR="00A71E6D" w:rsidRPr="00A16966">
        <w:rPr>
          <w:lang w:val="en-GB"/>
        </w:rPr>
        <w:t xml:space="preserve"> during the experiment. Further, the interaction between </w:t>
      </w:r>
      <w:r w:rsidR="000C3DFB">
        <w:rPr>
          <w:lang w:val="en-GB"/>
        </w:rPr>
        <w:t>deck</w:t>
      </w:r>
      <w:r w:rsidR="00124103" w:rsidRPr="00A16966">
        <w:rPr>
          <w:lang w:val="en-GB"/>
        </w:rPr>
        <w:t xml:space="preserve"> and session implies that learning is carried across from one session to the next and that participants can skip the initial </w:t>
      </w:r>
      <w:r w:rsidR="00D5643A">
        <w:rPr>
          <w:lang w:val="en-GB"/>
        </w:rPr>
        <w:t>testing</w:t>
      </w:r>
      <w:r w:rsidR="000C44FA" w:rsidRPr="00BA068E">
        <w:rPr>
          <w:lang w:val="en-GB"/>
        </w:rPr>
        <w:t xml:space="preserve"> phase</w:t>
      </w:r>
      <w:r w:rsidR="000C44FA" w:rsidRPr="00A16966">
        <w:rPr>
          <w:lang w:val="en-GB"/>
        </w:rPr>
        <w:t xml:space="preserve"> in session two.</w:t>
      </w:r>
    </w:p>
    <w:p w14:paraId="29E38F37" w14:textId="77777777" w:rsidR="00351007" w:rsidRDefault="00351007" w:rsidP="00700DDA">
      <w:pPr>
        <w:jc w:val="both"/>
        <w:rPr>
          <w:lang w:val="en-GB"/>
        </w:rPr>
      </w:pPr>
    </w:p>
    <w:p w14:paraId="3B96425E" w14:textId="78BE226A" w:rsidR="004F49BF" w:rsidRDefault="005B66CB" w:rsidP="00700DDA">
      <w:pPr>
        <w:jc w:val="both"/>
        <w:rPr>
          <w:lang w:val="en-GB"/>
        </w:rPr>
      </w:pPr>
      <w:r w:rsidRPr="00A16966">
        <w:rPr>
          <w:lang w:val="en-GB"/>
        </w:rPr>
        <w:t>To determine whether participants</w:t>
      </w:r>
      <w:r w:rsidR="00695B70">
        <w:rPr>
          <w:lang w:val="en-GB"/>
        </w:rPr>
        <w:t xml:space="preserve"> generally </w:t>
      </w:r>
      <w:r w:rsidR="007D7802">
        <w:rPr>
          <w:lang w:val="en-GB"/>
        </w:rPr>
        <w:t xml:space="preserve">preferred </w:t>
      </w:r>
      <w:r w:rsidR="00695B70">
        <w:rPr>
          <w:lang w:val="en-GB"/>
        </w:rPr>
        <w:t>the pro</w:t>
      </w:r>
      <w:r w:rsidR="00F34F4A">
        <w:rPr>
          <w:lang w:val="en-GB"/>
        </w:rPr>
        <w:t>fitable decks</w:t>
      </w:r>
      <w:r w:rsidR="00CD1AA6">
        <w:rPr>
          <w:lang w:val="en-GB"/>
        </w:rPr>
        <w:t>,</w:t>
      </w:r>
      <w:r w:rsidR="00A16966">
        <w:rPr>
          <w:lang w:val="en-GB"/>
        </w:rPr>
        <w:t xml:space="preserve"> </w:t>
      </w:r>
      <w:r w:rsidR="00A6118B">
        <w:rPr>
          <w:lang w:val="en-GB"/>
        </w:rPr>
        <w:t>paired-samples</w:t>
      </w:r>
      <w:r w:rsidR="00EE0EE3">
        <w:rPr>
          <w:lang w:val="en-GB"/>
        </w:rPr>
        <w:t xml:space="preserve"> </w:t>
      </w:r>
      <w:r w:rsidR="00EE0EE3">
        <w:rPr>
          <w:i/>
          <w:iCs/>
          <w:lang w:val="en-GB"/>
        </w:rPr>
        <w:t>t</w:t>
      </w:r>
      <w:r w:rsidR="00EE0EE3">
        <w:rPr>
          <w:lang w:val="en-GB"/>
        </w:rPr>
        <w:t>-test</w:t>
      </w:r>
      <w:r w:rsidR="003A18B5">
        <w:rPr>
          <w:lang w:val="en-GB"/>
        </w:rPr>
        <w:t>s</w:t>
      </w:r>
      <w:r w:rsidR="00EE0EE3">
        <w:rPr>
          <w:lang w:val="en-GB"/>
        </w:rPr>
        <w:t xml:space="preserve"> w</w:t>
      </w:r>
      <w:r w:rsidR="003A18B5">
        <w:rPr>
          <w:lang w:val="en-GB"/>
        </w:rPr>
        <w:t>ere</w:t>
      </w:r>
      <w:r w:rsidR="00EE0EE3">
        <w:rPr>
          <w:lang w:val="en-GB"/>
        </w:rPr>
        <w:t xml:space="preserve"> conducted </w:t>
      </w:r>
      <w:r w:rsidR="00701F78">
        <w:rPr>
          <w:lang w:val="en-GB"/>
        </w:rPr>
        <w:t xml:space="preserve">comparing </w:t>
      </w:r>
      <w:r w:rsidR="001B193B">
        <w:rPr>
          <w:lang w:val="en-GB"/>
        </w:rPr>
        <w:t>decks</w:t>
      </w:r>
      <w:r w:rsidR="00701F78">
        <w:rPr>
          <w:lang w:val="en-GB"/>
        </w:rPr>
        <w:t xml:space="preserve"> A+B with C+D.</w:t>
      </w:r>
      <w:r w:rsidR="00FA7D19">
        <w:rPr>
          <w:lang w:val="en-GB"/>
        </w:rPr>
        <w:t xml:space="preserve"> The test was also run comparing end capital</w:t>
      </w:r>
      <w:r w:rsidR="00377E77">
        <w:rPr>
          <w:lang w:val="en-GB"/>
        </w:rPr>
        <w:t xml:space="preserve"> for the two sessions</w:t>
      </w:r>
      <w:r w:rsidR="00FA7D19">
        <w:rPr>
          <w:lang w:val="en-GB"/>
        </w:rPr>
        <w:t>.</w:t>
      </w:r>
      <w:r w:rsidR="0014745B">
        <w:rPr>
          <w:lang w:val="en-GB"/>
        </w:rPr>
        <w:t xml:space="preserve"> Results and descriptive statistics are displayed in </w:t>
      </w:r>
      <w:r w:rsidR="00310E39">
        <w:rPr>
          <w:lang w:val="en-GB"/>
        </w:rPr>
        <w:t>table 1.</w:t>
      </w:r>
    </w:p>
    <w:p w14:paraId="1318A630" w14:textId="07CA05A8" w:rsidR="00D607AE" w:rsidRPr="00DA24C6" w:rsidRDefault="00D607AE" w:rsidP="00700DDA">
      <w:pPr>
        <w:jc w:val="both"/>
        <w:rPr>
          <w:b/>
          <w:bCs/>
          <w:lang w:val="en-GB"/>
        </w:rPr>
      </w:pPr>
    </w:p>
    <w:tbl>
      <w:tblPr>
        <w:tblStyle w:val="Tabel-Gitter"/>
        <w:tblW w:w="9785" w:type="dxa"/>
        <w:tblInd w:w="421" w:type="dxa"/>
        <w:tblLayout w:type="fixed"/>
        <w:tblLook w:val="04A0" w:firstRow="1" w:lastRow="0" w:firstColumn="1" w:lastColumn="0" w:noHBand="0" w:noVBand="1"/>
      </w:tblPr>
      <w:tblGrid>
        <w:gridCol w:w="1240"/>
        <w:gridCol w:w="279"/>
        <w:gridCol w:w="1030"/>
        <w:gridCol w:w="284"/>
        <w:gridCol w:w="849"/>
        <w:gridCol w:w="147"/>
        <w:gridCol w:w="137"/>
        <w:gridCol w:w="147"/>
        <w:gridCol w:w="844"/>
        <w:gridCol w:w="147"/>
        <w:gridCol w:w="136"/>
        <w:gridCol w:w="147"/>
        <w:gridCol w:w="845"/>
        <w:gridCol w:w="288"/>
        <w:gridCol w:w="283"/>
        <w:gridCol w:w="568"/>
        <w:gridCol w:w="283"/>
        <w:gridCol w:w="283"/>
        <w:gridCol w:w="568"/>
        <w:gridCol w:w="283"/>
        <w:gridCol w:w="283"/>
        <w:gridCol w:w="426"/>
        <w:gridCol w:w="288"/>
      </w:tblGrid>
      <w:tr w:rsidR="000C16CC" w:rsidRPr="00447485" w14:paraId="6D138E36" w14:textId="77777777" w:rsidTr="00B52DF9">
        <w:trPr>
          <w:gridAfter w:val="1"/>
          <w:wAfter w:w="288" w:type="dxa"/>
        </w:trPr>
        <w:tc>
          <w:tcPr>
            <w:tcW w:w="9497" w:type="dxa"/>
            <w:gridSpan w:val="22"/>
            <w:tcBorders>
              <w:top w:val="nil"/>
              <w:left w:val="nil"/>
              <w:right w:val="nil"/>
            </w:tcBorders>
          </w:tcPr>
          <w:p w14:paraId="2A2157B2" w14:textId="77777777" w:rsidR="000C16CC" w:rsidRPr="005E42B2" w:rsidRDefault="000C16CC" w:rsidP="00700DDA">
            <w:pPr>
              <w:pStyle w:val="Listeafsnit"/>
              <w:spacing w:line="276" w:lineRule="auto"/>
              <w:ind w:left="0"/>
              <w:rPr>
                <w:lang w:val="en-US"/>
              </w:rPr>
            </w:pPr>
            <w:r w:rsidRPr="005E42B2">
              <w:rPr>
                <w:lang w:val="en-US"/>
              </w:rPr>
              <w:t>Table 1:</w:t>
            </w:r>
          </w:p>
          <w:p w14:paraId="5C2E08C6" w14:textId="7251E866" w:rsidR="000C16CC" w:rsidRPr="00100FB8" w:rsidRDefault="000C16CC" w:rsidP="00700DDA">
            <w:pPr>
              <w:pStyle w:val="Listeafsnit"/>
              <w:spacing w:line="276" w:lineRule="auto"/>
              <w:ind w:left="0"/>
              <w:rPr>
                <w:i/>
                <w:lang w:val="en-US"/>
              </w:rPr>
            </w:pPr>
            <w:r w:rsidRPr="00100FB8">
              <w:rPr>
                <w:i/>
                <w:lang w:val="en-US"/>
              </w:rPr>
              <w:t xml:space="preserve">Mean share of draws from </w:t>
            </w:r>
            <w:r w:rsidR="00B7084C">
              <w:rPr>
                <w:i/>
                <w:lang w:val="en-US"/>
              </w:rPr>
              <w:t>decks</w:t>
            </w:r>
            <w:r w:rsidRPr="00100FB8">
              <w:rPr>
                <w:i/>
                <w:lang w:val="en-US"/>
              </w:rPr>
              <w:t xml:space="preserve"> A&amp;B vs C&amp;D, and end capital</w:t>
            </w:r>
          </w:p>
        </w:tc>
      </w:tr>
      <w:tr w:rsidR="000C16CC" w14:paraId="3F4FF342" w14:textId="77777777" w:rsidTr="00B52DF9">
        <w:trPr>
          <w:gridAfter w:val="1"/>
          <w:wAfter w:w="288" w:type="dxa"/>
        </w:trPr>
        <w:tc>
          <w:tcPr>
            <w:tcW w:w="1241" w:type="dxa"/>
            <w:tcBorders>
              <w:left w:val="nil"/>
              <w:bottom w:val="nil"/>
              <w:right w:val="nil"/>
            </w:tcBorders>
          </w:tcPr>
          <w:p w14:paraId="2243983E" w14:textId="77777777" w:rsidR="000C16CC" w:rsidRPr="005E42B2" w:rsidRDefault="000C16CC" w:rsidP="00700DDA">
            <w:pPr>
              <w:pStyle w:val="Listeafsnit"/>
              <w:spacing w:line="276" w:lineRule="auto"/>
              <w:ind w:left="0"/>
              <w:jc w:val="center"/>
              <w:rPr>
                <w:lang w:val="en-US"/>
              </w:rPr>
            </w:pPr>
          </w:p>
        </w:tc>
        <w:tc>
          <w:tcPr>
            <w:tcW w:w="279" w:type="dxa"/>
            <w:tcBorders>
              <w:left w:val="nil"/>
              <w:bottom w:val="nil"/>
              <w:right w:val="nil"/>
            </w:tcBorders>
          </w:tcPr>
          <w:p w14:paraId="16344849" w14:textId="77777777" w:rsidR="000C16CC" w:rsidRPr="005E42B2" w:rsidRDefault="000C16CC" w:rsidP="00700DDA">
            <w:pPr>
              <w:pStyle w:val="Listeafsnit"/>
              <w:spacing w:line="276" w:lineRule="auto"/>
              <w:ind w:left="0"/>
              <w:rPr>
                <w:lang w:val="en-US"/>
              </w:rPr>
            </w:pPr>
          </w:p>
        </w:tc>
        <w:tc>
          <w:tcPr>
            <w:tcW w:w="1031" w:type="dxa"/>
            <w:tcBorders>
              <w:left w:val="nil"/>
              <w:bottom w:val="single" w:sz="4" w:space="0" w:color="auto"/>
              <w:right w:val="nil"/>
            </w:tcBorders>
          </w:tcPr>
          <w:p w14:paraId="6EC5D01D" w14:textId="77777777" w:rsidR="000C16CC" w:rsidRPr="00051F31" w:rsidRDefault="000C16CC" w:rsidP="00700DDA">
            <w:pPr>
              <w:pStyle w:val="Listeafsnit"/>
              <w:spacing w:line="276" w:lineRule="auto"/>
              <w:ind w:left="0"/>
              <w:jc w:val="center"/>
              <w:rPr>
                <w:i/>
              </w:rPr>
            </w:pPr>
            <w:r w:rsidRPr="00051F31">
              <w:rPr>
                <w:i/>
              </w:rPr>
              <w:t>M</w:t>
            </w:r>
          </w:p>
        </w:tc>
        <w:tc>
          <w:tcPr>
            <w:tcW w:w="284" w:type="dxa"/>
            <w:tcBorders>
              <w:left w:val="nil"/>
              <w:bottom w:val="single" w:sz="4" w:space="0" w:color="auto"/>
              <w:right w:val="nil"/>
            </w:tcBorders>
          </w:tcPr>
          <w:p w14:paraId="35CDE032" w14:textId="77777777" w:rsidR="000C16CC" w:rsidRPr="00051F31" w:rsidRDefault="000C16CC" w:rsidP="00700DDA">
            <w:pPr>
              <w:pStyle w:val="Listeafsnit"/>
              <w:spacing w:line="276" w:lineRule="auto"/>
              <w:ind w:left="0"/>
              <w:jc w:val="center"/>
              <w:rPr>
                <w:i/>
              </w:rPr>
            </w:pPr>
          </w:p>
        </w:tc>
        <w:tc>
          <w:tcPr>
            <w:tcW w:w="850" w:type="dxa"/>
            <w:tcBorders>
              <w:left w:val="nil"/>
              <w:bottom w:val="single" w:sz="4" w:space="0" w:color="auto"/>
              <w:right w:val="nil"/>
            </w:tcBorders>
          </w:tcPr>
          <w:p w14:paraId="361EBB27" w14:textId="66F834AF" w:rsidR="000C16CC" w:rsidRPr="00051F31" w:rsidRDefault="000C16CC" w:rsidP="00700DDA">
            <w:pPr>
              <w:pStyle w:val="Listeafsnit"/>
              <w:spacing w:line="276" w:lineRule="auto"/>
              <w:ind w:left="0"/>
              <w:jc w:val="center"/>
              <w:rPr>
                <w:i/>
              </w:rPr>
            </w:pPr>
            <w:r w:rsidRPr="00051F31">
              <w:rPr>
                <w:i/>
              </w:rPr>
              <w:t>SD</w:t>
            </w:r>
          </w:p>
        </w:tc>
        <w:tc>
          <w:tcPr>
            <w:tcW w:w="284" w:type="dxa"/>
            <w:gridSpan w:val="2"/>
            <w:tcBorders>
              <w:top w:val="nil"/>
              <w:left w:val="nil"/>
              <w:bottom w:val="nil"/>
              <w:right w:val="nil"/>
            </w:tcBorders>
          </w:tcPr>
          <w:p w14:paraId="53FE8A9A" w14:textId="77777777" w:rsidR="000C16CC" w:rsidRPr="00051F31" w:rsidRDefault="000C16CC" w:rsidP="00700DDA">
            <w:pPr>
              <w:pStyle w:val="Listeafsnit"/>
              <w:spacing w:line="276" w:lineRule="auto"/>
              <w:ind w:left="0"/>
              <w:jc w:val="center"/>
              <w:rPr>
                <w:i/>
              </w:rPr>
            </w:pPr>
          </w:p>
        </w:tc>
        <w:tc>
          <w:tcPr>
            <w:tcW w:w="992" w:type="dxa"/>
            <w:gridSpan w:val="2"/>
            <w:tcBorders>
              <w:left w:val="nil"/>
              <w:bottom w:val="single" w:sz="4" w:space="0" w:color="auto"/>
              <w:right w:val="nil"/>
            </w:tcBorders>
          </w:tcPr>
          <w:p w14:paraId="67182211" w14:textId="77777777" w:rsidR="000C16CC" w:rsidRPr="00051F31" w:rsidRDefault="000C16CC" w:rsidP="00700DDA">
            <w:pPr>
              <w:pStyle w:val="Listeafsnit"/>
              <w:spacing w:line="276" w:lineRule="auto"/>
              <w:ind w:left="0"/>
              <w:jc w:val="center"/>
              <w:rPr>
                <w:i/>
              </w:rPr>
            </w:pPr>
            <w:r w:rsidRPr="00051F31">
              <w:rPr>
                <w:i/>
              </w:rPr>
              <w:t>M</w:t>
            </w:r>
          </w:p>
        </w:tc>
        <w:tc>
          <w:tcPr>
            <w:tcW w:w="283" w:type="dxa"/>
            <w:gridSpan w:val="2"/>
            <w:tcBorders>
              <w:left w:val="nil"/>
              <w:bottom w:val="single" w:sz="4" w:space="0" w:color="auto"/>
              <w:right w:val="nil"/>
            </w:tcBorders>
          </w:tcPr>
          <w:p w14:paraId="23DFC423" w14:textId="77777777" w:rsidR="000C16CC" w:rsidRPr="00051F31" w:rsidRDefault="000C16CC" w:rsidP="00700DDA">
            <w:pPr>
              <w:pStyle w:val="Listeafsnit"/>
              <w:spacing w:line="276" w:lineRule="auto"/>
              <w:ind w:left="0"/>
              <w:jc w:val="center"/>
              <w:rPr>
                <w:i/>
              </w:rPr>
            </w:pPr>
          </w:p>
        </w:tc>
        <w:tc>
          <w:tcPr>
            <w:tcW w:w="993" w:type="dxa"/>
            <w:gridSpan w:val="2"/>
            <w:tcBorders>
              <w:left w:val="nil"/>
              <w:bottom w:val="single" w:sz="4" w:space="0" w:color="auto"/>
              <w:right w:val="nil"/>
            </w:tcBorders>
          </w:tcPr>
          <w:p w14:paraId="5A744403" w14:textId="2E02AE85" w:rsidR="000C16CC" w:rsidRPr="00051F31" w:rsidRDefault="000C16CC" w:rsidP="00700DDA">
            <w:pPr>
              <w:pStyle w:val="Listeafsnit"/>
              <w:spacing w:line="276" w:lineRule="auto"/>
              <w:ind w:left="0"/>
              <w:jc w:val="center"/>
              <w:rPr>
                <w:i/>
              </w:rPr>
            </w:pPr>
            <w:r w:rsidRPr="00051F31">
              <w:rPr>
                <w:i/>
              </w:rPr>
              <w:t>SD</w:t>
            </w:r>
          </w:p>
        </w:tc>
        <w:tc>
          <w:tcPr>
            <w:tcW w:w="283" w:type="dxa"/>
            <w:tcBorders>
              <w:left w:val="nil"/>
              <w:bottom w:val="nil"/>
              <w:right w:val="nil"/>
            </w:tcBorders>
          </w:tcPr>
          <w:p w14:paraId="39620400" w14:textId="77777777" w:rsidR="000C16CC" w:rsidRDefault="000C16CC" w:rsidP="00700DDA">
            <w:pPr>
              <w:pStyle w:val="Listeafsnit"/>
              <w:spacing w:line="276" w:lineRule="auto"/>
              <w:ind w:left="0"/>
              <w:jc w:val="center"/>
            </w:pPr>
          </w:p>
        </w:tc>
        <w:tc>
          <w:tcPr>
            <w:tcW w:w="2977" w:type="dxa"/>
            <w:gridSpan w:val="8"/>
            <w:tcBorders>
              <w:left w:val="nil"/>
              <w:right w:val="nil"/>
            </w:tcBorders>
          </w:tcPr>
          <w:p w14:paraId="004056D6" w14:textId="77777777" w:rsidR="000C16CC" w:rsidRDefault="000C16CC" w:rsidP="00700DDA">
            <w:pPr>
              <w:pStyle w:val="Listeafsnit"/>
              <w:spacing w:line="276" w:lineRule="auto"/>
              <w:ind w:left="0"/>
              <w:jc w:val="center"/>
            </w:pPr>
            <w:r w:rsidRPr="00D17BDC">
              <w:rPr>
                <w:i/>
                <w:iCs/>
              </w:rPr>
              <w:t>t</w:t>
            </w:r>
            <w:r>
              <w:t>-tests</w:t>
            </w:r>
          </w:p>
        </w:tc>
      </w:tr>
      <w:tr w:rsidR="000C16CC" w14:paraId="443DDBC1" w14:textId="77777777" w:rsidTr="00B52DF9">
        <w:trPr>
          <w:gridAfter w:val="1"/>
          <w:wAfter w:w="288" w:type="dxa"/>
        </w:trPr>
        <w:tc>
          <w:tcPr>
            <w:tcW w:w="1241" w:type="dxa"/>
            <w:tcBorders>
              <w:top w:val="nil"/>
              <w:left w:val="nil"/>
              <w:bottom w:val="single" w:sz="4" w:space="0" w:color="auto"/>
              <w:right w:val="nil"/>
            </w:tcBorders>
          </w:tcPr>
          <w:p w14:paraId="7934088F" w14:textId="77777777" w:rsidR="000C16CC" w:rsidRDefault="000C16CC" w:rsidP="00700DDA">
            <w:pPr>
              <w:pStyle w:val="Listeafsnit"/>
              <w:spacing w:line="276" w:lineRule="auto"/>
              <w:ind w:left="0"/>
              <w:jc w:val="center"/>
            </w:pPr>
          </w:p>
        </w:tc>
        <w:tc>
          <w:tcPr>
            <w:tcW w:w="279" w:type="dxa"/>
            <w:tcBorders>
              <w:top w:val="nil"/>
              <w:left w:val="nil"/>
              <w:bottom w:val="single" w:sz="4" w:space="0" w:color="auto"/>
              <w:right w:val="nil"/>
            </w:tcBorders>
          </w:tcPr>
          <w:p w14:paraId="5C395F84" w14:textId="77777777" w:rsidR="000C16CC" w:rsidRDefault="000C16CC" w:rsidP="00700DDA">
            <w:pPr>
              <w:pStyle w:val="Listeafsnit"/>
              <w:spacing w:line="276" w:lineRule="auto"/>
              <w:ind w:left="0"/>
              <w:jc w:val="center"/>
            </w:pPr>
          </w:p>
        </w:tc>
        <w:tc>
          <w:tcPr>
            <w:tcW w:w="2165" w:type="dxa"/>
            <w:gridSpan w:val="3"/>
            <w:tcBorders>
              <w:left w:val="nil"/>
              <w:right w:val="nil"/>
            </w:tcBorders>
          </w:tcPr>
          <w:p w14:paraId="201237AD" w14:textId="75DF7E9F" w:rsidR="000C16CC" w:rsidRDefault="000C3DFB" w:rsidP="00700DDA">
            <w:pPr>
              <w:pStyle w:val="Listeafsnit"/>
              <w:spacing w:line="276" w:lineRule="auto"/>
              <w:ind w:left="0"/>
              <w:jc w:val="center"/>
            </w:pPr>
            <w:r>
              <w:t>Deck</w:t>
            </w:r>
            <w:r w:rsidR="000C16CC">
              <w:t xml:space="preserve"> A &amp; B</w:t>
            </w:r>
          </w:p>
        </w:tc>
        <w:tc>
          <w:tcPr>
            <w:tcW w:w="284" w:type="dxa"/>
            <w:gridSpan w:val="2"/>
            <w:tcBorders>
              <w:top w:val="nil"/>
              <w:left w:val="nil"/>
              <w:bottom w:val="nil"/>
              <w:right w:val="nil"/>
            </w:tcBorders>
          </w:tcPr>
          <w:p w14:paraId="75EEB0D3" w14:textId="77777777" w:rsidR="000C16CC" w:rsidRDefault="000C16CC" w:rsidP="00700DDA">
            <w:pPr>
              <w:pStyle w:val="Listeafsnit"/>
              <w:spacing w:line="276" w:lineRule="auto"/>
              <w:ind w:left="0"/>
              <w:jc w:val="center"/>
            </w:pPr>
          </w:p>
        </w:tc>
        <w:tc>
          <w:tcPr>
            <w:tcW w:w="2268" w:type="dxa"/>
            <w:gridSpan w:val="6"/>
            <w:tcBorders>
              <w:left w:val="nil"/>
              <w:right w:val="nil"/>
            </w:tcBorders>
          </w:tcPr>
          <w:p w14:paraId="61028BB5" w14:textId="7D926868" w:rsidR="000C16CC" w:rsidRDefault="000C3DFB" w:rsidP="00700DDA">
            <w:pPr>
              <w:pStyle w:val="Listeafsnit"/>
              <w:spacing w:line="276" w:lineRule="auto"/>
              <w:ind w:left="0"/>
              <w:jc w:val="center"/>
            </w:pPr>
            <w:r>
              <w:t>Deck</w:t>
            </w:r>
            <w:r w:rsidR="000C16CC">
              <w:t xml:space="preserve"> C &amp; D</w:t>
            </w:r>
          </w:p>
        </w:tc>
        <w:tc>
          <w:tcPr>
            <w:tcW w:w="283" w:type="dxa"/>
            <w:tcBorders>
              <w:top w:val="nil"/>
              <w:left w:val="nil"/>
              <w:bottom w:val="nil"/>
              <w:right w:val="nil"/>
            </w:tcBorders>
          </w:tcPr>
          <w:p w14:paraId="39B67EBD" w14:textId="77777777" w:rsidR="000C16CC" w:rsidRDefault="000C16CC" w:rsidP="00700DDA">
            <w:pPr>
              <w:pStyle w:val="Listeafsnit"/>
              <w:spacing w:line="276" w:lineRule="auto"/>
              <w:ind w:left="0"/>
              <w:jc w:val="center"/>
            </w:pPr>
          </w:p>
        </w:tc>
        <w:tc>
          <w:tcPr>
            <w:tcW w:w="851" w:type="dxa"/>
            <w:gridSpan w:val="2"/>
            <w:tcBorders>
              <w:left w:val="nil"/>
              <w:bottom w:val="single" w:sz="4" w:space="0" w:color="auto"/>
              <w:right w:val="nil"/>
            </w:tcBorders>
          </w:tcPr>
          <w:p w14:paraId="2928E64A" w14:textId="77777777" w:rsidR="000C16CC" w:rsidRDefault="000C16CC" w:rsidP="00700DDA">
            <w:pPr>
              <w:pStyle w:val="Listeafsnit"/>
              <w:spacing w:line="276" w:lineRule="auto"/>
              <w:ind w:left="0"/>
              <w:jc w:val="center"/>
            </w:pPr>
            <w:r w:rsidRPr="00051F31">
              <w:rPr>
                <w:i/>
              </w:rPr>
              <w:t>t</w:t>
            </w:r>
            <w:r>
              <w:t>(202)</w:t>
            </w:r>
          </w:p>
        </w:tc>
        <w:tc>
          <w:tcPr>
            <w:tcW w:w="283" w:type="dxa"/>
            <w:tcBorders>
              <w:left w:val="nil"/>
              <w:bottom w:val="single" w:sz="4" w:space="0" w:color="auto"/>
              <w:right w:val="nil"/>
            </w:tcBorders>
          </w:tcPr>
          <w:p w14:paraId="21175F41" w14:textId="77777777" w:rsidR="000C16CC" w:rsidRDefault="000C16CC" w:rsidP="00700DDA">
            <w:pPr>
              <w:pStyle w:val="Listeafsnit"/>
              <w:spacing w:line="276" w:lineRule="auto"/>
              <w:ind w:left="0"/>
              <w:jc w:val="center"/>
            </w:pPr>
          </w:p>
        </w:tc>
        <w:tc>
          <w:tcPr>
            <w:tcW w:w="851" w:type="dxa"/>
            <w:gridSpan w:val="2"/>
            <w:tcBorders>
              <w:left w:val="nil"/>
              <w:bottom w:val="single" w:sz="4" w:space="0" w:color="auto"/>
              <w:right w:val="nil"/>
            </w:tcBorders>
          </w:tcPr>
          <w:p w14:paraId="18AE0733" w14:textId="77777777" w:rsidR="000C16CC" w:rsidRPr="00051F31" w:rsidRDefault="000C16CC" w:rsidP="00700DDA">
            <w:pPr>
              <w:pStyle w:val="Listeafsnit"/>
              <w:spacing w:line="276" w:lineRule="auto"/>
              <w:ind w:left="0"/>
              <w:jc w:val="center"/>
              <w:rPr>
                <w:i/>
              </w:rPr>
            </w:pPr>
            <w:r w:rsidRPr="00051F31">
              <w:rPr>
                <w:i/>
              </w:rPr>
              <w:t>p</w:t>
            </w:r>
          </w:p>
        </w:tc>
        <w:tc>
          <w:tcPr>
            <w:tcW w:w="283" w:type="dxa"/>
            <w:tcBorders>
              <w:left w:val="nil"/>
              <w:bottom w:val="single" w:sz="4" w:space="0" w:color="auto"/>
              <w:right w:val="nil"/>
            </w:tcBorders>
          </w:tcPr>
          <w:p w14:paraId="6756E70C" w14:textId="77777777" w:rsidR="000C16CC" w:rsidRPr="00051F31" w:rsidRDefault="000C16CC" w:rsidP="00700DDA">
            <w:pPr>
              <w:pStyle w:val="Listeafsnit"/>
              <w:spacing w:line="276" w:lineRule="auto"/>
              <w:ind w:left="0"/>
              <w:jc w:val="center"/>
              <w:rPr>
                <w:i/>
              </w:rPr>
            </w:pPr>
          </w:p>
        </w:tc>
        <w:tc>
          <w:tcPr>
            <w:tcW w:w="709" w:type="dxa"/>
            <w:gridSpan w:val="2"/>
            <w:tcBorders>
              <w:left w:val="nil"/>
              <w:bottom w:val="single" w:sz="4" w:space="0" w:color="auto"/>
              <w:right w:val="nil"/>
            </w:tcBorders>
          </w:tcPr>
          <w:p w14:paraId="0BEAA80E" w14:textId="77777777" w:rsidR="000C16CC" w:rsidRPr="00051F31" w:rsidRDefault="000C16CC" w:rsidP="00700DDA">
            <w:pPr>
              <w:pStyle w:val="Listeafsnit"/>
              <w:spacing w:line="276" w:lineRule="auto"/>
              <w:ind w:left="0"/>
              <w:jc w:val="center"/>
              <w:rPr>
                <w:i/>
              </w:rPr>
            </w:pPr>
            <w:r>
              <w:rPr>
                <w:i/>
                <w:iCs/>
              </w:rPr>
              <w:t>d</w:t>
            </w:r>
          </w:p>
        </w:tc>
      </w:tr>
      <w:tr w:rsidR="000C16CC" w14:paraId="7704BE39" w14:textId="77777777" w:rsidTr="00B52DF9">
        <w:trPr>
          <w:gridAfter w:val="1"/>
          <w:wAfter w:w="288" w:type="dxa"/>
        </w:trPr>
        <w:tc>
          <w:tcPr>
            <w:tcW w:w="1241" w:type="dxa"/>
            <w:tcBorders>
              <w:left w:val="nil"/>
              <w:bottom w:val="nil"/>
              <w:right w:val="nil"/>
            </w:tcBorders>
          </w:tcPr>
          <w:p w14:paraId="14245D92" w14:textId="77777777" w:rsidR="000C16CC" w:rsidRDefault="000C16CC" w:rsidP="00700DDA">
            <w:pPr>
              <w:pStyle w:val="Listeafsnit"/>
              <w:spacing w:line="276" w:lineRule="auto"/>
              <w:ind w:left="0"/>
              <w:jc w:val="center"/>
            </w:pPr>
            <w:r>
              <w:t>Session 1</w:t>
            </w:r>
          </w:p>
        </w:tc>
        <w:tc>
          <w:tcPr>
            <w:tcW w:w="279" w:type="dxa"/>
            <w:tcBorders>
              <w:top w:val="single" w:sz="4" w:space="0" w:color="auto"/>
              <w:left w:val="nil"/>
              <w:bottom w:val="nil"/>
              <w:right w:val="nil"/>
            </w:tcBorders>
          </w:tcPr>
          <w:p w14:paraId="52267770" w14:textId="77777777" w:rsidR="000C16CC" w:rsidRDefault="000C16CC" w:rsidP="00700DDA">
            <w:pPr>
              <w:pStyle w:val="Listeafsnit"/>
              <w:spacing w:line="276" w:lineRule="auto"/>
              <w:ind w:left="0"/>
              <w:jc w:val="center"/>
            </w:pPr>
          </w:p>
        </w:tc>
        <w:tc>
          <w:tcPr>
            <w:tcW w:w="1031" w:type="dxa"/>
            <w:tcBorders>
              <w:left w:val="nil"/>
              <w:bottom w:val="nil"/>
              <w:right w:val="nil"/>
            </w:tcBorders>
          </w:tcPr>
          <w:p w14:paraId="28C0F5E1" w14:textId="77777777" w:rsidR="000C16CC" w:rsidRDefault="000C16CC" w:rsidP="00700DDA">
            <w:pPr>
              <w:pStyle w:val="Listeafsnit"/>
              <w:spacing w:line="276" w:lineRule="auto"/>
              <w:ind w:left="0"/>
              <w:jc w:val="center"/>
            </w:pPr>
            <w:r>
              <w:t>0.43</w:t>
            </w:r>
          </w:p>
        </w:tc>
        <w:tc>
          <w:tcPr>
            <w:tcW w:w="284" w:type="dxa"/>
            <w:tcBorders>
              <w:left w:val="nil"/>
              <w:bottom w:val="nil"/>
              <w:right w:val="nil"/>
            </w:tcBorders>
          </w:tcPr>
          <w:p w14:paraId="0DA58BB0" w14:textId="77777777" w:rsidR="000C16CC" w:rsidRDefault="000C16CC" w:rsidP="00700DDA">
            <w:pPr>
              <w:pStyle w:val="Listeafsnit"/>
              <w:spacing w:line="276" w:lineRule="auto"/>
              <w:ind w:left="0"/>
              <w:jc w:val="center"/>
            </w:pPr>
          </w:p>
        </w:tc>
        <w:tc>
          <w:tcPr>
            <w:tcW w:w="850" w:type="dxa"/>
            <w:tcBorders>
              <w:left w:val="nil"/>
              <w:bottom w:val="nil"/>
              <w:right w:val="nil"/>
            </w:tcBorders>
          </w:tcPr>
          <w:p w14:paraId="22EC9556" w14:textId="77777777" w:rsidR="000C16CC" w:rsidRDefault="000C16CC" w:rsidP="00700DDA">
            <w:pPr>
              <w:pStyle w:val="Listeafsnit"/>
              <w:spacing w:line="276" w:lineRule="auto"/>
              <w:ind w:left="0"/>
              <w:jc w:val="center"/>
            </w:pPr>
            <w:r>
              <w:t>(0.13)</w:t>
            </w:r>
          </w:p>
        </w:tc>
        <w:tc>
          <w:tcPr>
            <w:tcW w:w="284" w:type="dxa"/>
            <w:gridSpan w:val="2"/>
            <w:tcBorders>
              <w:top w:val="nil"/>
              <w:left w:val="nil"/>
              <w:bottom w:val="nil"/>
              <w:right w:val="nil"/>
            </w:tcBorders>
          </w:tcPr>
          <w:p w14:paraId="6929D922" w14:textId="77777777" w:rsidR="000C16CC" w:rsidRDefault="000C16CC" w:rsidP="00700DDA">
            <w:pPr>
              <w:pStyle w:val="Listeafsnit"/>
              <w:spacing w:line="276" w:lineRule="auto"/>
              <w:ind w:left="0"/>
              <w:jc w:val="center"/>
            </w:pPr>
          </w:p>
        </w:tc>
        <w:tc>
          <w:tcPr>
            <w:tcW w:w="992" w:type="dxa"/>
            <w:gridSpan w:val="2"/>
            <w:tcBorders>
              <w:left w:val="nil"/>
              <w:bottom w:val="nil"/>
              <w:right w:val="nil"/>
            </w:tcBorders>
          </w:tcPr>
          <w:p w14:paraId="057BE5D7" w14:textId="77777777" w:rsidR="000C16CC" w:rsidRDefault="000C16CC" w:rsidP="00700DDA">
            <w:pPr>
              <w:pStyle w:val="Listeafsnit"/>
              <w:spacing w:line="276" w:lineRule="auto"/>
              <w:ind w:left="0"/>
              <w:jc w:val="center"/>
            </w:pPr>
            <w:r>
              <w:t>0.57</w:t>
            </w:r>
          </w:p>
        </w:tc>
        <w:tc>
          <w:tcPr>
            <w:tcW w:w="283" w:type="dxa"/>
            <w:gridSpan w:val="2"/>
            <w:tcBorders>
              <w:left w:val="nil"/>
              <w:bottom w:val="nil"/>
              <w:right w:val="nil"/>
            </w:tcBorders>
          </w:tcPr>
          <w:p w14:paraId="7D2D1F93" w14:textId="77777777" w:rsidR="000C16CC" w:rsidRDefault="000C16CC" w:rsidP="00700DDA">
            <w:pPr>
              <w:pStyle w:val="Listeafsnit"/>
              <w:spacing w:line="276" w:lineRule="auto"/>
              <w:ind w:left="0"/>
              <w:jc w:val="center"/>
            </w:pPr>
          </w:p>
        </w:tc>
        <w:tc>
          <w:tcPr>
            <w:tcW w:w="993" w:type="dxa"/>
            <w:gridSpan w:val="2"/>
            <w:tcBorders>
              <w:left w:val="nil"/>
              <w:bottom w:val="nil"/>
              <w:right w:val="nil"/>
            </w:tcBorders>
          </w:tcPr>
          <w:p w14:paraId="47214CA1" w14:textId="77777777" w:rsidR="000C16CC" w:rsidRDefault="000C16CC" w:rsidP="00700DDA">
            <w:pPr>
              <w:pStyle w:val="Listeafsnit"/>
              <w:spacing w:line="276" w:lineRule="auto"/>
              <w:ind w:left="0"/>
              <w:jc w:val="center"/>
            </w:pPr>
            <w:r>
              <w:t>(0.13)</w:t>
            </w:r>
          </w:p>
        </w:tc>
        <w:tc>
          <w:tcPr>
            <w:tcW w:w="283" w:type="dxa"/>
            <w:tcBorders>
              <w:top w:val="nil"/>
              <w:left w:val="nil"/>
              <w:bottom w:val="nil"/>
              <w:right w:val="nil"/>
            </w:tcBorders>
          </w:tcPr>
          <w:p w14:paraId="63858AA3" w14:textId="77777777" w:rsidR="000C16CC" w:rsidRDefault="000C16CC" w:rsidP="00700DDA">
            <w:pPr>
              <w:pStyle w:val="Listeafsnit"/>
              <w:spacing w:line="276" w:lineRule="auto"/>
              <w:ind w:left="0"/>
              <w:jc w:val="center"/>
            </w:pPr>
          </w:p>
        </w:tc>
        <w:tc>
          <w:tcPr>
            <w:tcW w:w="851" w:type="dxa"/>
            <w:gridSpan w:val="2"/>
            <w:tcBorders>
              <w:left w:val="nil"/>
              <w:bottom w:val="nil"/>
              <w:right w:val="nil"/>
            </w:tcBorders>
          </w:tcPr>
          <w:p w14:paraId="15247A5E" w14:textId="77777777" w:rsidR="000C16CC" w:rsidRDefault="000C16CC" w:rsidP="00700DDA">
            <w:pPr>
              <w:pStyle w:val="Listeafsnit"/>
              <w:spacing w:line="276" w:lineRule="auto"/>
              <w:ind w:left="0"/>
              <w:jc w:val="center"/>
            </w:pPr>
            <w:r>
              <w:t>7.33</w:t>
            </w:r>
          </w:p>
        </w:tc>
        <w:tc>
          <w:tcPr>
            <w:tcW w:w="283" w:type="dxa"/>
            <w:tcBorders>
              <w:left w:val="nil"/>
              <w:bottom w:val="nil"/>
              <w:right w:val="nil"/>
            </w:tcBorders>
          </w:tcPr>
          <w:p w14:paraId="337711E2" w14:textId="77777777" w:rsidR="000C16CC" w:rsidRDefault="000C16CC" w:rsidP="00700DDA">
            <w:pPr>
              <w:pStyle w:val="Listeafsnit"/>
              <w:spacing w:line="276" w:lineRule="auto"/>
              <w:ind w:left="0"/>
              <w:jc w:val="center"/>
            </w:pPr>
          </w:p>
        </w:tc>
        <w:tc>
          <w:tcPr>
            <w:tcW w:w="851" w:type="dxa"/>
            <w:gridSpan w:val="2"/>
            <w:tcBorders>
              <w:left w:val="nil"/>
              <w:bottom w:val="nil"/>
              <w:right w:val="nil"/>
            </w:tcBorders>
          </w:tcPr>
          <w:p w14:paraId="79F5EB9B" w14:textId="77777777" w:rsidR="000C16CC" w:rsidRDefault="000C16CC" w:rsidP="00700DDA">
            <w:pPr>
              <w:pStyle w:val="Listeafsnit"/>
              <w:spacing w:line="276" w:lineRule="auto"/>
              <w:ind w:left="0"/>
              <w:jc w:val="center"/>
            </w:pPr>
            <w:r>
              <w:t>&lt; .001</w:t>
            </w:r>
          </w:p>
        </w:tc>
        <w:tc>
          <w:tcPr>
            <w:tcW w:w="283" w:type="dxa"/>
            <w:tcBorders>
              <w:left w:val="nil"/>
              <w:bottom w:val="nil"/>
              <w:right w:val="nil"/>
            </w:tcBorders>
          </w:tcPr>
          <w:p w14:paraId="6A5C97B6" w14:textId="77777777" w:rsidR="000C16CC" w:rsidRDefault="000C16CC" w:rsidP="00700DDA">
            <w:pPr>
              <w:pStyle w:val="Listeafsnit"/>
              <w:spacing w:line="276" w:lineRule="auto"/>
              <w:ind w:left="0"/>
              <w:jc w:val="center"/>
            </w:pPr>
          </w:p>
        </w:tc>
        <w:tc>
          <w:tcPr>
            <w:tcW w:w="709" w:type="dxa"/>
            <w:gridSpan w:val="2"/>
            <w:tcBorders>
              <w:left w:val="nil"/>
              <w:bottom w:val="nil"/>
              <w:right w:val="nil"/>
            </w:tcBorders>
          </w:tcPr>
          <w:p w14:paraId="7D350B70" w14:textId="12972CFB" w:rsidR="000C16CC" w:rsidRDefault="005B6D65" w:rsidP="00700DDA">
            <w:pPr>
              <w:pStyle w:val="Listeafsnit"/>
              <w:spacing w:line="276" w:lineRule="auto"/>
              <w:ind w:left="0"/>
              <w:jc w:val="center"/>
            </w:pPr>
            <w:r w:rsidRPr="003F45C9">
              <w:t>-</w:t>
            </w:r>
            <w:r w:rsidR="000C16CC" w:rsidRPr="003F45C9">
              <w:t>1.03</w:t>
            </w:r>
          </w:p>
        </w:tc>
      </w:tr>
      <w:tr w:rsidR="000C16CC" w14:paraId="701FD5C6" w14:textId="77777777" w:rsidTr="00B52DF9">
        <w:trPr>
          <w:gridAfter w:val="1"/>
          <w:wAfter w:w="288" w:type="dxa"/>
        </w:trPr>
        <w:tc>
          <w:tcPr>
            <w:tcW w:w="1241" w:type="dxa"/>
            <w:tcBorders>
              <w:top w:val="nil"/>
              <w:left w:val="nil"/>
              <w:bottom w:val="nil"/>
              <w:right w:val="nil"/>
            </w:tcBorders>
          </w:tcPr>
          <w:p w14:paraId="0C027856" w14:textId="77777777" w:rsidR="000C16CC" w:rsidRDefault="000C16CC" w:rsidP="00700DDA">
            <w:pPr>
              <w:pStyle w:val="Listeafsnit"/>
              <w:spacing w:line="276" w:lineRule="auto"/>
              <w:ind w:left="0"/>
              <w:jc w:val="center"/>
            </w:pPr>
            <w:r>
              <w:t>Session 2</w:t>
            </w:r>
          </w:p>
        </w:tc>
        <w:tc>
          <w:tcPr>
            <w:tcW w:w="279" w:type="dxa"/>
            <w:tcBorders>
              <w:top w:val="nil"/>
              <w:left w:val="nil"/>
              <w:bottom w:val="nil"/>
              <w:right w:val="nil"/>
            </w:tcBorders>
          </w:tcPr>
          <w:p w14:paraId="55CF36CF" w14:textId="77777777" w:rsidR="000C16CC" w:rsidRDefault="000C16CC" w:rsidP="00700DDA">
            <w:pPr>
              <w:pStyle w:val="Listeafsnit"/>
              <w:spacing w:line="276" w:lineRule="auto"/>
              <w:ind w:left="0"/>
              <w:jc w:val="center"/>
            </w:pPr>
          </w:p>
        </w:tc>
        <w:tc>
          <w:tcPr>
            <w:tcW w:w="1031" w:type="dxa"/>
            <w:tcBorders>
              <w:top w:val="nil"/>
              <w:left w:val="nil"/>
              <w:bottom w:val="nil"/>
              <w:right w:val="nil"/>
            </w:tcBorders>
          </w:tcPr>
          <w:p w14:paraId="09768C8D" w14:textId="77777777" w:rsidR="000C16CC" w:rsidRDefault="000C16CC" w:rsidP="00700DDA">
            <w:pPr>
              <w:pStyle w:val="Listeafsnit"/>
              <w:spacing w:line="276" w:lineRule="auto"/>
              <w:ind w:left="0"/>
              <w:jc w:val="center"/>
            </w:pPr>
            <w:r>
              <w:t>0.30</w:t>
            </w:r>
          </w:p>
        </w:tc>
        <w:tc>
          <w:tcPr>
            <w:tcW w:w="284" w:type="dxa"/>
            <w:tcBorders>
              <w:top w:val="nil"/>
              <w:left w:val="nil"/>
              <w:bottom w:val="nil"/>
              <w:right w:val="nil"/>
            </w:tcBorders>
          </w:tcPr>
          <w:p w14:paraId="23FABF89" w14:textId="77777777" w:rsidR="000C16CC" w:rsidRDefault="000C16CC" w:rsidP="00700DDA">
            <w:pPr>
              <w:pStyle w:val="Listeafsnit"/>
              <w:spacing w:line="276" w:lineRule="auto"/>
              <w:ind w:left="0"/>
              <w:jc w:val="center"/>
            </w:pPr>
          </w:p>
        </w:tc>
        <w:tc>
          <w:tcPr>
            <w:tcW w:w="850" w:type="dxa"/>
            <w:tcBorders>
              <w:top w:val="nil"/>
              <w:left w:val="nil"/>
              <w:bottom w:val="nil"/>
              <w:right w:val="nil"/>
            </w:tcBorders>
          </w:tcPr>
          <w:p w14:paraId="6592BB17" w14:textId="77777777" w:rsidR="000C16CC" w:rsidRDefault="000C16CC" w:rsidP="00700DDA">
            <w:pPr>
              <w:pStyle w:val="Listeafsnit"/>
              <w:spacing w:line="276" w:lineRule="auto"/>
              <w:ind w:left="0"/>
              <w:jc w:val="center"/>
            </w:pPr>
            <w:r>
              <w:t>(0.16)</w:t>
            </w:r>
          </w:p>
        </w:tc>
        <w:tc>
          <w:tcPr>
            <w:tcW w:w="284" w:type="dxa"/>
            <w:gridSpan w:val="2"/>
            <w:tcBorders>
              <w:top w:val="nil"/>
              <w:left w:val="nil"/>
              <w:bottom w:val="nil"/>
              <w:right w:val="nil"/>
            </w:tcBorders>
          </w:tcPr>
          <w:p w14:paraId="492056C5" w14:textId="77777777" w:rsidR="000C16CC" w:rsidRDefault="000C16CC" w:rsidP="00700DDA">
            <w:pPr>
              <w:pStyle w:val="Listeafsnit"/>
              <w:spacing w:line="276" w:lineRule="auto"/>
              <w:ind w:left="0"/>
              <w:jc w:val="center"/>
            </w:pPr>
          </w:p>
        </w:tc>
        <w:tc>
          <w:tcPr>
            <w:tcW w:w="992" w:type="dxa"/>
            <w:gridSpan w:val="2"/>
            <w:tcBorders>
              <w:top w:val="nil"/>
              <w:left w:val="nil"/>
              <w:bottom w:val="nil"/>
              <w:right w:val="nil"/>
            </w:tcBorders>
          </w:tcPr>
          <w:p w14:paraId="78AD8F3E" w14:textId="77777777" w:rsidR="000C16CC" w:rsidRDefault="000C16CC" w:rsidP="00700DDA">
            <w:pPr>
              <w:pStyle w:val="Listeafsnit"/>
              <w:spacing w:line="276" w:lineRule="auto"/>
              <w:ind w:left="0"/>
              <w:jc w:val="center"/>
            </w:pPr>
            <w:r>
              <w:t>0.70</w:t>
            </w:r>
          </w:p>
        </w:tc>
        <w:tc>
          <w:tcPr>
            <w:tcW w:w="283" w:type="dxa"/>
            <w:gridSpan w:val="2"/>
            <w:tcBorders>
              <w:top w:val="nil"/>
              <w:left w:val="nil"/>
              <w:bottom w:val="nil"/>
              <w:right w:val="nil"/>
            </w:tcBorders>
          </w:tcPr>
          <w:p w14:paraId="355D28E6" w14:textId="77777777" w:rsidR="000C16CC" w:rsidRDefault="000C16CC" w:rsidP="00700DDA">
            <w:pPr>
              <w:pStyle w:val="Listeafsnit"/>
              <w:spacing w:line="276" w:lineRule="auto"/>
              <w:ind w:left="0"/>
              <w:jc w:val="center"/>
            </w:pPr>
          </w:p>
        </w:tc>
        <w:tc>
          <w:tcPr>
            <w:tcW w:w="993" w:type="dxa"/>
            <w:gridSpan w:val="2"/>
            <w:tcBorders>
              <w:top w:val="nil"/>
              <w:left w:val="nil"/>
              <w:bottom w:val="nil"/>
              <w:right w:val="nil"/>
            </w:tcBorders>
          </w:tcPr>
          <w:p w14:paraId="51F6BE45" w14:textId="77777777" w:rsidR="000C16CC" w:rsidRDefault="000C16CC" w:rsidP="00700DDA">
            <w:pPr>
              <w:pStyle w:val="Listeafsnit"/>
              <w:spacing w:line="276" w:lineRule="auto"/>
              <w:ind w:left="0"/>
              <w:jc w:val="center"/>
            </w:pPr>
            <w:r>
              <w:t>(0.16)</w:t>
            </w:r>
          </w:p>
        </w:tc>
        <w:tc>
          <w:tcPr>
            <w:tcW w:w="283" w:type="dxa"/>
            <w:tcBorders>
              <w:top w:val="nil"/>
              <w:left w:val="nil"/>
              <w:bottom w:val="nil"/>
              <w:right w:val="nil"/>
            </w:tcBorders>
          </w:tcPr>
          <w:p w14:paraId="01EE382F" w14:textId="77777777" w:rsidR="000C16CC" w:rsidRDefault="000C16CC" w:rsidP="00700DDA">
            <w:pPr>
              <w:pStyle w:val="Listeafsnit"/>
              <w:spacing w:line="276" w:lineRule="auto"/>
              <w:ind w:left="0"/>
              <w:jc w:val="center"/>
            </w:pPr>
          </w:p>
        </w:tc>
        <w:tc>
          <w:tcPr>
            <w:tcW w:w="851" w:type="dxa"/>
            <w:gridSpan w:val="2"/>
            <w:tcBorders>
              <w:top w:val="nil"/>
              <w:left w:val="nil"/>
              <w:bottom w:val="nil"/>
              <w:right w:val="nil"/>
            </w:tcBorders>
          </w:tcPr>
          <w:p w14:paraId="2AEE11C2" w14:textId="77777777" w:rsidR="000C16CC" w:rsidRDefault="000C16CC" w:rsidP="00700DDA">
            <w:pPr>
              <w:pStyle w:val="Listeafsnit"/>
              <w:spacing w:line="276" w:lineRule="auto"/>
              <w:ind w:left="0"/>
              <w:jc w:val="center"/>
            </w:pPr>
            <w:r>
              <w:t>17.99</w:t>
            </w:r>
          </w:p>
        </w:tc>
        <w:tc>
          <w:tcPr>
            <w:tcW w:w="283" w:type="dxa"/>
            <w:tcBorders>
              <w:top w:val="nil"/>
              <w:left w:val="nil"/>
              <w:bottom w:val="nil"/>
              <w:right w:val="nil"/>
            </w:tcBorders>
          </w:tcPr>
          <w:p w14:paraId="0A2BF92D" w14:textId="77777777" w:rsidR="000C16CC" w:rsidRDefault="000C16CC" w:rsidP="00700DDA">
            <w:pPr>
              <w:pStyle w:val="Listeafsnit"/>
              <w:spacing w:line="276" w:lineRule="auto"/>
              <w:ind w:left="0"/>
              <w:jc w:val="center"/>
            </w:pPr>
          </w:p>
        </w:tc>
        <w:tc>
          <w:tcPr>
            <w:tcW w:w="851" w:type="dxa"/>
            <w:gridSpan w:val="2"/>
            <w:tcBorders>
              <w:top w:val="nil"/>
              <w:left w:val="nil"/>
              <w:bottom w:val="nil"/>
              <w:right w:val="nil"/>
            </w:tcBorders>
          </w:tcPr>
          <w:p w14:paraId="5402F895" w14:textId="77777777" w:rsidR="000C16CC" w:rsidRDefault="000C16CC" w:rsidP="00700DDA">
            <w:pPr>
              <w:pStyle w:val="Listeafsnit"/>
              <w:spacing w:line="276" w:lineRule="auto"/>
              <w:ind w:left="0"/>
              <w:jc w:val="center"/>
            </w:pPr>
            <w:r>
              <w:t>&lt; .001</w:t>
            </w:r>
          </w:p>
        </w:tc>
        <w:tc>
          <w:tcPr>
            <w:tcW w:w="283" w:type="dxa"/>
            <w:tcBorders>
              <w:top w:val="nil"/>
              <w:left w:val="nil"/>
              <w:bottom w:val="nil"/>
              <w:right w:val="nil"/>
            </w:tcBorders>
          </w:tcPr>
          <w:p w14:paraId="11073FAD" w14:textId="77777777" w:rsidR="000C16CC" w:rsidRDefault="000C16CC" w:rsidP="00700DDA">
            <w:pPr>
              <w:pStyle w:val="Listeafsnit"/>
              <w:spacing w:line="276" w:lineRule="auto"/>
              <w:ind w:left="0"/>
              <w:jc w:val="center"/>
            </w:pPr>
          </w:p>
        </w:tc>
        <w:tc>
          <w:tcPr>
            <w:tcW w:w="709" w:type="dxa"/>
            <w:gridSpan w:val="2"/>
            <w:tcBorders>
              <w:top w:val="nil"/>
              <w:left w:val="nil"/>
              <w:bottom w:val="nil"/>
              <w:right w:val="nil"/>
            </w:tcBorders>
          </w:tcPr>
          <w:p w14:paraId="5E2297A1" w14:textId="116AB9E1" w:rsidR="000C16CC" w:rsidRDefault="007505D6" w:rsidP="00700DDA">
            <w:pPr>
              <w:pStyle w:val="Listeafsnit"/>
              <w:spacing w:line="276" w:lineRule="auto"/>
              <w:ind w:left="0"/>
              <w:jc w:val="center"/>
            </w:pPr>
            <w:r>
              <w:t>-</w:t>
            </w:r>
            <w:r w:rsidR="000C16CC">
              <w:t>2.53</w:t>
            </w:r>
          </w:p>
        </w:tc>
      </w:tr>
      <w:tr w:rsidR="000C16CC" w14:paraId="42A48B2C" w14:textId="77777777" w:rsidTr="00B52DF9">
        <w:trPr>
          <w:gridAfter w:val="1"/>
          <w:wAfter w:w="288" w:type="dxa"/>
        </w:trPr>
        <w:tc>
          <w:tcPr>
            <w:tcW w:w="9497" w:type="dxa"/>
            <w:gridSpan w:val="22"/>
            <w:tcBorders>
              <w:top w:val="nil"/>
              <w:left w:val="nil"/>
              <w:bottom w:val="nil"/>
              <w:right w:val="nil"/>
            </w:tcBorders>
          </w:tcPr>
          <w:p w14:paraId="1059086A" w14:textId="77777777" w:rsidR="000C16CC" w:rsidRDefault="000C16CC" w:rsidP="00700DDA">
            <w:pPr>
              <w:pStyle w:val="Listeafsnit"/>
              <w:spacing w:line="276" w:lineRule="auto"/>
              <w:ind w:left="0"/>
              <w:jc w:val="center"/>
            </w:pPr>
          </w:p>
        </w:tc>
      </w:tr>
      <w:tr w:rsidR="000C16CC" w14:paraId="02BD2631" w14:textId="77777777" w:rsidTr="00B52DF9">
        <w:trPr>
          <w:gridAfter w:val="1"/>
          <w:wAfter w:w="288" w:type="dxa"/>
        </w:trPr>
        <w:tc>
          <w:tcPr>
            <w:tcW w:w="1241" w:type="dxa"/>
            <w:tcBorders>
              <w:top w:val="nil"/>
              <w:left w:val="nil"/>
              <w:bottom w:val="single" w:sz="4" w:space="0" w:color="auto"/>
              <w:right w:val="nil"/>
            </w:tcBorders>
          </w:tcPr>
          <w:p w14:paraId="3D7BE775" w14:textId="77777777" w:rsidR="000C16CC" w:rsidRDefault="000C16CC" w:rsidP="00700DDA">
            <w:pPr>
              <w:pStyle w:val="Listeafsnit"/>
              <w:spacing w:line="276" w:lineRule="auto"/>
              <w:ind w:left="0"/>
              <w:jc w:val="center"/>
            </w:pPr>
          </w:p>
        </w:tc>
        <w:tc>
          <w:tcPr>
            <w:tcW w:w="279" w:type="dxa"/>
            <w:tcBorders>
              <w:top w:val="nil"/>
              <w:left w:val="nil"/>
              <w:bottom w:val="single" w:sz="4" w:space="0" w:color="auto"/>
              <w:right w:val="nil"/>
            </w:tcBorders>
          </w:tcPr>
          <w:p w14:paraId="556B507D" w14:textId="77777777" w:rsidR="000C16CC" w:rsidRDefault="000C16CC" w:rsidP="00700DDA">
            <w:pPr>
              <w:pStyle w:val="Listeafsnit"/>
              <w:spacing w:line="276" w:lineRule="auto"/>
              <w:ind w:left="0"/>
              <w:jc w:val="center"/>
            </w:pPr>
          </w:p>
        </w:tc>
        <w:tc>
          <w:tcPr>
            <w:tcW w:w="2165" w:type="dxa"/>
            <w:gridSpan w:val="3"/>
            <w:tcBorders>
              <w:top w:val="nil"/>
              <w:left w:val="nil"/>
              <w:right w:val="nil"/>
            </w:tcBorders>
          </w:tcPr>
          <w:p w14:paraId="10FBB536" w14:textId="77777777" w:rsidR="000C16CC" w:rsidRDefault="000C16CC" w:rsidP="00700DDA">
            <w:pPr>
              <w:pStyle w:val="Listeafsnit"/>
              <w:spacing w:line="276" w:lineRule="auto"/>
              <w:ind w:left="0"/>
              <w:jc w:val="center"/>
            </w:pPr>
            <w:r>
              <w:t>Session 1</w:t>
            </w:r>
          </w:p>
        </w:tc>
        <w:tc>
          <w:tcPr>
            <w:tcW w:w="284" w:type="dxa"/>
            <w:gridSpan w:val="2"/>
            <w:tcBorders>
              <w:top w:val="nil"/>
              <w:left w:val="nil"/>
              <w:bottom w:val="single" w:sz="4" w:space="0" w:color="auto"/>
              <w:right w:val="nil"/>
            </w:tcBorders>
          </w:tcPr>
          <w:p w14:paraId="23639E61" w14:textId="77777777" w:rsidR="000C16CC" w:rsidRDefault="000C16CC" w:rsidP="00700DDA">
            <w:pPr>
              <w:pStyle w:val="Listeafsnit"/>
              <w:spacing w:line="276" w:lineRule="auto"/>
              <w:ind w:left="0"/>
              <w:jc w:val="center"/>
            </w:pPr>
          </w:p>
        </w:tc>
        <w:tc>
          <w:tcPr>
            <w:tcW w:w="2268" w:type="dxa"/>
            <w:gridSpan w:val="6"/>
            <w:tcBorders>
              <w:top w:val="nil"/>
              <w:left w:val="nil"/>
              <w:right w:val="nil"/>
            </w:tcBorders>
          </w:tcPr>
          <w:p w14:paraId="3FBFA6D6" w14:textId="77777777" w:rsidR="000C16CC" w:rsidRDefault="000C16CC" w:rsidP="00700DDA">
            <w:pPr>
              <w:pStyle w:val="Listeafsnit"/>
              <w:spacing w:line="276" w:lineRule="auto"/>
              <w:ind w:left="0"/>
              <w:jc w:val="center"/>
            </w:pPr>
            <w:r>
              <w:t>Session 2</w:t>
            </w:r>
          </w:p>
        </w:tc>
        <w:tc>
          <w:tcPr>
            <w:tcW w:w="283" w:type="dxa"/>
            <w:tcBorders>
              <w:top w:val="nil"/>
              <w:left w:val="nil"/>
              <w:bottom w:val="single" w:sz="4" w:space="0" w:color="auto"/>
              <w:right w:val="nil"/>
            </w:tcBorders>
          </w:tcPr>
          <w:p w14:paraId="3670310A" w14:textId="77777777" w:rsidR="000C16CC" w:rsidRDefault="000C16CC" w:rsidP="00700DDA">
            <w:pPr>
              <w:pStyle w:val="Listeafsnit"/>
              <w:spacing w:line="276" w:lineRule="auto"/>
              <w:ind w:left="0"/>
              <w:jc w:val="center"/>
            </w:pPr>
          </w:p>
        </w:tc>
        <w:tc>
          <w:tcPr>
            <w:tcW w:w="851" w:type="dxa"/>
            <w:gridSpan w:val="2"/>
            <w:tcBorders>
              <w:top w:val="nil"/>
              <w:left w:val="nil"/>
              <w:bottom w:val="single" w:sz="4" w:space="0" w:color="auto"/>
              <w:right w:val="nil"/>
            </w:tcBorders>
          </w:tcPr>
          <w:p w14:paraId="0916298C" w14:textId="77777777" w:rsidR="000C16CC" w:rsidRDefault="000C16CC" w:rsidP="00700DDA">
            <w:pPr>
              <w:pStyle w:val="Listeafsnit"/>
              <w:spacing w:line="276" w:lineRule="auto"/>
              <w:ind w:left="0"/>
              <w:jc w:val="center"/>
            </w:pPr>
            <w:r w:rsidRPr="00051F31">
              <w:rPr>
                <w:i/>
              </w:rPr>
              <w:t>t</w:t>
            </w:r>
            <w:r>
              <w:t>(202)</w:t>
            </w:r>
          </w:p>
        </w:tc>
        <w:tc>
          <w:tcPr>
            <w:tcW w:w="283" w:type="dxa"/>
            <w:tcBorders>
              <w:top w:val="nil"/>
              <w:left w:val="nil"/>
              <w:bottom w:val="single" w:sz="4" w:space="0" w:color="auto"/>
              <w:right w:val="nil"/>
            </w:tcBorders>
          </w:tcPr>
          <w:p w14:paraId="32449C54" w14:textId="77777777" w:rsidR="000C16CC" w:rsidRDefault="000C16CC" w:rsidP="00700DDA">
            <w:pPr>
              <w:pStyle w:val="Listeafsnit"/>
              <w:spacing w:line="276" w:lineRule="auto"/>
              <w:ind w:left="0"/>
              <w:jc w:val="center"/>
            </w:pPr>
          </w:p>
        </w:tc>
        <w:tc>
          <w:tcPr>
            <w:tcW w:w="851" w:type="dxa"/>
            <w:gridSpan w:val="2"/>
            <w:tcBorders>
              <w:top w:val="nil"/>
              <w:left w:val="nil"/>
              <w:bottom w:val="single" w:sz="4" w:space="0" w:color="auto"/>
              <w:right w:val="nil"/>
            </w:tcBorders>
          </w:tcPr>
          <w:p w14:paraId="0D2E0C66" w14:textId="77777777" w:rsidR="000C16CC" w:rsidRPr="00051F31" w:rsidRDefault="000C16CC" w:rsidP="00700DDA">
            <w:pPr>
              <w:pStyle w:val="Listeafsnit"/>
              <w:spacing w:line="276" w:lineRule="auto"/>
              <w:ind w:left="0"/>
              <w:jc w:val="center"/>
              <w:rPr>
                <w:i/>
              </w:rPr>
            </w:pPr>
            <w:r w:rsidRPr="00051F31">
              <w:rPr>
                <w:i/>
              </w:rPr>
              <w:t>p</w:t>
            </w:r>
          </w:p>
        </w:tc>
        <w:tc>
          <w:tcPr>
            <w:tcW w:w="283" w:type="dxa"/>
            <w:tcBorders>
              <w:top w:val="nil"/>
              <w:left w:val="nil"/>
              <w:bottom w:val="single" w:sz="4" w:space="0" w:color="auto"/>
              <w:right w:val="nil"/>
            </w:tcBorders>
          </w:tcPr>
          <w:p w14:paraId="3A9E5C47" w14:textId="77777777" w:rsidR="000C16CC" w:rsidRPr="00051F31" w:rsidRDefault="000C16CC" w:rsidP="00700DDA">
            <w:pPr>
              <w:pStyle w:val="Listeafsnit"/>
              <w:spacing w:line="276" w:lineRule="auto"/>
              <w:ind w:left="0"/>
              <w:jc w:val="center"/>
              <w:rPr>
                <w:i/>
              </w:rPr>
            </w:pPr>
          </w:p>
        </w:tc>
        <w:tc>
          <w:tcPr>
            <w:tcW w:w="709" w:type="dxa"/>
            <w:gridSpan w:val="2"/>
            <w:tcBorders>
              <w:top w:val="nil"/>
              <w:left w:val="nil"/>
              <w:bottom w:val="single" w:sz="4" w:space="0" w:color="auto"/>
              <w:right w:val="nil"/>
            </w:tcBorders>
          </w:tcPr>
          <w:p w14:paraId="6846E49C" w14:textId="77777777" w:rsidR="000C16CC" w:rsidRPr="00051F31" w:rsidRDefault="000C16CC" w:rsidP="00700DDA">
            <w:pPr>
              <w:pStyle w:val="Listeafsnit"/>
              <w:spacing w:line="276" w:lineRule="auto"/>
              <w:ind w:left="0"/>
              <w:jc w:val="center"/>
              <w:rPr>
                <w:i/>
              </w:rPr>
            </w:pPr>
            <w:r w:rsidRPr="00051F31">
              <w:rPr>
                <w:i/>
                <w:iCs/>
              </w:rPr>
              <w:t>d</w:t>
            </w:r>
          </w:p>
        </w:tc>
      </w:tr>
      <w:tr w:rsidR="000C16CC" w14:paraId="5528C9F5" w14:textId="77777777" w:rsidTr="00B52DF9">
        <w:tc>
          <w:tcPr>
            <w:tcW w:w="1241" w:type="dxa"/>
            <w:tcBorders>
              <w:left w:val="nil"/>
              <w:bottom w:val="single" w:sz="4" w:space="0" w:color="auto"/>
              <w:right w:val="nil"/>
            </w:tcBorders>
          </w:tcPr>
          <w:p w14:paraId="2D6EE065" w14:textId="77777777" w:rsidR="000C16CC" w:rsidRDefault="000C16CC" w:rsidP="00B52DF9">
            <w:pPr>
              <w:pStyle w:val="Listeafsnit"/>
              <w:spacing w:line="276" w:lineRule="auto"/>
              <w:ind w:left="0"/>
            </w:pPr>
            <w:r>
              <w:t>End Capital</w:t>
            </w:r>
          </w:p>
        </w:tc>
        <w:tc>
          <w:tcPr>
            <w:tcW w:w="279" w:type="dxa"/>
            <w:tcBorders>
              <w:left w:val="nil"/>
              <w:bottom w:val="single" w:sz="4" w:space="0" w:color="auto"/>
              <w:right w:val="nil"/>
            </w:tcBorders>
          </w:tcPr>
          <w:p w14:paraId="11A35E2F" w14:textId="77777777" w:rsidR="000C16CC" w:rsidRDefault="000C16CC" w:rsidP="00B52DF9">
            <w:pPr>
              <w:pStyle w:val="Listeafsnit"/>
              <w:spacing w:line="276" w:lineRule="auto"/>
              <w:ind w:left="0"/>
            </w:pPr>
          </w:p>
        </w:tc>
        <w:tc>
          <w:tcPr>
            <w:tcW w:w="1031" w:type="dxa"/>
            <w:tcBorders>
              <w:left w:val="nil"/>
              <w:bottom w:val="single" w:sz="4" w:space="0" w:color="auto"/>
              <w:right w:val="nil"/>
            </w:tcBorders>
          </w:tcPr>
          <w:p w14:paraId="4360F33C" w14:textId="77777777" w:rsidR="000C16CC" w:rsidRDefault="000C16CC" w:rsidP="00B52DF9">
            <w:pPr>
              <w:pStyle w:val="Listeafsnit"/>
              <w:spacing w:line="276" w:lineRule="auto"/>
              <w:ind w:left="0"/>
            </w:pPr>
            <w:r>
              <w:t>1999.88</w:t>
            </w:r>
          </w:p>
        </w:tc>
        <w:tc>
          <w:tcPr>
            <w:tcW w:w="284" w:type="dxa"/>
            <w:tcBorders>
              <w:left w:val="nil"/>
              <w:bottom w:val="single" w:sz="4" w:space="0" w:color="auto"/>
              <w:right w:val="nil"/>
            </w:tcBorders>
          </w:tcPr>
          <w:p w14:paraId="79602D8B" w14:textId="77777777" w:rsidR="000C16CC" w:rsidRDefault="000C16CC" w:rsidP="00B52DF9">
            <w:pPr>
              <w:pStyle w:val="Listeafsnit"/>
              <w:spacing w:line="276" w:lineRule="auto"/>
              <w:ind w:left="0"/>
            </w:pPr>
          </w:p>
        </w:tc>
        <w:tc>
          <w:tcPr>
            <w:tcW w:w="997" w:type="dxa"/>
            <w:gridSpan w:val="2"/>
            <w:tcBorders>
              <w:left w:val="nil"/>
              <w:bottom w:val="single" w:sz="4" w:space="0" w:color="auto"/>
              <w:right w:val="nil"/>
            </w:tcBorders>
          </w:tcPr>
          <w:p w14:paraId="79C02B26" w14:textId="67A8D01D" w:rsidR="000C16CC" w:rsidRDefault="005E09F9" w:rsidP="00B52DF9">
            <w:pPr>
              <w:pStyle w:val="Listeafsnit"/>
              <w:spacing w:line="276" w:lineRule="auto"/>
              <w:ind w:left="0"/>
            </w:pPr>
            <w:r>
              <w:t>(</w:t>
            </w:r>
            <w:r w:rsidR="000C16CC">
              <w:t>866.07</w:t>
            </w:r>
            <w:r w:rsidR="00823CA1">
              <w:t>)</w:t>
            </w:r>
          </w:p>
        </w:tc>
        <w:tc>
          <w:tcPr>
            <w:tcW w:w="284" w:type="dxa"/>
            <w:gridSpan w:val="2"/>
            <w:tcBorders>
              <w:top w:val="single" w:sz="4" w:space="0" w:color="auto"/>
              <w:left w:val="nil"/>
              <w:bottom w:val="single" w:sz="4" w:space="0" w:color="auto"/>
              <w:right w:val="nil"/>
            </w:tcBorders>
          </w:tcPr>
          <w:p w14:paraId="5C44422B" w14:textId="77777777" w:rsidR="000C16CC" w:rsidRDefault="000C16CC" w:rsidP="00B52DF9">
            <w:pPr>
              <w:pStyle w:val="Listeafsnit"/>
              <w:spacing w:line="276" w:lineRule="auto"/>
              <w:ind w:left="0"/>
            </w:pPr>
          </w:p>
        </w:tc>
        <w:tc>
          <w:tcPr>
            <w:tcW w:w="992" w:type="dxa"/>
            <w:gridSpan w:val="2"/>
            <w:tcBorders>
              <w:left w:val="nil"/>
              <w:bottom w:val="single" w:sz="4" w:space="0" w:color="auto"/>
              <w:right w:val="nil"/>
            </w:tcBorders>
          </w:tcPr>
          <w:p w14:paraId="41AB6514" w14:textId="77777777" w:rsidR="000C16CC" w:rsidRDefault="000C16CC" w:rsidP="00B52DF9">
            <w:pPr>
              <w:pStyle w:val="Listeafsnit"/>
              <w:spacing w:line="276" w:lineRule="auto"/>
              <w:ind w:left="0"/>
            </w:pPr>
            <w:r>
              <w:t>2956.65</w:t>
            </w:r>
          </w:p>
        </w:tc>
        <w:tc>
          <w:tcPr>
            <w:tcW w:w="283" w:type="dxa"/>
            <w:gridSpan w:val="2"/>
            <w:tcBorders>
              <w:left w:val="nil"/>
              <w:bottom w:val="single" w:sz="4" w:space="0" w:color="auto"/>
              <w:right w:val="nil"/>
            </w:tcBorders>
          </w:tcPr>
          <w:p w14:paraId="67519AF6" w14:textId="77777777" w:rsidR="000C16CC" w:rsidRDefault="000C16CC" w:rsidP="00B52DF9">
            <w:pPr>
              <w:pStyle w:val="Listeafsnit"/>
              <w:spacing w:line="276" w:lineRule="auto"/>
              <w:ind w:left="0"/>
            </w:pPr>
          </w:p>
        </w:tc>
        <w:tc>
          <w:tcPr>
            <w:tcW w:w="1134" w:type="dxa"/>
            <w:gridSpan w:val="2"/>
            <w:tcBorders>
              <w:left w:val="nil"/>
              <w:bottom w:val="single" w:sz="4" w:space="0" w:color="auto"/>
              <w:right w:val="nil"/>
            </w:tcBorders>
          </w:tcPr>
          <w:p w14:paraId="40B2C262" w14:textId="3670E58D" w:rsidR="000C16CC" w:rsidRDefault="00823CA1" w:rsidP="00B52DF9">
            <w:pPr>
              <w:pStyle w:val="Listeafsnit"/>
              <w:spacing w:line="276" w:lineRule="auto"/>
              <w:ind w:left="0"/>
            </w:pPr>
            <w:r>
              <w:t>(</w:t>
            </w:r>
            <w:r w:rsidR="000C16CC">
              <w:t>1291.11</w:t>
            </w:r>
            <w:r>
              <w:t>)</w:t>
            </w:r>
          </w:p>
        </w:tc>
        <w:tc>
          <w:tcPr>
            <w:tcW w:w="283" w:type="dxa"/>
            <w:tcBorders>
              <w:top w:val="single" w:sz="4" w:space="0" w:color="auto"/>
              <w:left w:val="nil"/>
              <w:bottom w:val="single" w:sz="4" w:space="0" w:color="auto"/>
              <w:right w:val="nil"/>
            </w:tcBorders>
          </w:tcPr>
          <w:p w14:paraId="24D7FC79" w14:textId="77777777" w:rsidR="000C16CC" w:rsidRDefault="000C16CC" w:rsidP="00B52DF9">
            <w:pPr>
              <w:pStyle w:val="Listeafsnit"/>
              <w:spacing w:line="276" w:lineRule="auto"/>
              <w:ind w:left="0"/>
            </w:pPr>
          </w:p>
        </w:tc>
        <w:tc>
          <w:tcPr>
            <w:tcW w:w="851" w:type="dxa"/>
            <w:gridSpan w:val="2"/>
            <w:tcBorders>
              <w:left w:val="nil"/>
              <w:bottom w:val="single" w:sz="4" w:space="0" w:color="auto"/>
              <w:right w:val="nil"/>
            </w:tcBorders>
          </w:tcPr>
          <w:p w14:paraId="0CFD83C1" w14:textId="77777777" w:rsidR="000C16CC" w:rsidRDefault="000C16CC" w:rsidP="00B52DF9">
            <w:pPr>
              <w:pStyle w:val="Listeafsnit"/>
              <w:spacing w:line="276" w:lineRule="auto"/>
              <w:ind w:left="0"/>
            </w:pPr>
            <w:r>
              <w:t>9.89</w:t>
            </w:r>
          </w:p>
        </w:tc>
        <w:tc>
          <w:tcPr>
            <w:tcW w:w="283" w:type="dxa"/>
            <w:tcBorders>
              <w:left w:val="nil"/>
              <w:bottom w:val="single" w:sz="4" w:space="0" w:color="auto"/>
              <w:right w:val="nil"/>
            </w:tcBorders>
          </w:tcPr>
          <w:p w14:paraId="74B435C3" w14:textId="77777777" w:rsidR="000C16CC" w:rsidRDefault="000C16CC" w:rsidP="00B52DF9">
            <w:pPr>
              <w:pStyle w:val="Listeafsnit"/>
              <w:spacing w:line="276" w:lineRule="auto"/>
              <w:ind w:left="0"/>
            </w:pPr>
          </w:p>
        </w:tc>
        <w:tc>
          <w:tcPr>
            <w:tcW w:w="851" w:type="dxa"/>
            <w:gridSpan w:val="2"/>
            <w:tcBorders>
              <w:left w:val="nil"/>
              <w:bottom w:val="single" w:sz="4" w:space="0" w:color="auto"/>
              <w:right w:val="nil"/>
            </w:tcBorders>
          </w:tcPr>
          <w:p w14:paraId="407F71F3" w14:textId="77777777" w:rsidR="000C16CC" w:rsidRDefault="000C16CC" w:rsidP="00B52DF9">
            <w:pPr>
              <w:pStyle w:val="Listeafsnit"/>
              <w:spacing w:line="276" w:lineRule="auto"/>
              <w:ind w:left="0"/>
            </w:pPr>
            <w:r>
              <w:t>&lt; .001</w:t>
            </w:r>
          </w:p>
        </w:tc>
        <w:tc>
          <w:tcPr>
            <w:tcW w:w="283" w:type="dxa"/>
            <w:tcBorders>
              <w:left w:val="nil"/>
              <w:bottom w:val="single" w:sz="4" w:space="0" w:color="auto"/>
              <w:right w:val="nil"/>
            </w:tcBorders>
          </w:tcPr>
          <w:p w14:paraId="744357B5" w14:textId="77777777" w:rsidR="000C16CC" w:rsidRDefault="000C16CC" w:rsidP="00B52DF9">
            <w:pPr>
              <w:pStyle w:val="Listeafsnit"/>
              <w:spacing w:line="276" w:lineRule="auto"/>
              <w:ind w:left="0"/>
            </w:pPr>
          </w:p>
        </w:tc>
        <w:tc>
          <w:tcPr>
            <w:tcW w:w="709" w:type="dxa"/>
            <w:gridSpan w:val="2"/>
            <w:tcBorders>
              <w:left w:val="nil"/>
              <w:bottom w:val="single" w:sz="4" w:space="0" w:color="auto"/>
              <w:right w:val="nil"/>
            </w:tcBorders>
          </w:tcPr>
          <w:p w14:paraId="5688B230" w14:textId="54E2873B" w:rsidR="000C16CC" w:rsidRDefault="007505D6" w:rsidP="00B52DF9">
            <w:pPr>
              <w:pStyle w:val="Listeafsnit"/>
              <w:spacing w:line="276" w:lineRule="auto"/>
              <w:ind w:left="0"/>
            </w:pPr>
            <w:r>
              <w:t>-</w:t>
            </w:r>
            <w:r w:rsidR="000C16CC">
              <w:t>0.89</w:t>
            </w:r>
          </w:p>
        </w:tc>
      </w:tr>
      <w:tr w:rsidR="000C16CC" w:rsidRPr="00447485" w14:paraId="47837671" w14:textId="77777777" w:rsidTr="00B52DF9">
        <w:trPr>
          <w:gridAfter w:val="1"/>
          <w:wAfter w:w="288" w:type="dxa"/>
        </w:trPr>
        <w:tc>
          <w:tcPr>
            <w:tcW w:w="9497" w:type="dxa"/>
            <w:gridSpan w:val="22"/>
            <w:tcBorders>
              <w:left w:val="nil"/>
              <w:right w:val="nil"/>
            </w:tcBorders>
          </w:tcPr>
          <w:p w14:paraId="18D892C6" w14:textId="223AB410" w:rsidR="000C16CC" w:rsidRPr="008F5680" w:rsidRDefault="000C16CC" w:rsidP="00700DDA">
            <w:pPr>
              <w:pStyle w:val="Listeafsnit"/>
              <w:spacing w:line="276" w:lineRule="auto"/>
              <w:ind w:left="0"/>
              <w:rPr>
                <w:lang w:val="en-US"/>
              </w:rPr>
            </w:pPr>
            <w:r w:rsidRPr="00137BEA">
              <w:rPr>
                <w:i/>
                <w:lang w:val="en-US"/>
              </w:rPr>
              <w:t xml:space="preserve">Note: Values for </w:t>
            </w:r>
            <w:r w:rsidR="00071A6E">
              <w:rPr>
                <w:i/>
                <w:lang w:val="en-US"/>
              </w:rPr>
              <w:t>deck</w:t>
            </w:r>
            <w:r w:rsidRPr="00137BEA">
              <w:rPr>
                <w:i/>
                <w:lang w:val="en-US"/>
              </w:rPr>
              <w:t>-variables are displayed as mean share of total draws for each session. End capital shows the mean capital in DKK at the end of each session</w:t>
            </w:r>
            <w:r>
              <w:rPr>
                <w:lang w:val="en-US"/>
              </w:rPr>
              <w:t>.</w:t>
            </w:r>
          </w:p>
        </w:tc>
      </w:tr>
    </w:tbl>
    <w:p w14:paraId="62888348" w14:textId="77777777" w:rsidR="000C16CC" w:rsidRPr="000C16CC" w:rsidRDefault="000C16CC" w:rsidP="00700DDA">
      <w:pPr>
        <w:jc w:val="both"/>
        <w:rPr>
          <w:lang w:val="en-US"/>
        </w:rPr>
      </w:pPr>
    </w:p>
    <w:p w14:paraId="3A4424F9" w14:textId="45B294E9" w:rsidR="00FD4DFE" w:rsidRDefault="00DB7770" w:rsidP="00700DDA">
      <w:pPr>
        <w:jc w:val="both"/>
        <w:rPr>
          <w:lang w:val="en-GB"/>
        </w:rPr>
      </w:pPr>
      <w:r>
        <w:rPr>
          <w:lang w:val="en-GB"/>
        </w:rPr>
        <w:t xml:space="preserve">In session one, there are more draws from </w:t>
      </w:r>
      <w:r w:rsidR="006A6BAD">
        <w:rPr>
          <w:lang w:val="en-GB"/>
        </w:rPr>
        <w:t xml:space="preserve">profitable </w:t>
      </w:r>
      <w:r w:rsidR="000C3DFB">
        <w:rPr>
          <w:lang w:val="en-GB"/>
        </w:rPr>
        <w:t>deck</w:t>
      </w:r>
      <w:r w:rsidR="006A6BAD">
        <w:rPr>
          <w:lang w:val="en-GB"/>
        </w:rPr>
        <w:t>s than nonprofitable ones. This difference is significant</w:t>
      </w:r>
      <w:r w:rsidR="00C758D7">
        <w:rPr>
          <w:lang w:val="en-GB"/>
        </w:rPr>
        <w:t>, meaning that participants have learnt during this first session.</w:t>
      </w:r>
      <w:r w:rsidR="00CD1164">
        <w:rPr>
          <w:lang w:val="en-GB"/>
        </w:rPr>
        <w:t xml:space="preserve"> In session two this </w:t>
      </w:r>
      <w:r w:rsidR="005B0FDE">
        <w:rPr>
          <w:lang w:val="en-GB"/>
        </w:rPr>
        <w:t xml:space="preserve">learning </w:t>
      </w:r>
      <w:r w:rsidR="00CD1164">
        <w:rPr>
          <w:lang w:val="en-GB"/>
        </w:rPr>
        <w:t xml:space="preserve">is </w:t>
      </w:r>
      <w:r w:rsidR="00115FBF">
        <w:rPr>
          <w:lang w:val="en-GB"/>
        </w:rPr>
        <w:t>clearer</w:t>
      </w:r>
      <w:r w:rsidR="005B0FDE">
        <w:rPr>
          <w:lang w:val="en-GB"/>
        </w:rPr>
        <w:t xml:space="preserve"> w</w:t>
      </w:r>
      <w:r w:rsidR="002803AD">
        <w:rPr>
          <w:lang w:val="en-GB"/>
        </w:rPr>
        <w:t>ith a much greater effect size</w:t>
      </w:r>
      <w:r w:rsidR="00115FBF">
        <w:rPr>
          <w:lang w:val="en-GB"/>
        </w:rPr>
        <w:t xml:space="preserve">, </w:t>
      </w:r>
      <w:r w:rsidR="00C23000">
        <w:rPr>
          <w:lang w:val="en-GB"/>
        </w:rPr>
        <w:t xml:space="preserve">likely </w:t>
      </w:r>
      <w:r w:rsidR="00115FBF">
        <w:rPr>
          <w:lang w:val="en-GB"/>
        </w:rPr>
        <w:t xml:space="preserve">meaning that </w:t>
      </w:r>
      <w:r w:rsidR="00DB3D5C">
        <w:rPr>
          <w:lang w:val="en-GB"/>
        </w:rPr>
        <w:t>participants are sticking with their</w:t>
      </w:r>
      <w:r w:rsidR="009234A7">
        <w:rPr>
          <w:lang w:val="en-GB"/>
        </w:rPr>
        <w:t xml:space="preserve"> </w:t>
      </w:r>
      <w:r w:rsidR="00DB3D5C">
        <w:rPr>
          <w:lang w:val="en-GB"/>
        </w:rPr>
        <w:t xml:space="preserve">strategies </w:t>
      </w:r>
      <w:r w:rsidR="00C23000">
        <w:rPr>
          <w:lang w:val="en-GB"/>
        </w:rPr>
        <w:t>from the beginning of session two.</w:t>
      </w:r>
    </w:p>
    <w:p w14:paraId="01DB7770" w14:textId="5B81AC5F" w:rsidR="007A0686" w:rsidRDefault="007A0686" w:rsidP="00700DDA">
      <w:pPr>
        <w:jc w:val="both"/>
        <w:rPr>
          <w:lang w:val="en-GB"/>
        </w:rPr>
      </w:pPr>
    </w:p>
    <w:p w14:paraId="76F5AD33" w14:textId="1DF5AB04" w:rsidR="0090656E" w:rsidRPr="00DA48EE" w:rsidRDefault="00FC0000" w:rsidP="00700DDA">
      <w:pPr>
        <w:jc w:val="both"/>
        <w:rPr>
          <w:lang w:val="en-GB"/>
        </w:rPr>
      </w:pPr>
      <w:r>
        <w:rPr>
          <w:lang w:val="en-GB"/>
        </w:rPr>
        <w:lastRenderedPageBreak/>
        <w:t xml:space="preserve">Another indicator of a </w:t>
      </w:r>
      <w:r w:rsidRPr="00877C78">
        <w:rPr>
          <w:lang w:val="en-GB"/>
        </w:rPr>
        <w:t xml:space="preserve">proficient </w:t>
      </w:r>
      <w:r>
        <w:rPr>
          <w:lang w:val="en-GB"/>
        </w:rPr>
        <w:t>strategy</w:t>
      </w:r>
      <w:r w:rsidR="004A7994">
        <w:rPr>
          <w:lang w:val="en-GB"/>
        </w:rPr>
        <w:t xml:space="preserve"> would be a higher end capital in session two over session one.</w:t>
      </w:r>
      <w:r w:rsidR="002B5026">
        <w:rPr>
          <w:lang w:val="en-GB"/>
        </w:rPr>
        <w:t xml:space="preserve"> </w:t>
      </w:r>
      <w:r w:rsidR="005964A9">
        <w:rPr>
          <w:lang w:val="en-GB"/>
        </w:rPr>
        <w:t>This difference also proved significant</w:t>
      </w:r>
      <w:r w:rsidR="00F85545">
        <w:rPr>
          <w:lang w:val="en-GB"/>
        </w:rPr>
        <w:t xml:space="preserve">, with a substantially higher </w:t>
      </w:r>
      <w:r w:rsidR="00E67993">
        <w:rPr>
          <w:lang w:val="en-GB"/>
        </w:rPr>
        <w:t>mean end capital for session two</w:t>
      </w:r>
      <w:r w:rsidR="00A74D8C">
        <w:rPr>
          <w:lang w:val="en-GB"/>
        </w:rPr>
        <w:t xml:space="preserve"> (table 1).</w:t>
      </w:r>
    </w:p>
    <w:p w14:paraId="13EC3E07" w14:textId="58C54C61" w:rsidR="00D2285C" w:rsidRPr="0057603D" w:rsidRDefault="00351007" w:rsidP="00700DDA">
      <w:pPr>
        <w:pStyle w:val="Overskrift2"/>
        <w:rPr>
          <w:lang w:val="en-US"/>
        </w:rPr>
      </w:pPr>
      <w:bookmarkStart w:id="5" w:name="_Toc23092992"/>
      <w:r>
        <w:rPr>
          <w:lang w:val="en-US"/>
        </w:rPr>
        <w:t>Comparing end capital</w:t>
      </w:r>
      <w:bookmarkEnd w:id="5"/>
    </w:p>
    <w:p w14:paraId="3AC2D58F" w14:textId="0EBCD38D" w:rsidR="00C53D58" w:rsidRDefault="000B5C77" w:rsidP="00700DDA">
      <w:pPr>
        <w:jc w:val="both"/>
        <w:rPr>
          <w:lang w:val="en-GB"/>
        </w:rPr>
      </w:pPr>
      <w:r>
        <w:rPr>
          <w:lang w:val="en-GB"/>
        </w:rPr>
        <w:t>To test whether participants’ results differed significantly from the starting capital of 2000 DKK</w:t>
      </w:r>
      <w:r w:rsidR="008B48DB">
        <w:rPr>
          <w:lang w:val="en-GB"/>
        </w:rPr>
        <w:t xml:space="preserve">, which is also the expected </w:t>
      </w:r>
      <w:r w:rsidR="00EF761A">
        <w:rPr>
          <w:lang w:val="en-GB"/>
        </w:rPr>
        <w:t>mean end capital if all draws were made at random,</w:t>
      </w:r>
      <w:r>
        <w:rPr>
          <w:lang w:val="en-GB"/>
        </w:rPr>
        <w:t xml:space="preserve"> one sample </w:t>
      </w:r>
      <w:r>
        <w:rPr>
          <w:i/>
          <w:iCs/>
          <w:lang w:val="en-GB"/>
        </w:rPr>
        <w:t>t-</w:t>
      </w:r>
      <w:r>
        <w:rPr>
          <w:lang w:val="en-GB"/>
        </w:rPr>
        <w:t>tests were conducted</w:t>
      </w:r>
      <w:r w:rsidR="00BD06D9">
        <w:rPr>
          <w:lang w:val="en-GB"/>
        </w:rPr>
        <w:t>.</w:t>
      </w:r>
    </w:p>
    <w:p w14:paraId="7D0C6FDB" w14:textId="77777777" w:rsidR="00BD06D9" w:rsidRDefault="00BD06D9" w:rsidP="00700DDA">
      <w:pPr>
        <w:jc w:val="both"/>
        <w:rPr>
          <w:lang w:val="en-GB"/>
        </w:rPr>
      </w:pPr>
    </w:p>
    <w:p w14:paraId="1333BF43" w14:textId="5E6BB027" w:rsidR="005A6BE1" w:rsidRDefault="00347C0B" w:rsidP="00700DDA">
      <w:pPr>
        <w:jc w:val="both"/>
        <w:rPr>
          <w:lang w:val="en-US"/>
        </w:rPr>
      </w:pPr>
      <w:r>
        <w:rPr>
          <w:lang w:val="en-US"/>
        </w:rPr>
        <w:t xml:space="preserve">The </w:t>
      </w:r>
      <w:r w:rsidR="005A6BE1" w:rsidRPr="0012053D">
        <w:rPr>
          <w:i/>
          <w:iCs/>
          <w:lang w:val="en-US"/>
        </w:rPr>
        <w:t>t</w:t>
      </w:r>
      <w:r w:rsidR="005A6BE1" w:rsidRPr="0012053D">
        <w:rPr>
          <w:lang w:val="en-US"/>
        </w:rPr>
        <w:t xml:space="preserve">-tests (two-tailed, </w:t>
      </w:r>
      <w:r w:rsidR="005A6BE1" w:rsidRPr="0B2C3E01">
        <w:rPr>
          <w:lang w:val="en-US"/>
        </w:rPr>
        <w:t>α</w:t>
      </w:r>
      <w:r w:rsidR="005A6BE1" w:rsidRPr="0012053D">
        <w:rPr>
          <w:lang w:val="en-US"/>
        </w:rPr>
        <w:t xml:space="preserve"> = </w:t>
      </w:r>
      <w:r w:rsidR="005A6BE1">
        <w:rPr>
          <w:lang w:val="en-US"/>
        </w:rPr>
        <w:t>.05) showed a significant difference from 2000 DKK in end capital (</w:t>
      </w:r>
      <w:r w:rsidR="005A6BE1" w:rsidRPr="0003601C">
        <w:rPr>
          <w:i/>
          <w:iCs/>
          <w:lang w:val="en-US"/>
        </w:rPr>
        <w:t>M</w:t>
      </w:r>
      <w:r w:rsidR="005A6BE1">
        <w:rPr>
          <w:lang w:val="en-US"/>
        </w:rPr>
        <w:t xml:space="preserve"> = 2956.65, </w:t>
      </w:r>
      <w:r w:rsidR="005A6BE1">
        <w:rPr>
          <w:i/>
          <w:iCs/>
          <w:lang w:val="en-US"/>
        </w:rPr>
        <w:t>SD</w:t>
      </w:r>
      <w:r w:rsidR="005A6BE1">
        <w:rPr>
          <w:lang w:val="en-US"/>
        </w:rPr>
        <w:t xml:space="preserve"> = 1291.11) </w:t>
      </w:r>
      <w:r w:rsidR="005A6BE1" w:rsidRPr="0003601C">
        <w:rPr>
          <w:lang w:val="en-US"/>
        </w:rPr>
        <w:t>for</w:t>
      </w:r>
      <w:r w:rsidR="005A6BE1">
        <w:rPr>
          <w:lang w:val="en-US"/>
        </w:rPr>
        <w:t xml:space="preserve"> session 2, </w:t>
      </w:r>
      <w:r w:rsidR="005A6BE1">
        <w:rPr>
          <w:i/>
          <w:iCs/>
          <w:lang w:val="en-US"/>
        </w:rPr>
        <w:t>t</w:t>
      </w:r>
      <w:r w:rsidR="005A6BE1">
        <w:rPr>
          <w:lang w:val="en-US"/>
        </w:rPr>
        <w:t xml:space="preserve">(202) = 10.56, </w:t>
      </w:r>
      <w:r w:rsidR="005A6BE1">
        <w:rPr>
          <w:i/>
          <w:iCs/>
          <w:lang w:val="en-US"/>
        </w:rPr>
        <w:t>p</w:t>
      </w:r>
      <w:r w:rsidR="005A6BE1">
        <w:rPr>
          <w:lang w:val="en-US"/>
        </w:rPr>
        <w:t xml:space="preserve"> &lt; .001, </w:t>
      </w:r>
      <w:r w:rsidR="005A6BE1">
        <w:rPr>
          <w:i/>
          <w:iCs/>
          <w:lang w:val="en-US"/>
        </w:rPr>
        <w:t>d</w:t>
      </w:r>
      <w:r w:rsidR="005A6BE1">
        <w:rPr>
          <w:lang w:val="en-US"/>
        </w:rPr>
        <w:t xml:space="preserve"> = 0.</w:t>
      </w:r>
      <w:r w:rsidR="00A17B3D">
        <w:rPr>
          <w:lang w:val="en-US"/>
        </w:rPr>
        <w:t>74</w:t>
      </w:r>
      <w:r w:rsidR="005A6BE1">
        <w:rPr>
          <w:lang w:val="en-US"/>
        </w:rPr>
        <w:t>, but no significant difference from 2000 DKK in end capital (</w:t>
      </w:r>
      <w:r w:rsidR="005A6BE1" w:rsidRPr="0003601C">
        <w:rPr>
          <w:i/>
          <w:iCs/>
          <w:lang w:val="en-US"/>
        </w:rPr>
        <w:t>M</w:t>
      </w:r>
      <w:r w:rsidR="005A6BE1">
        <w:rPr>
          <w:lang w:val="en-US"/>
        </w:rPr>
        <w:t xml:space="preserve"> = 1999.88, </w:t>
      </w:r>
      <w:r w:rsidR="005A6BE1">
        <w:rPr>
          <w:i/>
          <w:iCs/>
          <w:lang w:val="en-US"/>
        </w:rPr>
        <w:t>SD</w:t>
      </w:r>
      <w:r w:rsidR="005A6BE1">
        <w:rPr>
          <w:lang w:val="en-US"/>
        </w:rPr>
        <w:t xml:space="preserve"> = 866.07) for session 1, </w:t>
      </w:r>
      <w:r w:rsidR="005A6BE1">
        <w:rPr>
          <w:i/>
          <w:iCs/>
          <w:lang w:val="en-US"/>
        </w:rPr>
        <w:t>t</w:t>
      </w:r>
      <w:r w:rsidR="005A6BE1">
        <w:rPr>
          <w:lang w:val="en-US"/>
        </w:rPr>
        <w:t xml:space="preserve">(202) = -0.002, </w:t>
      </w:r>
      <w:r w:rsidR="005A6BE1">
        <w:rPr>
          <w:i/>
          <w:iCs/>
          <w:lang w:val="en-US"/>
        </w:rPr>
        <w:t>p</w:t>
      </w:r>
      <w:r w:rsidR="005A6BE1">
        <w:rPr>
          <w:lang w:val="en-US"/>
        </w:rPr>
        <w:t xml:space="preserve"> = .998, </w:t>
      </w:r>
      <w:r w:rsidR="005A6BE1">
        <w:rPr>
          <w:i/>
          <w:iCs/>
          <w:lang w:val="en-US"/>
        </w:rPr>
        <w:t>d</w:t>
      </w:r>
      <w:r w:rsidR="005A6BE1">
        <w:rPr>
          <w:lang w:val="en-US"/>
        </w:rPr>
        <w:t xml:space="preserve"> = 0.</w:t>
      </w:r>
      <w:r w:rsidR="001A4783">
        <w:rPr>
          <w:lang w:val="en-US"/>
        </w:rPr>
        <w:t>00</w:t>
      </w:r>
      <w:r w:rsidR="005A6BE1">
        <w:rPr>
          <w:lang w:val="en-US"/>
        </w:rPr>
        <w:t>.</w:t>
      </w:r>
    </w:p>
    <w:p w14:paraId="196213CA" w14:textId="7B9AC32D" w:rsidR="00006D5F" w:rsidRDefault="00815F56" w:rsidP="0084781B">
      <w:pPr>
        <w:ind w:firstLine="567"/>
        <w:jc w:val="both"/>
        <w:rPr>
          <w:lang w:val="en-GB"/>
        </w:rPr>
      </w:pPr>
      <w:r>
        <w:rPr>
          <w:lang w:val="en-GB"/>
        </w:rPr>
        <w:t xml:space="preserve">This implies that participants decided on a strategy rather late, if at all, in session one, putting their </w:t>
      </w:r>
      <w:r w:rsidR="00C15494">
        <w:rPr>
          <w:lang w:val="en-GB"/>
        </w:rPr>
        <w:t xml:space="preserve">results </w:t>
      </w:r>
      <w:r>
        <w:rPr>
          <w:lang w:val="en-GB"/>
        </w:rPr>
        <w:t xml:space="preserve">strikingly close to </w:t>
      </w:r>
      <w:r w:rsidR="00C15494">
        <w:rPr>
          <w:lang w:val="en-GB"/>
        </w:rPr>
        <w:t>that of random draws. For sessions two</w:t>
      </w:r>
      <w:r w:rsidR="006B2502">
        <w:rPr>
          <w:lang w:val="en-GB"/>
        </w:rPr>
        <w:t xml:space="preserve">, </w:t>
      </w:r>
      <w:r w:rsidR="004A6BF2">
        <w:rPr>
          <w:lang w:val="en-GB"/>
        </w:rPr>
        <w:t>participants earn a significant amount of money</w:t>
      </w:r>
      <w:r w:rsidR="00756B0A">
        <w:rPr>
          <w:lang w:val="en-GB"/>
        </w:rPr>
        <w:t>, meaning they have successfully employed their strategies.</w:t>
      </w:r>
    </w:p>
    <w:p w14:paraId="14FCF118" w14:textId="77777777" w:rsidR="00863C64" w:rsidRDefault="00863C64" w:rsidP="00700DDA">
      <w:pPr>
        <w:jc w:val="both"/>
        <w:rPr>
          <w:lang w:val="en-GB"/>
        </w:rPr>
      </w:pPr>
    </w:p>
    <w:p w14:paraId="11294E4F" w14:textId="4193F73B" w:rsidR="008A3679" w:rsidRDefault="00992779" w:rsidP="00700DDA">
      <w:pPr>
        <w:jc w:val="both"/>
        <w:rPr>
          <w:lang w:val="en-GB"/>
        </w:rPr>
      </w:pPr>
      <w:r>
        <w:rPr>
          <w:lang w:val="en-GB"/>
        </w:rPr>
        <w:t>To determine whether</w:t>
      </w:r>
      <w:r w:rsidR="00F273BE">
        <w:rPr>
          <w:lang w:val="en-GB"/>
        </w:rPr>
        <w:t xml:space="preserve"> profits </w:t>
      </w:r>
      <w:r w:rsidR="003C4A9F">
        <w:rPr>
          <w:lang w:val="en-GB"/>
        </w:rPr>
        <w:t>were generated by</w:t>
      </w:r>
      <w:r w:rsidR="007C4CD0">
        <w:rPr>
          <w:lang w:val="en-GB"/>
        </w:rPr>
        <w:t xml:space="preserve"> strategies rather than</w:t>
      </w:r>
      <w:r w:rsidR="003C4A9F">
        <w:rPr>
          <w:lang w:val="en-GB"/>
        </w:rPr>
        <w:t xml:space="preserve"> chance</w:t>
      </w:r>
      <w:r w:rsidR="00F06E39">
        <w:rPr>
          <w:lang w:val="en-GB"/>
        </w:rPr>
        <w:t>,</w:t>
      </w:r>
      <w:r w:rsidR="006335E5">
        <w:rPr>
          <w:lang w:val="en-GB"/>
        </w:rPr>
        <w:t xml:space="preserve"> </w:t>
      </w:r>
      <w:r w:rsidR="0099517E">
        <w:rPr>
          <w:lang w:val="en-GB"/>
        </w:rPr>
        <w:t>a</w:t>
      </w:r>
      <w:r w:rsidR="007F7A06">
        <w:rPr>
          <w:lang w:val="en-GB"/>
        </w:rPr>
        <w:t>n examination was made of</w:t>
      </w:r>
      <w:r w:rsidR="008236AD">
        <w:rPr>
          <w:lang w:val="en-GB"/>
        </w:rPr>
        <w:t xml:space="preserve"> </w:t>
      </w:r>
      <w:r w:rsidR="009E6887">
        <w:rPr>
          <w:lang w:val="en-GB"/>
        </w:rPr>
        <w:t>correlations of end capital for sessions one and two</w:t>
      </w:r>
      <w:r w:rsidR="007F7A06">
        <w:rPr>
          <w:lang w:val="en-GB"/>
        </w:rPr>
        <w:t>.</w:t>
      </w:r>
    </w:p>
    <w:p w14:paraId="0E06DAC9" w14:textId="517CE31D" w:rsidR="00ED5C36" w:rsidRPr="00D800B4" w:rsidRDefault="00723C1A" w:rsidP="00D800B4">
      <w:pPr>
        <w:ind w:firstLine="567"/>
        <w:jc w:val="both"/>
        <w:rPr>
          <w:lang w:val="en-US"/>
        </w:rPr>
      </w:pPr>
      <w:r w:rsidRPr="00E33FE3">
        <w:rPr>
          <w:lang w:val="en-US"/>
        </w:rPr>
        <w:t xml:space="preserve">A </w:t>
      </w:r>
      <w:r>
        <w:rPr>
          <w:lang w:val="en-US"/>
        </w:rPr>
        <w:t xml:space="preserve">two-tailed </w:t>
      </w:r>
      <w:r w:rsidRPr="00E33FE3">
        <w:rPr>
          <w:lang w:val="en-US"/>
        </w:rPr>
        <w:t>Pearson’s correlation showed a significant</w:t>
      </w:r>
      <w:r>
        <w:rPr>
          <w:lang w:val="en-US"/>
        </w:rPr>
        <w:t xml:space="preserve"> positive</w:t>
      </w:r>
      <w:r w:rsidRPr="00E33FE3">
        <w:rPr>
          <w:lang w:val="en-US"/>
        </w:rPr>
        <w:t xml:space="preserve"> </w:t>
      </w:r>
      <w:r>
        <w:rPr>
          <w:lang w:val="en-US"/>
        </w:rPr>
        <w:t xml:space="preserve">correlation between end capital for session 1 and end capital for session 2, </w:t>
      </w:r>
      <w:r>
        <w:rPr>
          <w:i/>
          <w:iCs/>
          <w:lang w:val="en-US"/>
        </w:rPr>
        <w:t>r</w:t>
      </w:r>
      <w:r>
        <w:rPr>
          <w:lang w:val="en-US"/>
        </w:rPr>
        <w:t xml:space="preserve">(201) = .23, </w:t>
      </w:r>
      <w:r>
        <w:rPr>
          <w:i/>
          <w:iCs/>
          <w:lang w:val="en-US"/>
        </w:rPr>
        <w:t>p</w:t>
      </w:r>
      <w:r>
        <w:rPr>
          <w:lang w:val="en-US"/>
        </w:rPr>
        <w:t xml:space="preserve"> &lt; .001. </w:t>
      </w:r>
      <w:r w:rsidR="006E1278">
        <w:rPr>
          <w:lang w:val="en-GB"/>
        </w:rPr>
        <w:t>meaning that those who did well in the first session were likely to do well in session two as well.</w:t>
      </w:r>
    </w:p>
    <w:p w14:paraId="540FE0B5" w14:textId="6E4F6D10" w:rsidR="00593082" w:rsidRDefault="00593082" w:rsidP="00593082">
      <w:pPr>
        <w:pStyle w:val="Overskrift2"/>
        <w:rPr>
          <w:lang w:val="en-GB"/>
        </w:rPr>
      </w:pPr>
      <w:r>
        <w:rPr>
          <w:lang w:val="en-GB"/>
        </w:rPr>
        <w:t xml:space="preserve">Age and profit </w:t>
      </w:r>
      <w:r w:rsidR="00D800B4">
        <w:rPr>
          <w:lang w:val="en-GB"/>
        </w:rPr>
        <w:t>are not correlated</w:t>
      </w:r>
    </w:p>
    <w:p w14:paraId="0BFC9B85" w14:textId="1D8D7375" w:rsidR="00ED5C36" w:rsidRPr="00877C78" w:rsidRDefault="00747A83" w:rsidP="00700DDA">
      <w:pPr>
        <w:jc w:val="both"/>
        <w:rPr>
          <w:lang w:val="en-GB"/>
        </w:rPr>
      </w:pPr>
      <w:r>
        <w:rPr>
          <w:lang w:val="en-GB"/>
        </w:rPr>
        <w:t>If risk tolerance decreases with age</w:t>
      </w:r>
      <w:r w:rsidR="009A2CF4">
        <w:rPr>
          <w:lang w:val="en-GB"/>
        </w:rPr>
        <w:t>, one might expect to find a positive correlation between participant a</w:t>
      </w:r>
      <w:r w:rsidR="001F01F9">
        <w:rPr>
          <w:lang w:val="en-GB"/>
        </w:rPr>
        <w:t xml:space="preserve">ge and end capital for session two, as the </w:t>
      </w:r>
      <w:r w:rsidR="005A32E0">
        <w:rPr>
          <w:lang w:val="en-GB"/>
        </w:rPr>
        <w:t>more consistent</w:t>
      </w:r>
      <w:r w:rsidR="00B35865">
        <w:rPr>
          <w:lang w:val="en-GB"/>
        </w:rPr>
        <w:t>ly safe</w:t>
      </w:r>
      <w:r w:rsidR="005A32E0">
        <w:rPr>
          <w:lang w:val="en-GB"/>
        </w:rPr>
        <w:t xml:space="preserve"> participants would</w:t>
      </w:r>
      <w:r w:rsidR="002C3CFA">
        <w:rPr>
          <w:lang w:val="en-GB"/>
        </w:rPr>
        <w:t xml:space="preserve"> earn more money</w:t>
      </w:r>
      <w:r w:rsidR="00F12C5F">
        <w:rPr>
          <w:lang w:val="en-GB"/>
        </w:rPr>
        <w:t xml:space="preserve"> </w:t>
      </w:r>
      <w:r w:rsidR="00F12C5F">
        <w:rPr>
          <w:lang w:val="en-GB"/>
        </w:rPr>
        <w:fldChar w:fldCharType="begin" w:fldLock="1"/>
      </w:r>
      <w:r w:rsidR="00456D8D">
        <w:rPr>
          <w:lang w:val="en-GB"/>
        </w:rPr>
        <w:instrText>ADDIN CSL_CITATION {"citationItems":[{"id":"ITEM-1","itemData":{"abstract":"MÅ ALDRIG DELES","author":[{"dropping-particle":"","family":"Purves","given":"Dale","non-dropping-particle":"","parse-names":false,"suffix":""},{"dropping-particle":"","family":"Cabeza","given":"Roberto","non-dropping-particle":"","parse-names":false,"suffix":""},{"dropping-particle":"","family":"Huettel","given":"Scott A.","non-dropping-particle":"","parse-names":false,"suffix":""},{"dropping-particle":"","family":"LaBar","given":"Kevin S.","non-dropping-particle":"","parse-names":false,"suffix":""},{"dropping-particle":"","family":"Platt","given":"Michael L.","non-dropping-particle":"","parse-names":false,"suffix":""},{"dropping-particle":"","family":"Woldorff","given":"Marty G.","non-dropping-particle":"","parse-names":false,"suffix":""}],"edition":"2","id":"ITEM-1","issued":{"date-parts":[["2013"]]},"publisher":"Sinauer Associates, Inc., Publishers","publisher-place":"Sunderland, Massachusetts","title":"Principles of Cognitive Neuroscience","type":"book"},"uris":["http://www.mendeley.com/documents/?uuid=0d82e883-c1ee-4174-b840-476900ed37ef"]}],"mendeley":{"formattedCitation":"(Purves et al., 2013)","plainTextFormattedCitation":"(Purves et al., 2013)","previouslyFormattedCitation":"(Purves et al., 2013)"},"properties":{"noteIndex":0},"schema":"https://github.com/citation-style-language/schema/raw/master/csl-citation.json"}</w:instrText>
      </w:r>
      <w:r w:rsidR="00F12C5F">
        <w:rPr>
          <w:lang w:val="en-GB"/>
        </w:rPr>
        <w:fldChar w:fldCharType="separate"/>
      </w:r>
      <w:r w:rsidR="00F12C5F" w:rsidRPr="00F12C5F">
        <w:rPr>
          <w:noProof/>
          <w:lang w:val="en-GB"/>
        </w:rPr>
        <w:t>(Purves et al., 2013)</w:t>
      </w:r>
      <w:r w:rsidR="00F12C5F">
        <w:rPr>
          <w:lang w:val="en-GB"/>
        </w:rPr>
        <w:fldChar w:fldCharType="end"/>
      </w:r>
      <w:r w:rsidR="00B7631E">
        <w:rPr>
          <w:lang w:val="en-GB"/>
        </w:rPr>
        <w:t>.</w:t>
      </w:r>
    </w:p>
    <w:p w14:paraId="6FB62D92" w14:textId="77777777" w:rsidR="002C3CFA" w:rsidRPr="00A16966" w:rsidRDefault="002C3CFA" w:rsidP="00700DDA">
      <w:pPr>
        <w:jc w:val="both"/>
        <w:rPr>
          <w:lang w:val="en-GB"/>
        </w:rPr>
      </w:pPr>
    </w:p>
    <w:p w14:paraId="45957B3C" w14:textId="77777777" w:rsidR="00826E13" w:rsidRPr="00AB3338" w:rsidRDefault="00826E13" w:rsidP="00700DDA">
      <w:pPr>
        <w:jc w:val="both"/>
        <w:rPr>
          <w:lang w:val="en-US"/>
        </w:rPr>
      </w:pPr>
      <w:r w:rsidRPr="00E33FE3">
        <w:rPr>
          <w:lang w:val="en-US"/>
        </w:rPr>
        <w:t xml:space="preserve">A </w:t>
      </w:r>
      <w:r>
        <w:rPr>
          <w:lang w:val="en-US"/>
        </w:rPr>
        <w:t xml:space="preserve">two-tailed </w:t>
      </w:r>
      <w:r w:rsidRPr="00E33FE3">
        <w:rPr>
          <w:lang w:val="en-US"/>
        </w:rPr>
        <w:t xml:space="preserve">Pearson’s correlation showed </w:t>
      </w:r>
      <w:r>
        <w:rPr>
          <w:lang w:val="en-US"/>
        </w:rPr>
        <w:t>no significant</w:t>
      </w:r>
      <w:r w:rsidRPr="00E33FE3">
        <w:rPr>
          <w:lang w:val="en-US"/>
        </w:rPr>
        <w:t xml:space="preserve"> </w:t>
      </w:r>
      <w:r>
        <w:rPr>
          <w:lang w:val="en-US"/>
        </w:rPr>
        <w:t xml:space="preserve">correlation between age and end capital for session 2, </w:t>
      </w:r>
      <w:r>
        <w:rPr>
          <w:i/>
          <w:iCs/>
          <w:lang w:val="en-US"/>
        </w:rPr>
        <w:t>r</w:t>
      </w:r>
      <w:r>
        <w:rPr>
          <w:lang w:val="en-US"/>
        </w:rPr>
        <w:t xml:space="preserve">(201) = .04, </w:t>
      </w:r>
      <w:r>
        <w:rPr>
          <w:i/>
          <w:iCs/>
          <w:lang w:val="en-US"/>
        </w:rPr>
        <w:t>p</w:t>
      </w:r>
      <w:r>
        <w:rPr>
          <w:lang w:val="en-US"/>
        </w:rPr>
        <w:t xml:space="preserve"> = .60.</w:t>
      </w:r>
    </w:p>
    <w:p w14:paraId="46D73CF2" w14:textId="3D09EE44" w:rsidR="000570CD" w:rsidRDefault="000570CD" w:rsidP="000C0CC8">
      <w:pPr>
        <w:ind w:firstLine="567"/>
        <w:jc w:val="both"/>
        <w:rPr>
          <w:lang w:val="en-GB"/>
        </w:rPr>
      </w:pPr>
      <w:r>
        <w:rPr>
          <w:lang w:val="en-GB"/>
        </w:rPr>
        <w:t>Th</w:t>
      </w:r>
      <w:r w:rsidR="007F14B0">
        <w:rPr>
          <w:lang w:val="en-GB"/>
        </w:rPr>
        <w:t xml:space="preserve">is </w:t>
      </w:r>
      <w:r w:rsidR="009231EA">
        <w:rPr>
          <w:lang w:val="en-GB"/>
        </w:rPr>
        <w:t xml:space="preserve">does not </w:t>
      </w:r>
      <w:r w:rsidR="007F14B0">
        <w:rPr>
          <w:lang w:val="en-GB"/>
        </w:rPr>
        <w:t xml:space="preserve">provide evidence that older </w:t>
      </w:r>
      <w:r w:rsidR="00DD0E92">
        <w:rPr>
          <w:lang w:val="en-GB"/>
        </w:rPr>
        <w:t xml:space="preserve">participants were more risk averse, </w:t>
      </w:r>
      <w:r w:rsidR="00DF0C3E">
        <w:rPr>
          <w:lang w:val="en-GB"/>
        </w:rPr>
        <w:t xml:space="preserve">but </w:t>
      </w:r>
      <w:r w:rsidR="00D41687">
        <w:rPr>
          <w:lang w:val="en-GB"/>
        </w:rPr>
        <w:t xml:space="preserve">the </w:t>
      </w:r>
      <w:r w:rsidR="006479A0">
        <w:rPr>
          <w:lang w:val="en-GB"/>
        </w:rPr>
        <w:t>non</w:t>
      </w:r>
      <w:r w:rsidR="00D41687">
        <w:rPr>
          <w:lang w:val="en-GB"/>
        </w:rPr>
        <w:t>significan</w:t>
      </w:r>
      <w:r w:rsidR="006479A0">
        <w:rPr>
          <w:lang w:val="en-GB"/>
        </w:rPr>
        <w:t>t</w:t>
      </w:r>
      <w:r w:rsidR="00D41687">
        <w:rPr>
          <w:lang w:val="en-GB"/>
        </w:rPr>
        <w:t xml:space="preserve"> result may be </w:t>
      </w:r>
      <w:r w:rsidR="008C2A1B">
        <w:rPr>
          <w:lang w:val="en-GB"/>
        </w:rPr>
        <w:t xml:space="preserve">due to the </w:t>
      </w:r>
      <w:r w:rsidR="00C34A49">
        <w:rPr>
          <w:lang w:val="en-GB"/>
        </w:rPr>
        <w:t>narrow age</w:t>
      </w:r>
      <w:r w:rsidR="00A16812">
        <w:rPr>
          <w:lang w:val="en-GB"/>
        </w:rPr>
        <w:t xml:space="preserve"> group included in the </w:t>
      </w:r>
      <w:r w:rsidR="00587165">
        <w:rPr>
          <w:lang w:val="en-GB"/>
        </w:rPr>
        <w:t>sample</w:t>
      </w:r>
      <w:r w:rsidR="006134AE">
        <w:rPr>
          <w:lang w:val="en-GB"/>
        </w:rPr>
        <w:t>.</w:t>
      </w:r>
    </w:p>
    <w:p w14:paraId="63549BD7" w14:textId="778D3D5F" w:rsidR="002D7DAA" w:rsidRDefault="002D7DAA" w:rsidP="00700DDA">
      <w:pPr>
        <w:pStyle w:val="Overskrift2"/>
        <w:rPr>
          <w:lang w:val="en-GB"/>
        </w:rPr>
      </w:pPr>
      <w:bookmarkStart w:id="6" w:name="_Toc23092993"/>
      <w:r>
        <w:rPr>
          <w:lang w:val="en-GB"/>
        </w:rPr>
        <w:lastRenderedPageBreak/>
        <w:t>A detailed look at decisions</w:t>
      </w:r>
      <w:bookmarkEnd w:id="6"/>
    </w:p>
    <w:p w14:paraId="3BC06792" w14:textId="711BFE30" w:rsidR="00F910DF" w:rsidRDefault="007252E8" w:rsidP="00700DDA">
      <w:pPr>
        <w:jc w:val="both"/>
        <w:rPr>
          <w:lang w:val="en-GB"/>
        </w:rPr>
      </w:pPr>
      <w:r>
        <w:rPr>
          <w:lang w:val="en-GB"/>
        </w:rPr>
        <w:t xml:space="preserve">Investigating </w:t>
      </w:r>
      <w:r w:rsidR="00D830D6">
        <w:rPr>
          <w:lang w:val="en-GB"/>
        </w:rPr>
        <w:t>the individual plots for FP19201</w:t>
      </w:r>
      <w:r w:rsidR="00132A84">
        <w:rPr>
          <w:lang w:val="en-GB"/>
        </w:rPr>
        <w:t xml:space="preserve"> (Figure </w:t>
      </w:r>
      <w:r w:rsidR="003E40C7">
        <w:rPr>
          <w:lang w:val="en-GB"/>
        </w:rPr>
        <w:t>2</w:t>
      </w:r>
      <w:r w:rsidR="00132A84">
        <w:rPr>
          <w:lang w:val="en-GB"/>
        </w:rPr>
        <w:t xml:space="preserve">, Figure </w:t>
      </w:r>
      <w:r w:rsidR="003E40C7">
        <w:rPr>
          <w:lang w:val="en-GB"/>
        </w:rPr>
        <w:t>3</w:t>
      </w:r>
      <w:r w:rsidR="00132A84">
        <w:rPr>
          <w:lang w:val="en-GB"/>
        </w:rPr>
        <w:t>)</w:t>
      </w:r>
      <w:r w:rsidR="00D830D6">
        <w:rPr>
          <w:lang w:val="en-GB"/>
        </w:rPr>
        <w:t xml:space="preserve"> reveals an initial testing phase in which each </w:t>
      </w:r>
      <w:r w:rsidR="000C3DFB">
        <w:rPr>
          <w:lang w:val="en-GB"/>
        </w:rPr>
        <w:t>deck</w:t>
      </w:r>
      <w:r w:rsidR="00D830D6">
        <w:rPr>
          <w:lang w:val="en-GB"/>
        </w:rPr>
        <w:t xml:space="preserve"> is tested</w:t>
      </w:r>
      <w:r w:rsidR="00CB18F5">
        <w:rPr>
          <w:lang w:val="en-GB"/>
        </w:rPr>
        <w:t xml:space="preserve">. This results in </w:t>
      </w:r>
      <w:r w:rsidR="009603D1">
        <w:rPr>
          <w:lang w:val="en-GB"/>
        </w:rPr>
        <w:t xml:space="preserve">capital </w:t>
      </w:r>
      <w:r w:rsidR="00A5784B">
        <w:rPr>
          <w:lang w:val="en-GB"/>
        </w:rPr>
        <w:t>increasing and decreasing radically</w:t>
      </w:r>
      <w:r w:rsidR="00AE592A">
        <w:rPr>
          <w:lang w:val="en-GB"/>
        </w:rPr>
        <w:t xml:space="preserve">. FP19201 </w:t>
      </w:r>
      <w:r w:rsidR="00DD3E00">
        <w:rPr>
          <w:lang w:val="en-GB"/>
        </w:rPr>
        <w:t xml:space="preserve">tests the different </w:t>
      </w:r>
      <w:r w:rsidR="000C3DFB">
        <w:rPr>
          <w:lang w:val="en-GB"/>
        </w:rPr>
        <w:t>deck</w:t>
      </w:r>
      <w:r w:rsidR="00DD3E00">
        <w:rPr>
          <w:lang w:val="en-GB"/>
        </w:rPr>
        <w:t xml:space="preserve">s until </w:t>
      </w:r>
      <w:r w:rsidR="0084435D">
        <w:rPr>
          <w:lang w:val="en-GB"/>
        </w:rPr>
        <w:t xml:space="preserve">around draw </w:t>
      </w:r>
      <w:r w:rsidR="00411951">
        <w:rPr>
          <w:lang w:val="en-GB"/>
        </w:rPr>
        <w:t>#50</w:t>
      </w:r>
      <w:r w:rsidR="00F344FA">
        <w:rPr>
          <w:lang w:val="en-GB"/>
        </w:rPr>
        <w:t>,</w:t>
      </w:r>
      <w:r w:rsidR="00411951">
        <w:rPr>
          <w:lang w:val="en-GB"/>
        </w:rPr>
        <w:t xml:space="preserve"> at which point </w:t>
      </w:r>
      <w:r w:rsidR="00F344FA">
        <w:rPr>
          <w:lang w:val="en-GB"/>
        </w:rPr>
        <w:t>a net loss has be</w:t>
      </w:r>
      <w:r w:rsidR="006479A0">
        <w:rPr>
          <w:lang w:val="en-GB"/>
        </w:rPr>
        <w:t>e</w:t>
      </w:r>
      <w:r w:rsidR="00F344FA">
        <w:rPr>
          <w:lang w:val="en-GB"/>
        </w:rPr>
        <w:t xml:space="preserve">n incurred, </w:t>
      </w:r>
      <w:r w:rsidR="00455EBB">
        <w:rPr>
          <w:lang w:val="en-GB"/>
        </w:rPr>
        <w:t>and the participant decides on a strategy. This strategy is</w:t>
      </w:r>
      <w:r w:rsidR="00463897">
        <w:rPr>
          <w:lang w:val="en-GB"/>
        </w:rPr>
        <w:t xml:space="preserve"> diligently</w:t>
      </w:r>
      <w:r w:rsidR="00455EBB">
        <w:rPr>
          <w:lang w:val="en-GB"/>
        </w:rPr>
        <w:t xml:space="preserve"> maintained throughout the rest of both experiments</w:t>
      </w:r>
      <w:r w:rsidR="00623AC1">
        <w:rPr>
          <w:lang w:val="en-GB"/>
        </w:rPr>
        <w:t>.</w:t>
      </w:r>
    </w:p>
    <w:p w14:paraId="3F76CD7D" w14:textId="78C2D213" w:rsidR="00CA4895" w:rsidRDefault="007C7324" w:rsidP="00700DDA">
      <w:pPr>
        <w:jc w:val="both"/>
        <w:rPr>
          <w:lang w:val="en-GB"/>
        </w:rPr>
      </w:pPr>
      <w:r>
        <w:rPr>
          <w:noProof/>
        </w:rPr>
        <w:drawing>
          <wp:anchor distT="0" distB="0" distL="114300" distR="114300" simplePos="0" relativeHeight="251658240" behindDoc="1" locked="0" layoutInCell="1" allowOverlap="1" wp14:anchorId="2DAB3BA9" wp14:editId="6729DBF2">
            <wp:simplePos x="0" y="0"/>
            <wp:positionH relativeFrom="column">
              <wp:posOffset>-5080</wp:posOffset>
            </wp:positionH>
            <wp:positionV relativeFrom="paragraph">
              <wp:posOffset>1270</wp:posOffset>
            </wp:positionV>
            <wp:extent cx="6445885" cy="3752215"/>
            <wp:effectExtent l="0" t="0" r="12065" b="635"/>
            <wp:wrapTight wrapText="bothSides">
              <wp:wrapPolygon edited="0">
                <wp:start x="0" y="0"/>
                <wp:lineTo x="0" y="21494"/>
                <wp:lineTo x="21577" y="21494"/>
                <wp:lineTo x="21577" y="0"/>
                <wp:lineTo x="0" y="0"/>
              </wp:wrapPolygon>
            </wp:wrapTight>
            <wp:docPr id="8" name="Diagram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F910DF">
        <w:rPr>
          <w:noProof/>
        </w:rPr>
        <mc:AlternateContent>
          <mc:Choice Requires="wps">
            <w:drawing>
              <wp:anchor distT="0" distB="0" distL="114300" distR="114300" simplePos="0" relativeHeight="251661312" behindDoc="1" locked="0" layoutInCell="1" allowOverlap="1" wp14:anchorId="6F784A5A" wp14:editId="3B567018">
                <wp:simplePos x="0" y="0"/>
                <wp:positionH relativeFrom="column">
                  <wp:posOffset>-59690</wp:posOffset>
                </wp:positionH>
                <wp:positionV relativeFrom="paragraph">
                  <wp:posOffset>3889375</wp:posOffset>
                </wp:positionV>
                <wp:extent cx="6472555" cy="635"/>
                <wp:effectExtent l="0" t="0" r="0" b="0"/>
                <wp:wrapTight wrapText="bothSides">
                  <wp:wrapPolygon edited="0">
                    <wp:start x="0" y="0"/>
                    <wp:lineTo x="0" y="21600"/>
                    <wp:lineTo x="21600" y="21600"/>
                    <wp:lineTo x="21600" y="0"/>
                  </wp:wrapPolygon>
                </wp:wrapTight>
                <wp:docPr id="6" name="Tekstfelt 6"/>
                <wp:cNvGraphicFramePr/>
                <a:graphic xmlns:a="http://schemas.openxmlformats.org/drawingml/2006/main">
                  <a:graphicData uri="http://schemas.microsoft.com/office/word/2010/wordprocessingShape">
                    <wps:wsp>
                      <wps:cNvSpPr txBox="1"/>
                      <wps:spPr>
                        <a:xfrm>
                          <a:off x="0" y="0"/>
                          <a:ext cx="6472555" cy="635"/>
                        </a:xfrm>
                        <a:prstGeom prst="rect">
                          <a:avLst/>
                        </a:prstGeom>
                        <a:solidFill>
                          <a:prstClr val="white"/>
                        </a:solidFill>
                        <a:ln>
                          <a:noFill/>
                        </a:ln>
                      </wps:spPr>
                      <wps:txbx>
                        <w:txbxContent>
                          <w:p w14:paraId="5381FAE0" w14:textId="1A350395" w:rsidR="00F910DF" w:rsidRPr="00F910DF" w:rsidRDefault="00F910DF" w:rsidP="00F910DF">
                            <w:pPr>
                              <w:pStyle w:val="Billedtekst"/>
                              <w:rPr>
                                <w:noProof/>
                                <w:sz w:val="24"/>
                                <w:szCs w:val="24"/>
                                <w:lang w:val="en-US"/>
                              </w:rPr>
                            </w:pPr>
                            <w:r w:rsidRPr="00F910DF">
                              <w:rPr>
                                <w:lang w:val="en-US"/>
                              </w:rPr>
                              <w:t xml:space="preserve">Figure </w:t>
                            </w:r>
                            <w:r>
                              <w:fldChar w:fldCharType="begin"/>
                            </w:r>
                            <w:r w:rsidRPr="00F910DF">
                              <w:rPr>
                                <w:lang w:val="en-US"/>
                              </w:rPr>
                              <w:instrText xml:space="preserve"> SEQ Figure \* ARABIC </w:instrText>
                            </w:r>
                            <w:r>
                              <w:fldChar w:fldCharType="separate"/>
                            </w:r>
                            <w:r w:rsidR="007C7324">
                              <w:rPr>
                                <w:noProof/>
                                <w:lang w:val="en-US"/>
                              </w:rPr>
                              <w:t>2</w:t>
                            </w:r>
                            <w:r>
                              <w:fldChar w:fldCharType="end"/>
                            </w:r>
                            <w:r w:rsidRPr="00F910DF">
                              <w:rPr>
                                <w:lang w:val="en-US"/>
                              </w:rPr>
                              <w:t xml:space="preserve">: Graph showing capital and </w:t>
                            </w:r>
                            <w:r w:rsidR="00CB5430">
                              <w:rPr>
                                <w:lang w:val="en-US"/>
                              </w:rPr>
                              <w:t>deck</w:t>
                            </w:r>
                            <w:r w:rsidRPr="00F910DF">
                              <w:rPr>
                                <w:lang w:val="en-US"/>
                              </w:rPr>
                              <w:t xml:space="preserve"> selection as a function of number of total draws for FP19201 in the first session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784A5A" id="_x0000_t202" coordsize="21600,21600" o:spt="202" path="m,l,21600r21600,l21600,xe">
                <v:stroke joinstyle="miter"/>
                <v:path gradientshapeok="t" o:connecttype="rect"/>
              </v:shapetype>
              <v:shape id="Tekstfelt 6" o:spid="_x0000_s1026" type="#_x0000_t202" style="position:absolute;left:0;text-align:left;margin-left:-4.7pt;margin-top:306.25pt;width:509.6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" stroked="f">
                <v:textbox style="mso-fit-shape-to-text:t" inset="0,0,0,0">
                  <w:txbxContent>
                    <w:p w14:paraId="5381FAE0" w14:textId="1A350395" w:rsidR="00F910DF" w:rsidRPr="00F910DF" w:rsidRDefault="00F910DF" w:rsidP="00F910DF">
                      <w:pPr>
                        <w:pStyle w:val="Billedtekst"/>
                        <w:rPr>
                          <w:noProof/>
                          <w:sz w:val="24"/>
                          <w:szCs w:val="24"/>
                          <w:lang w:val="en-US"/>
                        </w:rPr>
                      </w:pPr>
                      <w:r w:rsidRPr="00F910DF">
                        <w:rPr>
                          <w:lang w:val="en-US"/>
                        </w:rPr>
                        <w:t xml:space="preserve">Figure </w:t>
                      </w:r>
                      <w:r>
                        <w:fldChar w:fldCharType="begin"/>
                      </w:r>
                      <w:r w:rsidRPr="00F910DF">
                        <w:rPr>
                          <w:lang w:val="en-US"/>
                        </w:rPr>
                        <w:instrText xml:space="preserve"> SEQ Figure \* ARABIC </w:instrText>
                      </w:r>
                      <w:r>
                        <w:fldChar w:fldCharType="separate"/>
                      </w:r>
                      <w:r w:rsidR="007C7324">
                        <w:rPr>
                          <w:noProof/>
                          <w:lang w:val="en-US"/>
                        </w:rPr>
                        <w:t>2</w:t>
                      </w:r>
                      <w:r>
                        <w:fldChar w:fldCharType="end"/>
                      </w:r>
                      <w:r w:rsidRPr="00F910DF">
                        <w:rPr>
                          <w:lang w:val="en-US"/>
                        </w:rPr>
                        <w:t xml:space="preserve">: Graph showing capital and </w:t>
                      </w:r>
                      <w:r w:rsidR="00CB5430">
                        <w:rPr>
                          <w:lang w:val="en-US"/>
                        </w:rPr>
                        <w:t>deck</w:t>
                      </w:r>
                      <w:r w:rsidRPr="00F910DF">
                        <w:rPr>
                          <w:lang w:val="en-US"/>
                        </w:rPr>
                        <w:t xml:space="preserve"> selection as a function of number of total draws for FP19201 in the first session</w:t>
                      </w:r>
                    </w:p>
                  </w:txbxContent>
                </v:textbox>
                <w10:wrap type="tight"/>
              </v:shape>
            </w:pict>
          </mc:Fallback>
        </mc:AlternateContent>
      </w:r>
      <w:r w:rsidR="00F910DF">
        <w:rPr>
          <w:lang w:val="en-GB"/>
        </w:rPr>
        <w:t xml:space="preserve"> </w:t>
      </w:r>
    </w:p>
    <w:p w14:paraId="06B95239" w14:textId="77777777" w:rsidR="007C7324" w:rsidRDefault="00F910DF" w:rsidP="00700DDA">
      <w:pPr>
        <w:keepNext/>
        <w:jc w:val="both"/>
      </w:pPr>
      <w:r>
        <w:rPr>
          <w:noProof/>
        </w:rPr>
        <w:lastRenderedPageBreak/>
        <w:drawing>
          <wp:inline distT="0" distB="0" distL="0" distR="0" wp14:anchorId="313DCE94" wp14:editId="45192C7E">
            <wp:extent cx="6439710" cy="3684837"/>
            <wp:effectExtent l="0" t="0" r="18415" b="11430"/>
            <wp:docPr id="9" name="Diagram 9">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070F8E0" w14:textId="012185D7" w:rsidR="00D607AE" w:rsidRPr="00A16966" w:rsidRDefault="007C7324" w:rsidP="00700DDA">
      <w:pPr>
        <w:pStyle w:val="Billedtekst"/>
        <w:spacing w:line="360" w:lineRule="auto"/>
        <w:jc w:val="both"/>
        <w:rPr>
          <w:lang w:val="en-GB"/>
        </w:rPr>
      </w:pPr>
      <w:r w:rsidRPr="007C7324">
        <w:rPr>
          <w:lang w:val="en-US"/>
        </w:rPr>
        <w:t xml:space="preserve">Figure </w:t>
      </w:r>
      <w:r>
        <w:fldChar w:fldCharType="begin"/>
      </w:r>
      <w:r w:rsidRPr="007C7324">
        <w:rPr>
          <w:lang w:val="en-US"/>
        </w:rPr>
        <w:instrText xml:space="preserve"> SEQ Figure \* ARABIC </w:instrText>
      </w:r>
      <w:r>
        <w:fldChar w:fldCharType="separate"/>
      </w:r>
      <w:r w:rsidRPr="007C7324">
        <w:rPr>
          <w:noProof/>
          <w:lang w:val="en-US"/>
        </w:rPr>
        <w:t>3</w:t>
      </w:r>
      <w:r>
        <w:fldChar w:fldCharType="end"/>
      </w:r>
      <w:r w:rsidRPr="007C7324">
        <w:rPr>
          <w:lang w:val="en-US"/>
        </w:rPr>
        <w:t xml:space="preserve">: Graph showing capital and </w:t>
      </w:r>
      <w:r w:rsidR="00CB5430">
        <w:rPr>
          <w:lang w:val="en-US"/>
        </w:rPr>
        <w:t>deck</w:t>
      </w:r>
      <w:r w:rsidRPr="007C7324">
        <w:rPr>
          <w:lang w:val="en-US"/>
        </w:rPr>
        <w:t xml:space="preserve"> selection as a function of number of total draws for FP19201 in the second session</w:t>
      </w:r>
    </w:p>
    <w:p w14:paraId="71E81079" w14:textId="38DC765E" w:rsidR="00734925" w:rsidRPr="00A16966" w:rsidRDefault="00734925" w:rsidP="00700DDA">
      <w:pPr>
        <w:pStyle w:val="Overskrift1"/>
        <w:spacing w:line="360" w:lineRule="auto"/>
        <w:jc w:val="both"/>
        <w:rPr>
          <w:lang w:val="en-GB"/>
        </w:rPr>
      </w:pPr>
      <w:bookmarkStart w:id="7" w:name="_Toc23092994"/>
      <w:r w:rsidRPr="00A16966">
        <w:rPr>
          <w:lang w:val="en-GB"/>
        </w:rPr>
        <w:t>Conclusion</w:t>
      </w:r>
      <w:bookmarkEnd w:id="7"/>
    </w:p>
    <w:p w14:paraId="1F694DDD" w14:textId="5565E02A" w:rsidR="000E6BF8" w:rsidRPr="00A16966" w:rsidRDefault="00645714" w:rsidP="00700DDA">
      <w:pPr>
        <w:jc w:val="both"/>
        <w:rPr>
          <w:lang w:val="en-GB"/>
        </w:rPr>
      </w:pPr>
      <w:r>
        <w:rPr>
          <w:lang w:val="en-GB"/>
        </w:rPr>
        <w:t xml:space="preserve">Participants generally </w:t>
      </w:r>
      <w:r w:rsidR="00026237">
        <w:rPr>
          <w:lang w:val="en-GB"/>
        </w:rPr>
        <w:t xml:space="preserve">learn to draw predominantly from profitable </w:t>
      </w:r>
      <w:r w:rsidR="000C3DFB">
        <w:rPr>
          <w:lang w:val="en-GB"/>
        </w:rPr>
        <w:t>deck</w:t>
      </w:r>
      <w:r w:rsidR="00026237">
        <w:rPr>
          <w:lang w:val="en-GB"/>
        </w:rPr>
        <w:t>s</w:t>
      </w:r>
      <w:r w:rsidR="000408C3">
        <w:rPr>
          <w:lang w:val="en-GB"/>
        </w:rPr>
        <w:t>, t</w:t>
      </w:r>
      <w:r w:rsidR="00E14647">
        <w:rPr>
          <w:lang w:val="en-GB"/>
        </w:rPr>
        <w:t xml:space="preserve">hus performing better in session two than session one. This implies that participants have learnt from </w:t>
      </w:r>
      <w:r w:rsidR="004C2E12">
        <w:rPr>
          <w:lang w:val="en-GB"/>
        </w:rPr>
        <w:t xml:space="preserve">the losses they incurred from </w:t>
      </w:r>
      <w:r w:rsidR="000C3DFB">
        <w:rPr>
          <w:lang w:val="en-GB"/>
        </w:rPr>
        <w:t>deck</w:t>
      </w:r>
      <w:r w:rsidR="004C2E12">
        <w:rPr>
          <w:lang w:val="en-GB"/>
        </w:rPr>
        <w:t>s A and B</w:t>
      </w:r>
      <w:r w:rsidR="0031774E">
        <w:rPr>
          <w:lang w:val="en-GB"/>
        </w:rPr>
        <w:t xml:space="preserve">, and generally formed </w:t>
      </w:r>
      <w:r w:rsidR="00EC634E" w:rsidRPr="00877C78">
        <w:rPr>
          <w:lang w:val="en-GB"/>
        </w:rPr>
        <w:t xml:space="preserve">proficient </w:t>
      </w:r>
      <w:r w:rsidR="00C04325">
        <w:rPr>
          <w:lang w:val="en-GB"/>
        </w:rPr>
        <w:t>decision-making</w:t>
      </w:r>
      <w:r w:rsidR="00EC634E">
        <w:rPr>
          <w:lang w:val="en-GB"/>
        </w:rPr>
        <w:t xml:space="preserve"> strategies, possibly informed by the somatic experiences from losing and gaining.</w:t>
      </w:r>
    </w:p>
    <w:p w14:paraId="4C3B2A42" w14:textId="77777777" w:rsidR="00F6536D" w:rsidRDefault="00F6536D">
      <w:pPr>
        <w:spacing w:after="160" w:line="259" w:lineRule="auto"/>
        <w:rPr>
          <w:rFonts w:ascii="Arial" w:hAnsi="Arial" w:cs="Arial"/>
          <w:b/>
          <w:bCs/>
          <w:color w:val="000000"/>
          <w:sz w:val="36"/>
          <w:lang w:val="en-GB"/>
        </w:rPr>
      </w:pPr>
      <w:r>
        <w:rPr>
          <w:lang w:val="en-GB"/>
        </w:rPr>
        <w:br w:type="page"/>
      </w:r>
    </w:p>
    <w:p w14:paraId="321728E2" w14:textId="77777777" w:rsidR="00447485" w:rsidRDefault="00447485" w:rsidP="00700DDA">
      <w:pPr>
        <w:pStyle w:val="Overskrift1"/>
        <w:spacing w:line="360" w:lineRule="auto"/>
        <w:jc w:val="both"/>
        <w:rPr>
          <w:lang w:val="en-GB"/>
        </w:rPr>
      </w:pPr>
      <w:bookmarkStart w:id="8" w:name="_Toc23092995"/>
    </w:p>
    <w:p w14:paraId="6E841B01" w14:textId="635E4202" w:rsidR="009A6A11" w:rsidRPr="00A16966" w:rsidRDefault="009A6A11" w:rsidP="00700DDA">
      <w:pPr>
        <w:pStyle w:val="Overskrift1"/>
        <w:spacing w:line="360" w:lineRule="auto"/>
        <w:jc w:val="both"/>
        <w:rPr>
          <w:lang w:val="en-GB"/>
        </w:rPr>
      </w:pPr>
      <w:bookmarkStart w:id="9" w:name="_GoBack"/>
      <w:bookmarkEnd w:id="9"/>
      <w:r w:rsidRPr="00A16966">
        <w:rPr>
          <w:lang w:val="en-GB"/>
        </w:rPr>
        <w:t>References</w:t>
      </w:r>
      <w:bookmarkEnd w:id="8"/>
    </w:p>
    <w:p w14:paraId="6C18908A" w14:textId="25E8A93B" w:rsidR="00D34246" w:rsidRPr="00447485" w:rsidRDefault="00D34246" w:rsidP="00D34246">
      <w:pPr>
        <w:widowControl w:val="0"/>
        <w:autoSpaceDE w:val="0"/>
        <w:autoSpaceDN w:val="0"/>
        <w:adjustRightInd w:val="0"/>
        <w:ind w:left="480" w:hanging="480"/>
        <w:rPr>
          <w:noProof/>
          <w:lang w:val="en-US"/>
        </w:rPr>
      </w:pPr>
      <w:r>
        <w:rPr>
          <w:lang w:val="en-GB"/>
        </w:rPr>
        <w:fldChar w:fldCharType="begin" w:fldLock="1"/>
      </w:r>
      <w:r>
        <w:rPr>
          <w:lang w:val="en-GB"/>
        </w:rPr>
        <w:instrText xml:space="preserve">ADDIN Mendeley Bibliography CSL_BIBLIOGRAPHY </w:instrText>
      </w:r>
      <w:r>
        <w:rPr>
          <w:lang w:val="en-GB"/>
        </w:rPr>
        <w:fldChar w:fldCharType="separate"/>
      </w:r>
      <w:r w:rsidRPr="00447485">
        <w:rPr>
          <w:noProof/>
          <w:lang w:val="en-US"/>
        </w:rPr>
        <w:t xml:space="preserve">Bechara, A., Damasio, A. R., Damasio, H., &amp; Anderson, S. W. (1994). Insensitivity to future consequences following damage to human prefrontal cortex. </w:t>
      </w:r>
      <w:r w:rsidRPr="00447485">
        <w:rPr>
          <w:i/>
          <w:iCs/>
          <w:noProof/>
          <w:lang w:val="en-US"/>
        </w:rPr>
        <w:t>Cognition</w:t>
      </w:r>
      <w:r w:rsidRPr="00447485">
        <w:rPr>
          <w:noProof/>
          <w:lang w:val="en-US"/>
        </w:rPr>
        <w:t xml:space="preserve">, </w:t>
      </w:r>
      <w:r w:rsidRPr="00447485">
        <w:rPr>
          <w:i/>
          <w:iCs/>
          <w:noProof/>
          <w:lang w:val="en-US"/>
        </w:rPr>
        <w:t>50</w:t>
      </w:r>
      <w:r w:rsidRPr="00447485">
        <w:rPr>
          <w:noProof/>
          <w:lang w:val="en-US"/>
        </w:rPr>
        <w:t>, 7–15.</w:t>
      </w:r>
    </w:p>
    <w:p w14:paraId="056DF293" w14:textId="77777777" w:rsidR="00D34246" w:rsidRPr="00447485" w:rsidRDefault="00D34246" w:rsidP="00D34246">
      <w:pPr>
        <w:widowControl w:val="0"/>
        <w:autoSpaceDE w:val="0"/>
        <w:autoSpaceDN w:val="0"/>
        <w:adjustRightInd w:val="0"/>
        <w:ind w:left="480" w:hanging="480"/>
        <w:rPr>
          <w:noProof/>
          <w:lang w:val="en-US"/>
        </w:rPr>
      </w:pPr>
      <w:r w:rsidRPr="00447485">
        <w:rPr>
          <w:noProof/>
          <w:lang w:val="en-US"/>
        </w:rPr>
        <w:t xml:space="preserve">Dunn, B. D., Galton, H. C., Morgan, R., Evans, D., Oliver, C., Meyer, M., … Dalgleish, T. (2010). Listening to Your Heart: How Interoception Shapes Emotion Experience and Intuitive. </w:t>
      </w:r>
      <w:r w:rsidRPr="00447485">
        <w:rPr>
          <w:i/>
          <w:iCs/>
          <w:noProof/>
          <w:lang w:val="en-US"/>
        </w:rPr>
        <w:t>Psychological Science</w:t>
      </w:r>
      <w:r w:rsidRPr="00447485">
        <w:rPr>
          <w:noProof/>
          <w:lang w:val="en-US"/>
        </w:rPr>
        <w:t xml:space="preserve">, </w:t>
      </w:r>
      <w:r w:rsidRPr="00447485">
        <w:rPr>
          <w:i/>
          <w:iCs/>
          <w:noProof/>
          <w:lang w:val="en-US"/>
        </w:rPr>
        <w:t>21</w:t>
      </w:r>
      <w:r w:rsidRPr="00447485">
        <w:rPr>
          <w:noProof/>
          <w:lang w:val="en-US"/>
        </w:rPr>
        <w:t>(12), 1835–1844.</w:t>
      </w:r>
    </w:p>
    <w:p w14:paraId="65FFAF5E" w14:textId="77777777" w:rsidR="00D34246" w:rsidRPr="00447485" w:rsidRDefault="00D34246" w:rsidP="00D34246">
      <w:pPr>
        <w:widowControl w:val="0"/>
        <w:autoSpaceDE w:val="0"/>
        <w:autoSpaceDN w:val="0"/>
        <w:adjustRightInd w:val="0"/>
        <w:ind w:left="480" w:hanging="480"/>
        <w:rPr>
          <w:noProof/>
          <w:lang w:val="en-US"/>
        </w:rPr>
      </w:pPr>
      <w:r w:rsidRPr="00447485">
        <w:rPr>
          <w:noProof/>
          <w:lang w:val="en-US"/>
        </w:rPr>
        <w:t xml:space="preserve">Purves, D., Cabeza, R., Huettel, S. A., LaBar, K. S., Platt, M. L., &amp; Woldorff, M. G. (2013). </w:t>
      </w:r>
      <w:r w:rsidRPr="00447485">
        <w:rPr>
          <w:i/>
          <w:iCs/>
          <w:noProof/>
          <w:lang w:val="en-US"/>
        </w:rPr>
        <w:t>Principles of Cognitive Neuroscience</w:t>
      </w:r>
      <w:r w:rsidRPr="00447485">
        <w:rPr>
          <w:noProof/>
          <w:lang w:val="en-US"/>
        </w:rPr>
        <w:t xml:space="preserve"> (2nd ed.). Sunderland, Massachusetts: Sinauer Associates, Inc., Publishers.</w:t>
      </w:r>
    </w:p>
    <w:p w14:paraId="7696C90A" w14:textId="4C2A1862" w:rsidR="009A6A11" w:rsidRPr="00A16966" w:rsidRDefault="00D34246" w:rsidP="00700DDA">
      <w:pPr>
        <w:jc w:val="both"/>
        <w:rPr>
          <w:lang w:val="en-GB"/>
        </w:rPr>
      </w:pPr>
      <w:r>
        <w:rPr>
          <w:lang w:val="en-GB"/>
        </w:rPr>
        <w:fldChar w:fldCharType="end"/>
      </w:r>
    </w:p>
    <w:sectPr w:rsidR="009A6A11" w:rsidRPr="00A16966" w:rsidSect="00FC39BF">
      <w:headerReference w:type="default" r:id="rId14"/>
      <w:footerReference w:type="even" r:id="rId15"/>
      <w:footerReference w:type="default" r:id="rId16"/>
      <w:headerReference w:type="first" r:id="rId17"/>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9A2DB" w14:textId="77777777" w:rsidR="00942FE4" w:rsidRDefault="00942FE4" w:rsidP="001078C3">
      <w:pPr>
        <w:spacing w:line="240" w:lineRule="auto"/>
      </w:pPr>
      <w:r>
        <w:separator/>
      </w:r>
    </w:p>
  </w:endnote>
  <w:endnote w:type="continuationSeparator" w:id="0">
    <w:p w14:paraId="4C9613BF" w14:textId="77777777" w:rsidR="00942FE4" w:rsidRDefault="00942FE4" w:rsidP="001078C3">
      <w:pPr>
        <w:spacing w:line="240" w:lineRule="auto"/>
      </w:pPr>
      <w:r>
        <w:continuationSeparator/>
      </w:r>
    </w:p>
  </w:endnote>
  <w:endnote w:type="continuationNotice" w:id="1">
    <w:p w14:paraId="3D0F3633" w14:textId="77777777" w:rsidR="00942FE4" w:rsidRDefault="00942F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CC32E" w14:textId="77777777" w:rsidR="00FC39BF" w:rsidRDefault="00DB6DDB" w:rsidP="00FC39BF">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A489121" w14:textId="77777777" w:rsidR="00FC39BF" w:rsidRDefault="00942FE4" w:rsidP="00FC39BF">
    <w:pPr>
      <w:pStyle w:val="Sidefod"/>
      <w:ind w:right="360"/>
    </w:pPr>
  </w:p>
  <w:p w14:paraId="3CF47B86" w14:textId="77777777" w:rsidR="00E24AA6" w:rsidRDefault="00942FE4">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ED363" w14:textId="26CB2888" w:rsidR="00FC39BF" w:rsidRDefault="00942FE4" w:rsidP="00E25657">
    <w:pPr>
      <w:pStyle w:val="Sidefod"/>
      <w:ind w:right="360"/>
      <w:jc w:val="right"/>
    </w:pPr>
  </w:p>
  <w:p w14:paraId="02D07F0B" w14:textId="77777777" w:rsidR="00E24AA6" w:rsidRDefault="00942FE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B668D" w14:textId="77777777" w:rsidR="00942FE4" w:rsidRDefault="00942FE4" w:rsidP="001078C3">
      <w:pPr>
        <w:spacing w:line="240" w:lineRule="auto"/>
      </w:pPr>
      <w:r>
        <w:separator/>
      </w:r>
    </w:p>
  </w:footnote>
  <w:footnote w:type="continuationSeparator" w:id="0">
    <w:p w14:paraId="1449AAFE" w14:textId="77777777" w:rsidR="00942FE4" w:rsidRDefault="00942FE4" w:rsidP="001078C3">
      <w:pPr>
        <w:spacing w:line="240" w:lineRule="auto"/>
      </w:pPr>
      <w:r>
        <w:continuationSeparator/>
      </w:r>
    </w:p>
  </w:footnote>
  <w:footnote w:type="continuationNotice" w:id="1">
    <w:p w14:paraId="2AB43622" w14:textId="77777777" w:rsidR="00942FE4" w:rsidRDefault="00942FE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56EE3" w14:textId="67614EFC" w:rsidR="0006099E" w:rsidRDefault="00376A20">
    <w:pPr>
      <w:pStyle w:val="Sidehoved"/>
    </w:pPr>
    <w:r>
      <w:t>Frederik Bredgaard</w:t>
    </w:r>
    <w:r>
      <w:ptab w:relativeTo="margin" w:alignment="center" w:leader="none"/>
    </w:r>
    <w:r>
      <w:t>Iowa Gambling Task</w:t>
    </w:r>
    <w:r>
      <w:ptab w:relativeTo="margin" w:alignment="right" w:leader="none"/>
    </w: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of </w:t>
    </w:r>
    <w:r>
      <w:rPr>
        <w:b/>
        <w:bCs/>
      </w:rPr>
      <w:fldChar w:fldCharType="begin"/>
    </w:r>
    <w:r>
      <w:rPr>
        <w:b/>
        <w:bCs/>
      </w:rPr>
      <w:instrText>NUMPAGES  \* Arabic  \* MERGEFORMAT</w:instrText>
    </w:r>
    <w:r>
      <w:rPr>
        <w:b/>
        <w:bCs/>
      </w:rPr>
      <w:fldChar w:fldCharType="separate"/>
    </w:r>
    <w:r>
      <w:rPr>
        <w:b/>
        <w:bCs/>
      </w:rPr>
      <w:t>2</w:t>
    </w:r>
    <w:r>
      <w:rPr>
        <w:b/>
        <w:b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DF9F2" w14:textId="48FA947C" w:rsidR="00251DAD" w:rsidRDefault="004C4BC6">
    <w:pPr>
      <w:pStyle w:val="Sidehoved"/>
    </w:pPr>
    <w:r>
      <w:t>Frederik Bredgaard</w:t>
    </w:r>
    <w:r>
      <w:ptab w:relativeTo="margin" w:alignment="center" w:leader="none"/>
    </w:r>
    <w:r>
      <w:t>Iowa Gambling Task</w:t>
    </w:r>
    <w:r>
      <w:ptab w:relativeTo="margin" w:alignment="right" w:leader="none"/>
    </w: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of </w:t>
    </w:r>
    <w:r>
      <w:rPr>
        <w:b/>
        <w:bCs/>
      </w:rPr>
      <w:fldChar w:fldCharType="begin"/>
    </w:r>
    <w:r>
      <w:rPr>
        <w:b/>
        <w:bCs/>
      </w:rPr>
      <w:instrText>NUMPAGES  \* Arabic  \* MERGEFORMAT</w:instrText>
    </w:r>
    <w:r>
      <w:rPr>
        <w:b/>
        <w:bCs/>
      </w:rPr>
      <w:fldChar w:fldCharType="separate"/>
    </w:r>
    <w:r>
      <w:rPr>
        <w:b/>
        <w:bCs/>
      </w:rPr>
      <w:t>2</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071EB"/>
    <w:multiLevelType w:val="hybridMultilevel"/>
    <w:tmpl w:val="280A5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1304"/>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4A8A01"/>
    <w:rsid w:val="00005A89"/>
    <w:rsid w:val="00006D5F"/>
    <w:rsid w:val="00020E9A"/>
    <w:rsid w:val="00026237"/>
    <w:rsid w:val="00035C69"/>
    <w:rsid w:val="0003601B"/>
    <w:rsid w:val="000408C3"/>
    <w:rsid w:val="00042533"/>
    <w:rsid w:val="00050E8E"/>
    <w:rsid w:val="000570CD"/>
    <w:rsid w:val="0006099E"/>
    <w:rsid w:val="00071A6E"/>
    <w:rsid w:val="000728D1"/>
    <w:rsid w:val="00077444"/>
    <w:rsid w:val="000B002B"/>
    <w:rsid w:val="000B5C77"/>
    <w:rsid w:val="000C0CC8"/>
    <w:rsid w:val="000C16CC"/>
    <w:rsid w:val="000C3DFB"/>
    <w:rsid w:val="000C44FA"/>
    <w:rsid w:val="000D299E"/>
    <w:rsid w:val="000E05F0"/>
    <w:rsid w:val="000E6BF8"/>
    <w:rsid w:val="000F18FF"/>
    <w:rsid w:val="001078C3"/>
    <w:rsid w:val="0011537A"/>
    <w:rsid w:val="00115FBF"/>
    <w:rsid w:val="00124103"/>
    <w:rsid w:val="00132A84"/>
    <w:rsid w:val="0013476B"/>
    <w:rsid w:val="0014384E"/>
    <w:rsid w:val="0014745B"/>
    <w:rsid w:val="00160316"/>
    <w:rsid w:val="00166924"/>
    <w:rsid w:val="001767BB"/>
    <w:rsid w:val="00176F65"/>
    <w:rsid w:val="00184CF4"/>
    <w:rsid w:val="00196858"/>
    <w:rsid w:val="001A203F"/>
    <w:rsid w:val="001A3A89"/>
    <w:rsid w:val="001A4783"/>
    <w:rsid w:val="001B193B"/>
    <w:rsid w:val="001D4485"/>
    <w:rsid w:val="001D48E8"/>
    <w:rsid w:val="001E254A"/>
    <w:rsid w:val="001E3DAF"/>
    <w:rsid w:val="001F01F9"/>
    <w:rsid w:val="001F6C7B"/>
    <w:rsid w:val="00221140"/>
    <w:rsid w:val="00225B85"/>
    <w:rsid w:val="0024005C"/>
    <w:rsid w:val="00242212"/>
    <w:rsid w:val="00247360"/>
    <w:rsid w:val="00251DAD"/>
    <w:rsid w:val="0025214C"/>
    <w:rsid w:val="00260C01"/>
    <w:rsid w:val="00264C9D"/>
    <w:rsid w:val="0026518C"/>
    <w:rsid w:val="002803AD"/>
    <w:rsid w:val="0028116E"/>
    <w:rsid w:val="002859CF"/>
    <w:rsid w:val="00290CC7"/>
    <w:rsid w:val="002B01EC"/>
    <w:rsid w:val="002B5026"/>
    <w:rsid w:val="002C3CFA"/>
    <w:rsid w:val="002D3BB8"/>
    <w:rsid w:val="002D7DAA"/>
    <w:rsid w:val="002F4043"/>
    <w:rsid w:val="002F7943"/>
    <w:rsid w:val="00301DA9"/>
    <w:rsid w:val="00310E39"/>
    <w:rsid w:val="0031774E"/>
    <w:rsid w:val="00322DB6"/>
    <w:rsid w:val="00332377"/>
    <w:rsid w:val="00341556"/>
    <w:rsid w:val="00347C0B"/>
    <w:rsid w:val="00351007"/>
    <w:rsid w:val="003632CD"/>
    <w:rsid w:val="00376A20"/>
    <w:rsid w:val="00377326"/>
    <w:rsid w:val="00377E77"/>
    <w:rsid w:val="003A18B5"/>
    <w:rsid w:val="003B3F44"/>
    <w:rsid w:val="003B6B12"/>
    <w:rsid w:val="003B7CD4"/>
    <w:rsid w:val="003C3357"/>
    <w:rsid w:val="003C4A9F"/>
    <w:rsid w:val="003C583F"/>
    <w:rsid w:val="003E40C7"/>
    <w:rsid w:val="003F45C9"/>
    <w:rsid w:val="00411951"/>
    <w:rsid w:val="00417D2B"/>
    <w:rsid w:val="004276D5"/>
    <w:rsid w:val="00430787"/>
    <w:rsid w:val="00430F3A"/>
    <w:rsid w:val="00431D16"/>
    <w:rsid w:val="00440F2E"/>
    <w:rsid w:val="00444797"/>
    <w:rsid w:val="00447485"/>
    <w:rsid w:val="004503E0"/>
    <w:rsid w:val="004516C6"/>
    <w:rsid w:val="004535B1"/>
    <w:rsid w:val="00455EBB"/>
    <w:rsid w:val="00456D8D"/>
    <w:rsid w:val="004600E4"/>
    <w:rsid w:val="00463296"/>
    <w:rsid w:val="00463897"/>
    <w:rsid w:val="00470589"/>
    <w:rsid w:val="0047161E"/>
    <w:rsid w:val="00471F4E"/>
    <w:rsid w:val="004863C2"/>
    <w:rsid w:val="004907FF"/>
    <w:rsid w:val="004928EB"/>
    <w:rsid w:val="004A0AA5"/>
    <w:rsid w:val="004A29B2"/>
    <w:rsid w:val="004A6BF2"/>
    <w:rsid w:val="004A7994"/>
    <w:rsid w:val="004B039D"/>
    <w:rsid w:val="004B552D"/>
    <w:rsid w:val="004C2E12"/>
    <w:rsid w:val="004C4BC6"/>
    <w:rsid w:val="004C5D1B"/>
    <w:rsid w:val="004F328C"/>
    <w:rsid w:val="004F49BF"/>
    <w:rsid w:val="005130B7"/>
    <w:rsid w:val="0053011E"/>
    <w:rsid w:val="00536377"/>
    <w:rsid w:val="00547BA1"/>
    <w:rsid w:val="0055193E"/>
    <w:rsid w:val="00553F59"/>
    <w:rsid w:val="005610F4"/>
    <w:rsid w:val="0057118E"/>
    <w:rsid w:val="0057318A"/>
    <w:rsid w:val="005736CB"/>
    <w:rsid w:val="0057603D"/>
    <w:rsid w:val="00587165"/>
    <w:rsid w:val="00593082"/>
    <w:rsid w:val="00593A51"/>
    <w:rsid w:val="005964A9"/>
    <w:rsid w:val="005A0B52"/>
    <w:rsid w:val="005A32E0"/>
    <w:rsid w:val="005A422B"/>
    <w:rsid w:val="005A593F"/>
    <w:rsid w:val="005A6BE1"/>
    <w:rsid w:val="005B0346"/>
    <w:rsid w:val="005B0FDE"/>
    <w:rsid w:val="005B16DE"/>
    <w:rsid w:val="005B5EA7"/>
    <w:rsid w:val="005B66CB"/>
    <w:rsid w:val="005B6D65"/>
    <w:rsid w:val="005C4DED"/>
    <w:rsid w:val="005E09F9"/>
    <w:rsid w:val="005E1AD1"/>
    <w:rsid w:val="00601680"/>
    <w:rsid w:val="00602756"/>
    <w:rsid w:val="006050D8"/>
    <w:rsid w:val="00607F92"/>
    <w:rsid w:val="006104A2"/>
    <w:rsid w:val="006134AE"/>
    <w:rsid w:val="00617116"/>
    <w:rsid w:val="00623AC1"/>
    <w:rsid w:val="00625529"/>
    <w:rsid w:val="00625F8A"/>
    <w:rsid w:val="006335E5"/>
    <w:rsid w:val="00634CE2"/>
    <w:rsid w:val="00645714"/>
    <w:rsid w:val="00646C1E"/>
    <w:rsid w:val="00647965"/>
    <w:rsid w:val="006479A0"/>
    <w:rsid w:val="00666A58"/>
    <w:rsid w:val="00671259"/>
    <w:rsid w:val="0069049B"/>
    <w:rsid w:val="00695B70"/>
    <w:rsid w:val="006A6BAD"/>
    <w:rsid w:val="006A7B2D"/>
    <w:rsid w:val="006B1036"/>
    <w:rsid w:val="006B2502"/>
    <w:rsid w:val="006B5FFB"/>
    <w:rsid w:val="006C03F7"/>
    <w:rsid w:val="006C2FBA"/>
    <w:rsid w:val="006C71BA"/>
    <w:rsid w:val="006D4CF9"/>
    <w:rsid w:val="006E1278"/>
    <w:rsid w:val="006E210B"/>
    <w:rsid w:val="006F034F"/>
    <w:rsid w:val="006F6A79"/>
    <w:rsid w:val="00700DDA"/>
    <w:rsid w:val="00701F78"/>
    <w:rsid w:val="007045FA"/>
    <w:rsid w:val="00714E46"/>
    <w:rsid w:val="00720BBB"/>
    <w:rsid w:val="00723C1A"/>
    <w:rsid w:val="007252E8"/>
    <w:rsid w:val="0072682D"/>
    <w:rsid w:val="00731C69"/>
    <w:rsid w:val="00732231"/>
    <w:rsid w:val="00734925"/>
    <w:rsid w:val="00740027"/>
    <w:rsid w:val="007429E2"/>
    <w:rsid w:val="0074527C"/>
    <w:rsid w:val="00747A83"/>
    <w:rsid w:val="0075058B"/>
    <w:rsid w:val="007505D6"/>
    <w:rsid w:val="00756B0A"/>
    <w:rsid w:val="007645B6"/>
    <w:rsid w:val="00772769"/>
    <w:rsid w:val="00790022"/>
    <w:rsid w:val="0079444D"/>
    <w:rsid w:val="007A0686"/>
    <w:rsid w:val="007A2B20"/>
    <w:rsid w:val="007B45BC"/>
    <w:rsid w:val="007B6083"/>
    <w:rsid w:val="007C0B02"/>
    <w:rsid w:val="007C2B7A"/>
    <w:rsid w:val="007C4CD0"/>
    <w:rsid w:val="007C7324"/>
    <w:rsid w:val="007D441E"/>
    <w:rsid w:val="007D7802"/>
    <w:rsid w:val="007E6474"/>
    <w:rsid w:val="007F14B0"/>
    <w:rsid w:val="007F1873"/>
    <w:rsid w:val="007F7693"/>
    <w:rsid w:val="007F7A06"/>
    <w:rsid w:val="008000E1"/>
    <w:rsid w:val="00807389"/>
    <w:rsid w:val="008151FB"/>
    <w:rsid w:val="008152E5"/>
    <w:rsid w:val="00815F56"/>
    <w:rsid w:val="00817A76"/>
    <w:rsid w:val="0082017B"/>
    <w:rsid w:val="008236AD"/>
    <w:rsid w:val="00823CA1"/>
    <w:rsid w:val="00826E13"/>
    <w:rsid w:val="0083512D"/>
    <w:rsid w:val="008356D5"/>
    <w:rsid w:val="0084435D"/>
    <w:rsid w:val="00846DD2"/>
    <w:rsid w:val="0084781B"/>
    <w:rsid w:val="00852A2B"/>
    <w:rsid w:val="00855FF2"/>
    <w:rsid w:val="00856A68"/>
    <w:rsid w:val="00863C64"/>
    <w:rsid w:val="00877C78"/>
    <w:rsid w:val="00881A00"/>
    <w:rsid w:val="008A3679"/>
    <w:rsid w:val="008A5349"/>
    <w:rsid w:val="008B48DB"/>
    <w:rsid w:val="008C2A1B"/>
    <w:rsid w:val="008C503E"/>
    <w:rsid w:val="008D66E5"/>
    <w:rsid w:val="008E5251"/>
    <w:rsid w:val="008F35CD"/>
    <w:rsid w:val="008F3998"/>
    <w:rsid w:val="008F72B3"/>
    <w:rsid w:val="009012E1"/>
    <w:rsid w:val="0090656E"/>
    <w:rsid w:val="00911F02"/>
    <w:rsid w:val="009231EA"/>
    <w:rsid w:val="009234A7"/>
    <w:rsid w:val="00934E73"/>
    <w:rsid w:val="00942FE4"/>
    <w:rsid w:val="0094793B"/>
    <w:rsid w:val="00957E09"/>
    <w:rsid w:val="009603D1"/>
    <w:rsid w:val="009708E8"/>
    <w:rsid w:val="00970AB2"/>
    <w:rsid w:val="00992779"/>
    <w:rsid w:val="0099517E"/>
    <w:rsid w:val="009A20A6"/>
    <w:rsid w:val="009A2CF4"/>
    <w:rsid w:val="009A6A11"/>
    <w:rsid w:val="009D3CFA"/>
    <w:rsid w:val="009E6887"/>
    <w:rsid w:val="00A010F8"/>
    <w:rsid w:val="00A02A18"/>
    <w:rsid w:val="00A137A0"/>
    <w:rsid w:val="00A150A9"/>
    <w:rsid w:val="00A16812"/>
    <w:rsid w:val="00A16966"/>
    <w:rsid w:val="00A17B3D"/>
    <w:rsid w:val="00A431DC"/>
    <w:rsid w:val="00A5784B"/>
    <w:rsid w:val="00A6118B"/>
    <w:rsid w:val="00A66881"/>
    <w:rsid w:val="00A71E6D"/>
    <w:rsid w:val="00A74D8C"/>
    <w:rsid w:val="00A80BC0"/>
    <w:rsid w:val="00A81AE0"/>
    <w:rsid w:val="00A86907"/>
    <w:rsid w:val="00A906A6"/>
    <w:rsid w:val="00AB0AAD"/>
    <w:rsid w:val="00AB7EFB"/>
    <w:rsid w:val="00AC0295"/>
    <w:rsid w:val="00AC3DA4"/>
    <w:rsid w:val="00AE592A"/>
    <w:rsid w:val="00AE6DCE"/>
    <w:rsid w:val="00B1357D"/>
    <w:rsid w:val="00B2120B"/>
    <w:rsid w:val="00B26543"/>
    <w:rsid w:val="00B34425"/>
    <w:rsid w:val="00B35865"/>
    <w:rsid w:val="00B47177"/>
    <w:rsid w:val="00B52DF9"/>
    <w:rsid w:val="00B5501E"/>
    <w:rsid w:val="00B64669"/>
    <w:rsid w:val="00B7084C"/>
    <w:rsid w:val="00B7631E"/>
    <w:rsid w:val="00B77C43"/>
    <w:rsid w:val="00B9335C"/>
    <w:rsid w:val="00B978BF"/>
    <w:rsid w:val="00BA068E"/>
    <w:rsid w:val="00BB2C7C"/>
    <w:rsid w:val="00BD06D9"/>
    <w:rsid w:val="00BD266F"/>
    <w:rsid w:val="00BF0572"/>
    <w:rsid w:val="00BF466E"/>
    <w:rsid w:val="00C04325"/>
    <w:rsid w:val="00C15494"/>
    <w:rsid w:val="00C162DE"/>
    <w:rsid w:val="00C20DEB"/>
    <w:rsid w:val="00C23000"/>
    <w:rsid w:val="00C25F9F"/>
    <w:rsid w:val="00C30A05"/>
    <w:rsid w:val="00C327B5"/>
    <w:rsid w:val="00C34A49"/>
    <w:rsid w:val="00C5158D"/>
    <w:rsid w:val="00C53D58"/>
    <w:rsid w:val="00C616FA"/>
    <w:rsid w:val="00C655BE"/>
    <w:rsid w:val="00C65F67"/>
    <w:rsid w:val="00C72ADF"/>
    <w:rsid w:val="00C75852"/>
    <w:rsid w:val="00C758D7"/>
    <w:rsid w:val="00C770E6"/>
    <w:rsid w:val="00C77BC7"/>
    <w:rsid w:val="00C817CA"/>
    <w:rsid w:val="00C96BEC"/>
    <w:rsid w:val="00CA0C86"/>
    <w:rsid w:val="00CA4895"/>
    <w:rsid w:val="00CB18F5"/>
    <w:rsid w:val="00CB2D9A"/>
    <w:rsid w:val="00CB5430"/>
    <w:rsid w:val="00CB7E5C"/>
    <w:rsid w:val="00CC3B84"/>
    <w:rsid w:val="00CD1164"/>
    <w:rsid w:val="00CD1AA6"/>
    <w:rsid w:val="00CE301E"/>
    <w:rsid w:val="00D01D5A"/>
    <w:rsid w:val="00D01E73"/>
    <w:rsid w:val="00D04B72"/>
    <w:rsid w:val="00D16372"/>
    <w:rsid w:val="00D223A9"/>
    <w:rsid w:val="00D2285C"/>
    <w:rsid w:val="00D243F1"/>
    <w:rsid w:val="00D24627"/>
    <w:rsid w:val="00D34246"/>
    <w:rsid w:val="00D343C8"/>
    <w:rsid w:val="00D41687"/>
    <w:rsid w:val="00D47E21"/>
    <w:rsid w:val="00D5433F"/>
    <w:rsid w:val="00D5643A"/>
    <w:rsid w:val="00D570A9"/>
    <w:rsid w:val="00D57A35"/>
    <w:rsid w:val="00D607AE"/>
    <w:rsid w:val="00D63273"/>
    <w:rsid w:val="00D753E0"/>
    <w:rsid w:val="00D777DF"/>
    <w:rsid w:val="00D800B4"/>
    <w:rsid w:val="00D830D6"/>
    <w:rsid w:val="00D90269"/>
    <w:rsid w:val="00DA24C6"/>
    <w:rsid w:val="00DA48EE"/>
    <w:rsid w:val="00DA6AB3"/>
    <w:rsid w:val="00DA778A"/>
    <w:rsid w:val="00DB3CE4"/>
    <w:rsid w:val="00DB3D5C"/>
    <w:rsid w:val="00DB6DDB"/>
    <w:rsid w:val="00DB7770"/>
    <w:rsid w:val="00DC2FD7"/>
    <w:rsid w:val="00DD0E92"/>
    <w:rsid w:val="00DD3E00"/>
    <w:rsid w:val="00DD5779"/>
    <w:rsid w:val="00DE2654"/>
    <w:rsid w:val="00DF0C3E"/>
    <w:rsid w:val="00DF206A"/>
    <w:rsid w:val="00DF5308"/>
    <w:rsid w:val="00DF6EA5"/>
    <w:rsid w:val="00E10A15"/>
    <w:rsid w:val="00E13195"/>
    <w:rsid w:val="00E14647"/>
    <w:rsid w:val="00E16972"/>
    <w:rsid w:val="00E23DD8"/>
    <w:rsid w:val="00E270DF"/>
    <w:rsid w:val="00E31B13"/>
    <w:rsid w:val="00E328CD"/>
    <w:rsid w:val="00E32E1C"/>
    <w:rsid w:val="00E37C23"/>
    <w:rsid w:val="00E4077F"/>
    <w:rsid w:val="00E51090"/>
    <w:rsid w:val="00E60666"/>
    <w:rsid w:val="00E64215"/>
    <w:rsid w:val="00E67993"/>
    <w:rsid w:val="00E7120D"/>
    <w:rsid w:val="00E84C5B"/>
    <w:rsid w:val="00E920D9"/>
    <w:rsid w:val="00E95245"/>
    <w:rsid w:val="00EA1A15"/>
    <w:rsid w:val="00EA1BEA"/>
    <w:rsid w:val="00EA2D6F"/>
    <w:rsid w:val="00EA4636"/>
    <w:rsid w:val="00EB21EC"/>
    <w:rsid w:val="00EC0335"/>
    <w:rsid w:val="00EC313C"/>
    <w:rsid w:val="00EC634E"/>
    <w:rsid w:val="00ED0FEF"/>
    <w:rsid w:val="00ED5C36"/>
    <w:rsid w:val="00EE0495"/>
    <w:rsid w:val="00EE0EE3"/>
    <w:rsid w:val="00EE189B"/>
    <w:rsid w:val="00EE41FE"/>
    <w:rsid w:val="00EE54E9"/>
    <w:rsid w:val="00EE723D"/>
    <w:rsid w:val="00EF761A"/>
    <w:rsid w:val="00EF7A8B"/>
    <w:rsid w:val="00F06E39"/>
    <w:rsid w:val="00F12C5F"/>
    <w:rsid w:val="00F14ECA"/>
    <w:rsid w:val="00F152AA"/>
    <w:rsid w:val="00F273BE"/>
    <w:rsid w:val="00F300F2"/>
    <w:rsid w:val="00F316F7"/>
    <w:rsid w:val="00F344FA"/>
    <w:rsid w:val="00F34D3F"/>
    <w:rsid w:val="00F34F4A"/>
    <w:rsid w:val="00F43B39"/>
    <w:rsid w:val="00F6536D"/>
    <w:rsid w:val="00F6600F"/>
    <w:rsid w:val="00F6606A"/>
    <w:rsid w:val="00F8476D"/>
    <w:rsid w:val="00F85545"/>
    <w:rsid w:val="00F910DF"/>
    <w:rsid w:val="00F921B3"/>
    <w:rsid w:val="00F966F1"/>
    <w:rsid w:val="00FA341F"/>
    <w:rsid w:val="00FA5A98"/>
    <w:rsid w:val="00FA7D19"/>
    <w:rsid w:val="00FB178F"/>
    <w:rsid w:val="00FC0000"/>
    <w:rsid w:val="00FC0DCD"/>
    <w:rsid w:val="00FC4211"/>
    <w:rsid w:val="00FC4437"/>
    <w:rsid w:val="00FD0104"/>
    <w:rsid w:val="00FD18E1"/>
    <w:rsid w:val="00FD3E11"/>
    <w:rsid w:val="00FD4DFE"/>
    <w:rsid w:val="00FD6B20"/>
    <w:rsid w:val="13A2C7E3"/>
    <w:rsid w:val="23FAC606"/>
    <w:rsid w:val="2EA51D17"/>
    <w:rsid w:val="319D8961"/>
    <w:rsid w:val="334A8A01"/>
    <w:rsid w:val="396C4500"/>
    <w:rsid w:val="4F7F02BA"/>
    <w:rsid w:val="5DB75E29"/>
    <w:rsid w:val="61B8F6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A8A01"/>
  <w15:chartTrackingRefBased/>
  <w15:docId w15:val="{76392F8B-78F6-456F-86B3-19E239AA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C3"/>
    <w:pPr>
      <w:spacing w:after="0" w:line="36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uiPriority w:val="1"/>
    <w:qFormat/>
    <w:rsid w:val="002B01EC"/>
    <w:pPr>
      <w:keepNext/>
      <w:spacing w:before="360" w:after="240" w:line="240" w:lineRule="atLeast"/>
      <w:outlineLvl w:val="0"/>
    </w:pPr>
    <w:rPr>
      <w:rFonts w:ascii="Arial" w:hAnsi="Arial" w:cs="Arial"/>
      <w:b/>
      <w:bCs/>
      <w:color w:val="000000"/>
      <w:sz w:val="36"/>
    </w:rPr>
  </w:style>
  <w:style w:type="paragraph" w:styleId="Overskrift2">
    <w:name w:val="heading 2"/>
    <w:basedOn w:val="Normal"/>
    <w:next w:val="Normal"/>
    <w:link w:val="Overskrift2Tegn"/>
    <w:uiPriority w:val="1"/>
    <w:qFormat/>
    <w:rsid w:val="002B01EC"/>
    <w:pPr>
      <w:keepNext/>
      <w:spacing w:before="360" w:after="60"/>
      <w:outlineLvl w:val="1"/>
    </w:pPr>
    <w:rPr>
      <w:rFonts w:ascii="Arial" w:hAnsi="Arial" w:cs="Arial"/>
      <w:b/>
      <w:bCs/>
      <w:iCs/>
      <w:szCs w:val="28"/>
    </w:rPr>
  </w:style>
  <w:style w:type="paragraph" w:styleId="Overskrift3">
    <w:name w:val="heading 3"/>
    <w:basedOn w:val="Normal"/>
    <w:next w:val="Normal"/>
    <w:link w:val="Overskrift3Tegn"/>
    <w:uiPriority w:val="1"/>
    <w:qFormat/>
    <w:rsid w:val="002B01EC"/>
    <w:pPr>
      <w:keepNext/>
      <w:spacing w:before="240" w:after="60"/>
      <w:outlineLvl w:val="2"/>
    </w:pPr>
    <w:rPr>
      <w:rFonts w:ascii="Arial" w:hAnsi="Arial" w:cs="Arial"/>
      <w:b/>
      <w:bCs/>
      <w:sz w:val="20"/>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1"/>
    <w:rsid w:val="001078C3"/>
    <w:rPr>
      <w:rFonts w:ascii="Arial" w:eastAsia="Times New Roman" w:hAnsi="Arial" w:cs="Arial"/>
      <w:b/>
      <w:bCs/>
      <w:color w:val="000000"/>
      <w:sz w:val="36"/>
      <w:szCs w:val="24"/>
      <w:lang w:eastAsia="da-DK"/>
    </w:rPr>
  </w:style>
  <w:style w:type="character" w:customStyle="1" w:styleId="Overskrift2Tegn">
    <w:name w:val="Overskrift 2 Tegn"/>
    <w:basedOn w:val="Standardskrifttypeiafsnit"/>
    <w:link w:val="Overskrift2"/>
    <w:uiPriority w:val="1"/>
    <w:rsid w:val="001078C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uiPriority w:val="1"/>
    <w:rsid w:val="001078C3"/>
    <w:rPr>
      <w:rFonts w:ascii="Arial" w:eastAsia="Times New Roman" w:hAnsi="Arial" w:cs="Arial"/>
      <w:b/>
      <w:bCs/>
      <w:sz w:val="20"/>
      <w:szCs w:val="26"/>
      <w:lang w:eastAsia="da-DK"/>
    </w:rPr>
  </w:style>
  <w:style w:type="paragraph" w:styleId="Sidehoved">
    <w:name w:val="header"/>
    <w:basedOn w:val="Normal"/>
    <w:link w:val="SidehovedTegn"/>
    <w:uiPriority w:val="99"/>
    <w:unhideWhenUsed/>
    <w:rsid w:val="002B01EC"/>
    <w:pPr>
      <w:tabs>
        <w:tab w:val="center" w:pos="4680"/>
        <w:tab w:val="right" w:pos="9360"/>
      </w:tabs>
      <w:spacing w:line="240" w:lineRule="auto"/>
    </w:pPr>
  </w:style>
  <w:style w:type="character" w:customStyle="1" w:styleId="SidehovedTegn">
    <w:name w:val="Sidehoved Tegn"/>
    <w:basedOn w:val="Standardskrifttypeiafsnit"/>
    <w:link w:val="Sidehoved"/>
    <w:uiPriority w:val="99"/>
    <w:rsid w:val="001078C3"/>
    <w:rPr>
      <w:rFonts w:ascii="Times New Roman" w:eastAsia="Times New Roman" w:hAnsi="Times New Roman" w:cs="Times New Roman"/>
      <w:sz w:val="24"/>
      <w:szCs w:val="24"/>
      <w:lang w:eastAsia="da-DK"/>
    </w:rPr>
  </w:style>
  <w:style w:type="paragraph" w:styleId="Sidefod">
    <w:name w:val="footer"/>
    <w:basedOn w:val="Normal"/>
    <w:link w:val="SidefodTegn"/>
    <w:uiPriority w:val="99"/>
    <w:unhideWhenUsed/>
    <w:rsid w:val="002B01EC"/>
    <w:pPr>
      <w:tabs>
        <w:tab w:val="center" w:pos="4680"/>
        <w:tab w:val="right" w:pos="9360"/>
      </w:tabs>
      <w:spacing w:line="240" w:lineRule="auto"/>
    </w:pPr>
  </w:style>
  <w:style w:type="character" w:customStyle="1" w:styleId="SidefodTegn">
    <w:name w:val="Sidefod Tegn"/>
    <w:basedOn w:val="Standardskrifttypeiafsnit"/>
    <w:link w:val="Sidefod"/>
    <w:uiPriority w:val="99"/>
    <w:rsid w:val="001078C3"/>
    <w:rPr>
      <w:rFonts w:ascii="Times New Roman" w:eastAsia="Times New Roman" w:hAnsi="Times New Roman" w:cs="Times New Roman"/>
      <w:sz w:val="24"/>
      <w:szCs w:val="24"/>
      <w:lang w:eastAsia="da-DK"/>
    </w:rPr>
  </w:style>
  <w:style w:type="paragraph" w:customStyle="1" w:styleId="KUtitel">
    <w:name w:val="KU titel"/>
    <w:basedOn w:val="Normal"/>
    <w:uiPriority w:val="99"/>
    <w:semiHidden/>
    <w:rsid w:val="002B01EC"/>
    <w:pPr>
      <w:spacing w:line="560" w:lineRule="exact"/>
    </w:pPr>
    <w:rPr>
      <w:rFonts w:ascii="Arial" w:hAnsi="Arial" w:cs="Arial"/>
      <w:b/>
      <w:spacing w:val="12"/>
      <w:sz w:val="48"/>
      <w:szCs w:val="51"/>
    </w:rPr>
  </w:style>
  <w:style w:type="paragraph" w:customStyle="1" w:styleId="KUundertitel">
    <w:name w:val="KU undertitel"/>
    <w:basedOn w:val="Normal"/>
    <w:uiPriority w:val="99"/>
    <w:semiHidden/>
    <w:rsid w:val="002B01EC"/>
    <w:pPr>
      <w:spacing w:line="560" w:lineRule="exact"/>
    </w:pPr>
    <w:rPr>
      <w:rFonts w:ascii="Arial" w:hAnsi="Arial" w:cs="Arial"/>
      <w:spacing w:val="14"/>
      <w:sz w:val="36"/>
      <w:szCs w:val="40"/>
    </w:rPr>
  </w:style>
  <w:style w:type="paragraph" w:customStyle="1" w:styleId="Template-Hoved1">
    <w:name w:val="Template - Hoved 1"/>
    <w:basedOn w:val="Normal"/>
    <w:next w:val="Normal"/>
    <w:autoRedefine/>
    <w:uiPriority w:val="99"/>
    <w:semiHidden/>
    <w:rsid w:val="002B01EC"/>
    <w:pPr>
      <w:spacing w:line="300" w:lineRule="exact"/>
    </w:pPr>
    <w:rPr>
      <w:caps/>
      <w:noProof/>
      <w:spacing w:val="42"/>
      <w:lang w:val="en-GB"/>
    </w:rPr>
  </w:style>
  <w:style w:type="paragraph" w:customStyle="1" w:styleId="Template-Hoved2">
    <w:name w:val="Template - Hoved 2"/>
    <w:basedOn w:val="Normal"/>
    <w:next w:val="Normal"/>
    <w:autoRedefine/>
    <w:uiPriority w:val="99"/>
    <w:semiHidden/>
    <w:rsid w:val="002B01EC"/>
    <w:pPr>
      <w:spacing w:line="280" w:lineRule="exact"/>
    </w:pPr>
    <w:rPr>
      <w:caps/>
      <w:noProof/>
      <w:spacing w:val="42"/>
      <w:sz w:val="18"/>
      <w:szCs w:val="20"/>
      <w:lang w:val="en-GB"/>
    </w:rPr>
  </w:style>
  <w:style w:type="paragraph" w:styleId="Indholdsfortegnelse1">
    <w:name w:val="toc 1"/>
    <w:basedOn w:val="Normal"/>
    <w:next w:val="Normal"/>
    <w:uiPriority w:val="39"/>
    <w:rsid w:val="002B01EC"/>
    <w:pPr>
      <w:tabs>
        <w:tab w:val="right" w:leader="dot" w:pos="9628"/>
      </w:tabs>
      <w:spacing w:before="360" w:line="240" w:lineRule="atLeast"/>
    </w:pPr>
    <w:rPr>
      <w:rFonts w:ascii="Arial" w:hAnsi="Arial" w:cs="Arial"/>
      <w:b/>
      <w:bCs/>
      <w:caps/>
      <w:szCs w:val="28"/>
    </w:rPr>
  </w:style>
  <w:style w:type="paragraph" w:styleId="Indholdsfortegnelse2">
    <w:name w:val="toc 2"/>
    <w:basedOn w:val="Normal"/>
    <w:next w:val="Normal"/>
    <w:uiPriority w:val="39"/>
    <w:rsid w:val="002B01EC"/>
    <w:pPr>
      <w:spacing w:before="240"/>
    </w:pPr>
    <w:rPr>
      <w:b/>
      <w:bCs/>
      <w:sz w:val="20"/>
    </w:rPr>
  </w:style>
  <w:style w:type="paragraph" w:styleId="Indholdsfortegnelse3">
    <w:name w:val="toc 3"/>
    <w:basedOn w:val="Normal"/>
    <w:next w:val="Normal"/>
    <w:uiPriority w:val="10"/>
    <w:semiHidden/>
    <w:rsid w:val="002B01EC"/>
    <w:pPr>
      <w:ind w:left="240"/>
    </w:pPr>
    <w:rPr>
      <w:sz w:val="20"/>
    </w:rPr>
  </w:style>
  <w:style w:type="character" w:styleId="Hyperlink">
    <w:name w:val="Hyperlink"/>
    <w:uiPriority w:val="99"/>
    <w:rsid w:val="001078C3"/>
    <w:rPr>
      <w:color w:val="0000FF"/>
      <w:u w:val="single"/>
    </w:rPr>
  </w:style>
  <w:style w:type="character" w:styleId="Sidetal">
    <w:name w:val="page number"/>
    <w:basedOn w:val="Standardskrifttypeiafsnit"/>
    <w:uiPriority w:val="99"/>
    <w:semiHidden/>
    <w:rsid w:val="001078C3"/>
  </w:style>
  <w:style w:type="table" w:styleId="Tabel-Gitter">
    <w:name w:val="Table Grid"/>
    <w:basedOn w:val="Tabel-Normal"/>
    <w:uiPriority w:val="39"/>
    <w:rsid w:val="001078C3"/>
    <w:pPr>
      <w:spacing w:after="0" w:line="300" w:lineRule="atLeast"/>
    </w:pPr>
    <w:rPr>
      <w:rFonts w:ascii="Times New Roman" w:eastAsia="Times New Roman" w:hAnsi="Times New Roman" w:cs="Times New Roman"/>
      <w:sz w:val="24"/>
      <w:szCs w:val="24"/>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plinfo">
    <w:name w:val="Suppl. info."/>
    <w:basedOn w:val="KUundertitel"/>
    <w:uiPriority w:val="99"/>
    <w:semiHidden/>
    <w:rsid w:val="001078C3"/>
    <w:rPr>
      <w:sz w:val="28"/>
    </w:rPr>
  </w:style>
  <w:style w:type="paragraph" w:styleId="Markeringsbobletekst">
    <w:name w:val="Balloon Text"/>
    <w:basedOn w:val="Normal"/>
    <w:link w:val="MarkeringsbobletekstTegn"/>
    <w:uiPriority w:val="99"/>
    <w:semiHidden/>
    <w:unhideWhenUsed/>
    <w:rsid w:val="00D607AE"/>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607AE"/>
    <w:rPr>
      <w:rFonts w:ascii="Segoe UI" w:eastAsia="Times New Roman" w:hAnsi="Segoe UI" w:cs="Segoe UI"/>
      <w:sz w:val="18"/>
      <w:szCs w:val="18"/>
      <w:lang w:eastAsia="da-DK"/>
    </w:rPr>
  </w:style>
  <w:style w:type="paragraph" w:styleId="Listeafsnit">
    <w:name w:val="List Paragraph"/>
    <w:basedOn w:val="Normal"/>
    <w:uiPriority w:val="34"/>
    <w:qFormat/>
    <w:rsid w:val="00D607AE"/>
    <w:pPr>
      <w:spacing w:after="160" w:line="259" w:lineRule="auto"/>
      <w:ind w:left="720"/>
      <w:contextualSpacing/>
    </w:pPr>
    <w:rPr>
      <w:rFonts w:asciiTheme="minorHAnsi" w:eastAsiaTheme="minorHAnsi" w:hAnsiTheme="minorHAnsi" w:cstheme="minorBidi"/>
      <w:sz w:val="22"/>
      <w:szCs w:val="22"/>
      <w:lang w:eastAsia="en-US"/>
    </w:rPr>
  </w:style>
  <w:style w:type="character" w:styleId="Kommentarhenvisning">
    <w:name w:val="annotation reference"/>
    <w:basedOn w:val="Standardskrifttypeiafsnit"/>
    <w:uiPriority w:val="99"/>
    <w:semiHidden/>
    <w:unhideWhenUsed/>
    <w:rsid w:val="00D607AE"/>
    <w:rPr>
      <w:sz w:val="16"/>
      <w:szCs w:val="16"/>
    </w:rPr>
  </w:style>
  <w:style w:type="paragraph" w:styleId="Kommentartekst">
    <w:name w:val="annotation text"/>
    <w:basedOn w:val="Normal"/>
    <w:link w:val="KommentartekstTegn"/>
    <w:uiPriority w:val="99"/>
    <w:semiHidden/>
    <w:unhideWhenUsed/>
    <w:rsid w:val="00D607AE"/>
    <w:pPr>
      <w:spacing w:after="160" w:line="240" w:lineRule="auto"/>
    </w:pPr>
    <w:rPr>
      <w:rFonts w:asciiTheme="minorHAnsi" w:eastAsiaTheme="minorHAnsi" w:hAnsiTheme="minorHAnsi" w:cstheme="minorBidi"/>
      <w:sz w:val="20"/>
      <w:szCs w:val="20"/>
      <w:lang w:eastAsia="en-US"/>
    </w:rPr>
  </w:style>
  <w:style w:type="character" w:customStyle="1" w:styleId="KommentartekstTegn">
    <w:name w:val="Kommentartekst Tegn"/>
    <w:basedOn w:val="Standardskrifttypeiafsnit"/>
    <w:link w:val="Kommentartekst"/>
    <w:uiPriority w:val="99"/>
    <w:semiHidden/>
    <w:rsid w:val="00D607AE"/>
    <w:rPr>
      <w:sz w:val="20"/>
      <w:szCs w:val="20"/>
    </w:rPr>
  </w:style>
  <w:style w:type="paragraph" w:styleId="Billedtekst">
    <w:name w:val="caption"/>
    <w:basedOn w:val="Normal"/>
    <w:next w:val="Normal"/>
    <w:uiPriority w:val="35"/>
    <w:unhideWhenUsed/>
    <w:qFormat/>
    <w:rsid w:val="002D7DAA"/>
    <w:pPr>
      <w:spacing w:after="200" w:line="240" w:lineRule="auto"/>
    </w:pPr>
    <w:rPr>
      <w:i/>
      <w:iCs/>
      <w:color w:val="44546A" w:themeColor="text2"/>
      <w:sz w:val="18"/>
      <w:szCs w:val="18"/>
    </w:rPr>
  </w:style>
  <w:style w:type="character" w:customStyle="1" w:styleId="normaltextrun">
    <w:name w:val="normaltextrun"/>
    <w:basedOn w:val="Standardskrifttypeiafsnit"/>
    <w:rsid w:val="00B9335C"/>
  </w:style>
  <w:style w:type="paragraph" w:styleId="Kommentaremne">
    <w:name w:val="annotation subject"/>
    <w:basedOn w:val="Kommentartekst"/>
    <w:next w:val="Kommentartekst"/>
    <w:link w:val="KommentaremneTegn"/>
    <w:uiPriority w:val="99"/>
    <w:semiHidden/>
    <w:unhideWhenUsed/>
    <w:rsid w:val="00D63273"/>
    <w:pPr>
      <w:spacing w:after="0"/>
    </w:pPr>
    <w:rPr>
      <w:rFonts w:ascii="Times New Roman" w:eastAsia="Times New Roman" w:hAnsi="Times New Roman" w:cs="Times New Roman"/>
      <w:b/>
      <w:bCs/>
      <w:lang w:eastAsia="da-DK"/>
    </w:rPr>
  </w:style>
  <w:style w:type="character" w:customStyle="1" w:styleId="KommentaremneTegn">
    <w:name w:val="Kommentaremne Tegn"/>
    <w:basedOn w:val="KommentartekstTegn"/>
    <w:link w:val="Kommentaremne"/>
    <w:uiPriority w:val="99"/>
    <w:semiHidden/>
    <w:rsid w:val="00D63273"/>
    <w:rPr>
      <w:rFonts w:ascii="Times New Roman" w:eastAsia="Times New Roman" w:hAnsi="Times New Roman" w:cs="Times New Roman"/>
      <w:b/>
      <w:bCs/>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4e62bf1eb674fb63/Dokumenter/UNI/Kognitionspsykologi/Eksperimenter/5%20Iowa%20gambling%20task/Individuel%20data/Iowa2019_Indtastningsark%20til%20figurer_FP19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4e62bf1eb674fb63/Dokumenter/UNI/Kognitionspsykologi/Eksperimenter/5%20Iowa%20gambling%20task/Individuel%20data/Iowa2019_Indtastningsark%20til%20figurer_FP19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500"/>
            </a:pPr>
            <a:r>
              <a:rPr lang="en-US" sz="1500"/>
              <a:t>Capital and deck selection as function of number of draws</a:t>
            </a:r>
          </a:p>
          <a:p>
            <a:pPr>
              <a:defRPr sz="1500"/>
            </a:pPr>
            <a:r>
              <a:rPr lang="en-US" sz="1500"/>
              <a:t>(FP19201, session one)</a:t>
            </a:r>
          </a:p>
        </c:rich>
      </c:tx>
      <c:layout>
        <c:manualLayout>
          <c:xMode val="edge"/>
          <c:yMode val="edge"/>
          <c:x val="0.2286904494081097"/>
          <c:y val="2.8991726911329067E-2"/>
        </c:manualLayout>
      </c:layout>
      <c:overlay val="0"/>
    </c:title>
    <c:autoTitleDeleted val="0"/>
    <c:plotArea>
      <c:layout>
        <c:manualLayout>
          <c:layoutTarget val="inner"/>
          <c:xMode val="edge"/>
          <c:yMode val="edge"/>
          <c:x val="9.7773201989918596E-2"/>
          <c:y val="0.16859070302162599"/>
          <c:w val="0.83236846440220102"/>
          <c:h val="0.59192954599683301"/>
        </c:manualLayout>
      </c:layout>
      <c:scatterChart>
        <c:scatterStyle val="lineMarker"/>
        <c:varyColors val="0"/>
        <c:ser>
          <c:idx val="1"/>
          <c:order val="1"/>
          <c:tx>
            <c:strRef>
              <c:f>'Kapital &amp; Valg indtast'!$C$6</c:f>
              <c:strCache>
                <c:ptCount val="1"/>
                <c:pt idx="0">
                  <c:v>Capital</c:v>
                </c:pt>
              </c:strCache>
            </c:strRef>
          </c:tx>
          <c:spPr>
            <a:ln w="31750"/>
          </c:spPr>
          <c:marker>
            <c:symbol val="none"/>
          </c:marker>
          <c:xVal>
            <c:numRef>
              <c:f>'Kapital &amp; Valg indtast'!$A$7:$A$106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'Kapital &amp; Valg indtast'!$C$7:$C$106</c:f>
              <c:numCache>
                <c:formatCode>General</c:formatCode>
                <c:ptCount val="100"/>
                <c:pt idx="0">
                  <c:v>2100</c:v>
                </c:pt>
                <c:pt idx="1">
                  <c:v>2200</c:v>
                </c:pt>
                <c:pt idx="2">
                  <c:v>2150</c:v>
                </c:pt>
                <c:pt idx="3">
                  <c:v>2250</c:v>
                </c:pt>
                <c:pt idx="4">
                  <c:v>2350</c:v>
                </c:pt>
                <c:pt idx="5">
                  <c:v>2450</c:v>
                </c:pt>
                <c:pt idx="6">
                  <c:v>2500</c:v>
                </c:pt>
                <c:pt idx="7">
                  <c:v>2550</c:v>
                </c:pt>
                <c:pt idx="8">
                  <c:v>2550</c:v>
                </c:pt>
                <c:pt idx="9">
                  <c:v>2600</c:v>
                </c:pt>
                <c:pt idx="10">
                  <c:v>2650</c:v>
                </c:pt>
                <c:pt idx="11">
                  <c:v>2700</c:v>
                </c:pt>
                <c:pt idx="12">
                  <c:v>2800</c:v>
                </c:pt>
                <c:pt idx="13">
                  <c:v>2900</c:v>
                </c:pt>
                <c:pt idx="14">
                  <c:v>3000</c:v>
                </c:pt>
                <c:pt idx="15">
                  <c:v>3050</c:v>
                </c:pt>
                <c:pt idx="16">
                  <c:v>3100</c:v>
                </c:pt>
                <c:pt idx="17">
                  <c:v>3150</c:v>
                </c:pt>
                <c:pt idx="18">
                  <c:v>3250</c:v>
                </c:pt>
                <c:pt idx="19">
                  <c:v>3050</c:v>
                </c:pt>
                <c:pt idx="20">
                  <c:v>3150</c:v>
                </c:pt>
                <c:pt idx="21">
                  <c:v>3050</c:v>
                </c:pt>
                <c:pt idx="22">
                  <c:v>3050</c:v>
                </c:pt>
                <c:pt idx="23">
                  <c:v>3100</c:v>
                </c:pt>
                <c:pt idx="24">
                  <c:v>3150</c:v>
                </c:pt>
                <c:pt idx="25">
                  <c:v>3250</c:v>
                </c:pt>
                <c:pt idx="26">
                  <c:v>3350</c:v>
                </c:pt>
                <c:pt idx="27">
                  <c:v>2200</c:v>
                </c:pt>
                <c:pt idx="28">
                  <c:v>2300</c:v>
                </c:pt>
                <c:pt idx="29">
                  <c:v>2150</c:v>
                </c:pt>
                <c:pt idx="30">
                  <c:v>2150</c:v>
                </c:pt>
                <c:pt idx="31">
                  <c:v>2200</c:v>
                </c:pt>
                <c:pt idx="32">
                  <c:v>2200</c:v>
                </c:pt>
                <c:pt idx="33">
                  <c:v>2250</c:v>
                </c:pt>
                <c:pt idx="34">
                  <c:v>2250</c:v>
                </c:pt>
                <c:pt idx="35">
                  <c:v>2300</c:v>
                </c:pt>
                <c:pt idx="36">
                  <c:v>2325</c:v>
                </c:pt>
                <c:pt idx="37">
                  <c:v>2300</c:v>
                </c:pt>
                <c:pt idx="38">
                  <c:v>2350</c:v>
                </c:pt>
                <c:pt idx="39">
                  <c:v>2400</c:v>
                </c:pt>
                <c:pt idx="40">
                  <c:v>2500</c:v>
                </c:pt>
                <c:pt idx="41">
                  <c:v>2600</c:v>
                </c:pt>
                <c:pt idx="42">
                  <c:v>2350</c:v>
                </c:pt>
                <c:pt idx="43">
                  <c:v>2450</c:v>
                </c:pt>
                <c:pt idx="44">
                  <c:v>2550</c:v>
                </c:pt>
                <c:pt idx="45">
                  <c:v>1400</c:v>
                </c:pt>
                <c:pt idx="46">
                  <c:v>1450</c:v>
                </c:pt>
                <c:pt idx="47">
                  <c:v>1500</c:v>
                </c:pt>
                <c:pt idx="48">
                  <c:v>1300</c:v>
                </c:pt>
                <c:pt idx="49">
                  <c:v>1350</c:v>
                </c:pt>
                <c:pt idx="50">
                  <c:v>1375</c:v>
                </c:pt>
                <c:pt idx="51">
                  <c:v>1350</c:v>
                </c:pt>
                <c:pt idx="52">
                  <c:v>1400</c:v>
                </c:pt>
                <c:pt idx="53">
                  <c:v>1400</c:v>
                </c:pt>
                <c:pt idx="54">
                  <c:v>1450</c:v>
                </c:pt>
                <c:pt idx="55">
                  <c:v>1500</c:v>
                </c:pt>
                <c:pt idx="56">
                  <c:v>1550</c:v>
                </c:pt>
                <c:pt idx="57">
                  <c:v>1550</c:v>
                </c:pt>
                <c:pt idx="58">
                  <c:v>1575</c:v>
                </c:pt>
                <c:pt idx="59">
                  <c:v>1575</c:v>
                </c:pt>
                <c:pt idx="60">
                  <c:v>1625</c:v>
                </c:pt>
                <c:pt idx="61">
                  <c:v>1675</c:v>
                </c:pt>
                <c:pt idx="62">
                  <c:v>1650</c:v>
                </c:pt>
                <c:pt idx="63">
                  <c:v>1650</c:v>
                </c:pt>
                <c:pt idx="64">
                  <c:v>1700</c:v>
                </c:pt>
                <c:pt idx="65">
                  <c:v>1750</c:v>
                </c:pt>
                <c:pt idx="66">
                  <c:v>1800</c:v>
                </c:pt>
                <c:pt idx="67">
                  <c:v>1825</c:v>
                </c:pt>
                <c:pt idx="68">
                  <c:v>1850</c:v>
                </c:pt>
                <c:pt idx="69">
                  <c:v>1900</c:v>
                </c:pt>
                <c:pt idx="70">
                  <c:v>1875</c:v>
                </c:pt>
                <c:pt idx="71">
                  <c:v>1925</c:v>
                </c:pt>
                <c:pt idx="72">
                  <c:v>1925</c:v>
                </c:pt>
                <c:pt idx="73">
                  <c:v>1900</c:v>
                </c:pt>
                <c:pt idx="74">
                  <c:v>1950</c:v>
                </c:pt>
                <c:pt idx="75">
                  <c:v>2000</c:v>
                </c:pt>
                <c:pt idx="76">
                  <c:v>2000</c:v>
                </c:pt>
                <c:pt idx="77">
                  <c:v>2050</c:v>
                </c:pt>
                <c:pt idx="78">
                  <c:v>2050</c:v>
                </c:pt>
                <c:pt idx="79">
                  <c:v>2100</c:v>
                </c:pt>
                <c:pt idx="80">
                  <c:v>2100</c:v>
                </c:pt>
                <c:pt idx="81">
                  <c:v>2150</c:v>
                </c:pt>
                <c:pt idx="82">
                  <c:v>2150</c:v>
                </c:pt>
                <c:pt idx="83">
                  <c:v>2150</c:v>
                </c:pt>
                <c:pt idx="84">
                  <c:v>2200</c:v>
                </c:pt>
                <c:pt idx="85">
                  <c:v>2225</c:v>
                </c:pt>
                <c:pt idx="86">
                  <c:v>2200</c:v>
                </c:pt>
                <c:pt idx="87">
                  <c:v>2250</c:v>
                </c:pt>
                <c:pt idx="88">
                  <c:v>2300</c:v>
                </c:pt>
                <c:pt idx="89">
                  <c:v>2350</c:v>
                </c:pt>
                <c:pt idx="90">
                  <c:v>2375</c:v>
                </c:pt>
                <c:pt idx="91">
                  <c:v>2350</c:v>
                </c:pt>
                <c:pt idx="92">
                  <c:v>2400</c:v>
                </c:pt>
                <c:pt idx="93">
                  <c:v>2400</c:v>
                </c:pt>
                <c:pt idx="94">
                  <c:v>2450</c:v>
                </c:pt>
                <c:pt idx="95">
                  <c:v>2500</c:v>
                </c:pt>
                <c:pt idx="96">
                  <c:v>2550</c:v>
                </c:pt>
                <c:pt idx="97">
                  <c:v>2550</c:v>
                </c:pt>
                <c:pt idx="98">
                  <c:v>2575</c:v>
                </c:pt>
                <c:pt idx="99">
                  <c:v>2575</c:v>
                </c:pt>
              </c:numCache>
            </c:numRef>
          </c:yVal>
          <c:smooth val="0"/>
          <c:extLst>
            <c:ext xmlns:c16="http://schemas.microsoft.com/office/drawing/2014/chart" uri="{C3380CC4-5D6E-409C-BE32-E72D297353CC}">
              <c16:uniqueId val="{00000000-CB59-4ECE-9DA8-126567C68E1E}"/>
            </c:ext>
          </c:extLst>
        </c:ser>
        <c:dLbls>
          <c:showLegendKey val="0"/>
          <c:showVal val="0"/>
          <c:showCatName val="0"/>
          <c:showSerName val="0"/>
          <c:showPercent val="0"/>
          <c:showBubbleSize val="0"/>
        </c:dLbls>
        <c:axId val="73512064"/>
        <c:axId val="73513984"/>
      </c:scatterChart>
      <c:scatterChart>
        <c:scatterStyle val="lineMarker"/>
        <c:varyColors val="0"/>
        <c:ser>
          <c:idx val="0"/>
          <c:order val="0"/>
          <c:tx>
            <c:strRef>
              <c:f>'Kapital &amp; Valg indtast'!$B$6</c:f>
              <c:strCache>
                <c:ptCount val="1"/>
                <c:pt idx="0">
                  <c:v>Deck selection</c:v>
                </c:pt>
              </c:strCache>
            </c:strRef>
          </c:tx>
          <c:spPr>
            <a:ln>
              <a:prstDash val="sysDash"/>
            </a:ln>
          </c:spPr>
          <c:marker>
            <c:symbol val="none"/>
          </c:marker>
          <c:xVal>
            <c:numRef>
              <c:f>'Kapital &amp; Valg indtast'!$A$7:$A$106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'Kapital &amp; Valg indtast'!$B$7:$B$106</c:f>
              <c:numCache>
                <c:formatCode>General</c:formatCode>
                <c:ptCount val="100"/>
                <c:pt idx="0">
                  <c:v>1</c:v>
                </c:pt>
                <c:pt idx="1">
                  <c:v>1</c:v>
                </c:pt>
                <c:pt idx="2">
                  <c:v>1</c:v>
                </c:pt>
                <c:pt idx="3">
                  <c:v>2</c:v>
                </c:pt>
                <c:pt idx="4">
                  <c:v>2</c:v>
                </c:pt>
                <c:pt idx="5">
                  <c:v>2</c:v>
                </c:pt>
                <c:pt idx="6">
                  <c:v>3</c:v>
                </c:pt>
                <c:pt idx="7">
                  <c:v>3</c:v>
                </c:pt>
                <c:pt idx="8">
                  <c:v>3</c:v>
                </c:pt>
                <c:pt idx="9">
                  <c:v>4</c:v>
                </c:pt>
                <c:pt idx="10">
                  <c:v>4</c:v>
                </c:pt>
                <c:pt idx="11">
                  <c:v>4</c:v>
                </c:pt>
                <c:pt idx="12">
                  <c:v>2</c:v>
                </c:pt>
                <c:pt idx="13">
                  <c:v>2</c:v>
                </c:pt>
                <c:pt idx="14">
                  <c:v>2</c:v>
                </c:pt>
                <c:pt idx="15">
                  <c:v>4</c:v>
                </c:pt>
                <c:pt idx="16">
                  <c:v>4</c:v>
                </c:pt>
                <c:pt idx="17">
                  <c:v>3</c:v>
                </c:pt>
                <c:pt idx="18">
                  <c:v>1</c:v>
                </c:pt>
                <c:pt idx="19">
                  <c:v>1</c:v>
                </c:pt>
                <c:pt idx="20">
                  <c:v>1</c:v>
                </c:pt>
                <c:pt idx="21">
                  <c:v>1</c:v>
                </c:pt>
                <c:pt idx="22">
                  <c:v>3</c:v>
                </c:pt>
                <c:pt idx="23">
                  <c:v>3</c:v>
                </c:pt>
                <c:pt idx="24">
                  <c:v>4</c:v>
                </c:pt>
                <c:pt idx="25">
                  <c:v>2</c:v>
                </c:pt>
                <c:pt idx="26">
                  <c:v>2</c:v>
                </c:pt>
                <c:pt idx="27">
                  <c:v>2</c:v>
                </c:pt>
                <c:pt idx="28">
                  <c:v>1</c:v>
                </c:pt>
                <c:pt idx="29">
                  <c:v>1</c:v>
                </c:pt>
                <c:pt idx="30">
                  <c:v>3</c:v>
                </c:pt>
                <c:pt idx="31">
                  <c:v>3</c:v>
                </c:pt>
                <c:pt idx="32">
                  <c:v>3</c:v>
                </c:pt>
                <c:pt idx="33">
                  <c:v>4</c:v>
                </c:pt>
                <c:pt idx="34">
                  <c:v>3</c:v>
                </c:pt>
                <c:pt idx="35">
                  <c:v>3</c:v>
                </c:pt>
                <c:pt idx="36">
                  <c:v>3</c:v>
                </c:pt>
                <c:pt idx="37">
                  <c:v>3</c:v>
                </c:pt>
                <c:pt idx="38">
                  <c:v>3</c:v>
                </c:pt>
                <c:pt idx="39">
                  <c:v>3</c:v>
                </c:pt>
                <c:pt idx="40">
                  <c:v>2</c:v>
                </c:pt>
                <c:pt idx="41">
                  <c:v>2</c:v>
                </c:pt>
                <c:pt idx="42">
                  <c:v>1</c:v>
                </c:pt>
                <c:pt idx="43">
                  <c:v>2</c:v>
                </c:pt>
                <c:pt idx="44">
                  <c:v>2</c:v>
                </c:pt>
                <c:pt idx="45">
                  <c:v>2</c:v>
                </c:pt>
                <c:pt idx="46">
                  <c:v>4</c:v>
                </c:pt>
                <c:pt idx="47">
                  <c:v>4</c:v>
                </c:pt>
                <c:pt idx="48">
                  <c:v>4</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numCache>
            </c:numRef>
          </c:yVal>
          <c:smooth val="0"/>
          <c:extLst>
            <c:ext xmlns:c16="http://schemas.microsoft.com/office/drawing/2014/chart" uri="{C3380CC4-5D6E-409C-BE32-E72D297353CC}">
              <c16:uniqueId val="{00000001-CB59-4ECE-9DA8-126567C68E1E}"/>
            </c:ext>
          </c:extLst>
        </c:ser>
        <c:dLbls>
          <c:showLegendKey val="0"/>
          <c:showVal val="0"/>
          <c:showCatName val="0"/>
          <c:showSerName val="0"/>
          <c:showPercent val="0"/>
          <c:showBubbleSize val="0"/>
        </c:dLbls>
        <c:axId val="73522176"/>
        <c:axId val="73520256"/>
      </c:scatterChart>
      <c:valAx>
        <c:axId val="73512064"/>
        <c:scaling>
          <c:orientation val="minMax"/>
          <c:max val="101"/>
          <c:min val="0"/>
        </c:scaling>
        <c:delete val="0"/>
        <c:axPos val="b"/>
        <c:title>
          <c:tx>
            <c:rich>
              <a:bodyPr/>
              <a:lstStyle/>
              <a:p>
                <a:pPr>
                  <a:defRPr/>
                </a:pPr>
                <a:r>
                  <a:rPr lang="en-US"/>
                  <a:t>Draw #</a:t>
                </a:r>
              </a:p>
            </c:rich>
          </c:tx>
          <c:overlay val="0"/>
        </c:title>
        <c:numFmt formatCode="General" sourceLinked="1"/>
        <c:majorTickMark val="out"/>
        <c:minorTickMark val="none"/>
        <c:tickLblPos val="nextTo"/>
        <c:crossAx val="73513984"/>
        <c:crosses val="autoZero"/>
        <c:crossBetween val="midCat"/>
        <c:majorUnit val="10"/>
      </c:valAx>
      <c:valAx>
        <c:axId val="73513984"/>
        <c:scaling>
          <c:orientation val="minMax"/>
          <c:max val="5000"/>
          <c:min val="1000"/>
        </c:scaling>
        <c:delete val="0"/>
        <c:axPos val="l"/>
        <c:majorGridlines/>
        <c:title>
          <c:tx>
            <c:rich>
              <a:bodyPr rot="-5400000" vert="horz"/>
              <a:lstStyle/>
              <a:p>
                <a:pPr>
                  <a:defRPr/>
                </a:pPr>
                <a:r>
                  <a:rPr lang="en-US"/>
                  <a:t>Total capital (DKK)</a:t>
                </a:r>
              </a:p>
            </c:rich>
          </c:tx>
          <c:overlay val="0"/>
        </c:title>
        <c:numFmt formatCode="General" sourceLinked="1"/>
        <c:majorTickMark val="out"/>
        <c:minorTickMark val="none"/>
        <c:tickLblPos val="nextTo"/>
        <c:crossAx val="73512064"/>
        <c:crosses val="autoZero"/>
        <c:crossBetween val="midCat"/>
        <c:majorUnit val="1000"/>
      </c:valAx>
      <c:valAx>
        <c:axId val="73520256"/>
        <c:scaling>
          <c:orientation val="minMax"/>
          <c:max val="4"/>
          <c:min val="1"/>
        </c:scaling>
        <c:delete val="0"/>
        <c:axPos val="r"/>
        <c:title>
          <c:tx>
            <c:rich>
              <a:bodyPr rot="-5400000" vert="horz"/>
              <a:lstStyle/>
              <a:p>
                <a:pPr>
                  <a:defRPr/>
                </a:pPr>
                <a:r>
                  <a:rPr lang="en-US"/>
                  <a:t>Deck</a:t>
                </a:r>
              </a:p>
            </c:rich>
          </c:tx>
          <c:overlay val="0"/>
        </c:title>
        <c:numFmt formatCode="General" sourceLinked="1"/>
        <c:majorTickMark val="out"/>
        <c:minorTickMark val="none"/>
        <c:tickLblPos val="nextTo"/>
        <c:crossAx val="73522176"/>
        <c:crosses val="max"/>
        <c:crossBetween val="midCat"/>
        <c:majorUnit val="1"/>
      </c:valAx>
      <c:valAx>
        <c:axId val="73522176"/>
        <c:scaling>
          <c:orientation val="minMax"/>
        </c:scaling>
        <c:delete val="1"/>
        <c:axPos val="b"/>
        <c:numFmt formatCode="General" sourceLinked="1"/>
        <c:majorTickMark val="out"/>
        <c:minorTickMark val="none"/>
        <c:tickLblPos val="none"/>
        <c:crossAx val="73520256"/>
        <c:crosses val="autoZero"/>
        <c:crossBetween val="midCat"/>
      </c:valAx>
    </c:plotArea>
    <c:legend>
      <c:legendPos val="b"/>
      <c:layout>
        <c:manualLayout>
          <c:xMode val="edge"/>
          <c:yMode val="edge"/>
          <c:x val="0.32049093769689646"/>
          <c:y val="0.89395841648826169"/>
          <c:w val="0.35592806163618879"/>
          <c:h val="4.6335691089461298E-2"/>
        </c:manualLayout>
      </c:layout>
      <c:overlay val="0"/>
    </c:legend>
    <c:plotVisOnly val="1"/>
    <c:dispBlanksAs val="gap"/>
    <c:showDLblsOverMax val="0"/>
  </c:chart>
  <c:txPr>
    <a:bodyPr/>
    <a:lstStyle/>
    <a:p>
      <a:pPr>
        <a:defRPr sz="1200"/>
      </a:pPr>
      <a:endParaRPr lang="da-DK"/>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500"/>
            </a:pPr>
            <a:r>
              <a:rPr lang="en-US" sz="1500" b="1" i="0" baseline="0">
                <a:effectLst/>
              </a:rPr>
              <a:t>Capital and deck selection as function of number of draws</a:t>
            </a:r>
            <a:endParaRPr lang="da-DK" sz="1500">
              <a:effectLst/>
            </a:endParaRPr>
          </a:p>
          <a:p>
            <a:pPr>
              <a:defRPr sz="1500"/>
            </a:pPr>
            <a:r>
              <a:rPr lang="en-US" sz="1500" b="1" i="0" baseline="0">
                <a:effectLst/>
              </a:rPr>
              <a:t>(FP19201, session two)</a:t>
            </a:r>
            <a:endParaRPr lang="da-DK" sz="1500">
              <a:effectLst/>
            </a:endParaRPr>
          </a:p>
        </c:rich>
      </c:tx>
      <c:layout>
        <c:manualLayout>
          <c:xMode val="edge"/>
          <c:yMode val="edge"/>
          <c:x val="0.23141153784348384"/>
          <c:y val="3.4623528494581744E-2"/>
        </c:manualLayout>
      </c:layout>
      <c:overlay val="0"/>
    </c:title>
    <c:autoTitleDeleted val="0"/>
    <c:plotArea>
      <c:layout>
        <c:manualLayout>
          <c:layoutTarget val="inner"/>
          <c:xMode val="edge"/>
          <c:yMode val="edge"/>
          <c:x val="9.7773201989918596E-2"/>
          <c:y val="0.16859070302162599"/>
          <c:w val="0.83236846440220102"/>
          <c:h val="0.59192954599683301"/>
        </c:manualLayout>
      </c:layout>
      <c:scatterChart>
        <c:scatterStyle val="lineMarker"/>
        <c:varyColors val="0"/>
        <c:ser>
          <c:idx val="1"/>
          <c:order val="1"/>
          <c:tx>
            <c:strRef>
              <c:f>'Kapital &amp; Valg indtast'!$C$6</c:f>
              <c:strCache>
                <c:ptCount val="1"/>
                <c:pt idx="0">
                  <c:v>Capital</c:v>
                </c:pt>
              </c:strCache>
            </c:strRef>
          </c:tx>
          <c:spPr>
            <a:ln w="31750"/>
          </c:spPr>
          <c:marker>
            <c:symbol val="none"/>
          </c:marker>
          <c:xVal>
            <c:numRef>
              <c:f>'Kapital &amp; Valg indtast'!$A$7:$A$106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'Kapital &amp; Valg indtast'!$W$7:$W$106</c:f>
              <c:numCache>
                <c:formatCode>General</c:formatCode>
                <c:ptCount val="100"/>
                <c:pt idx="0">
                  <c:v>2050</c:v>
                </c:pt>
                <c:pt idx="1">
                  <c:v>2100</c:v>
                </c:pt>
                <c:pt idx="2">
                  <c:v>2100</c:v>
                </c:pt>
                <c:pt idx="3">
                  <c:v>2150</c:v>
                </c:pt>
                <c:pt idx="4">
                  <c:v>2150</c:v>
                </c:pt>
                <c:pt idx="5">
                  <c:v>2200</c:v>
                </c:pt>
                <c:pt idx="6">
                  <c:v>2200</c:v>
                </c:pt>
                <c:pt idx="7">
                  <c:v>2250</c:v>
                </c:pt>
                <c:pt idx="8">
                  <c:v>2250</c:v>
                </c:pt>
                <c:pt idx="9">
                  <c:v>2250</c:v>
                </c:pt>
                <c:pt idx="10">
                  <c:v>2300</c:v>
                </c:pt>
                <c:pt idx="11">
                  <c:v>2325</c:v>
                </c:pt>
                <c:pt idx="12">
                  <c:v>2300</c:v>
                </c:pt>
                <c:pt idx="13">
                  <c:v>2350</c:v>
                </c:pt>
                <c:pt idx="14">
                  <c:v>2400</c:v>
                </c:pt>
                <c:pt idx="15">
                  <c:v>2450</c:v>
                </c:pt>
                <c:pt idx="16">
                  <c:v>2475</c:v>
                </c:pt>
                <c:pt idx="17">
                  <c:v>2450</c:v>
                </c:pt>
                <c:pt idx="18">
                  <c:v>2500</c:v>
                </c:pt>
                <c:pt idx="19">
                  <c:v>2500</c:v>
                </c:pt>
                <c:pt idx="20">
                  <c:v>2550</c:v>
                </c:pt>
                <c:pt idx="21">
                  <c:v>2600</c:v>
                </c:pt>
                <c:pt idx="22">
                  <c:v>2650</c:v>
                </c:pt>
                <c:pt idx="23">
                  <c:v>2650</c:v>
                </c:pt>
                <c:pt idx="24">
                  <c:v>2675</c:v>
                </c:pt>
                <c:pt idx="25">
                  <c:v>2675</c:v>
                </c:pt>
                <c:pt idx="26">
                  <c:v>2725</c:v>
                </c:pt>
                <c:pt idx="27">
                  <c:v>2775</c:v>
                </c:pt>
                <c:pt idx="28">
                  <c:v>2750</c:v>
                </c:pt>
                <c:pt idx="29">
                  <c:v>2750</c:v>
                </c:pt>
                <c:pt idx="30">
                  <c:v>2800</c:v>
                </c:pt>
                <c:pt idx="31">
                  <c:v>2850</c:v>
                </c:pt>
                <c:pt idx="32">
                  <c:v>2900</c:v>
                </c:pt>
                <c:pt idx="33">
                  <c:v>2925</c:v>
                </c:pt>
                <c:pt idx="34">
                  <c:v>2950</c:v>
                </c:pt>
                <c:pt idx="35">
                  <c:v>3000</c:v>
                </c:pt>
                <c:pt idx="36">
                  <c:v>2975</c:v>
                </c:pt>
                <c:pt idx="37">
                  <c:v>3025</c:v>
                </c:pt>
                <c:pt idx="38">
                  <c:v>3025</c:v>
                </c:pt>
                <c:pt idx="39">
                  <c:v>3000</c:v>
                </c:pt>
                <c:pt idx="40">
                  <c:v>3050</c:v>
                </c:pt>
                <c:pt idx="41">
                  <c:v>3100</c:v>
                </c:pt>
                <c:pt idx="42">
                  <c:v>3100</c:v>
                </c:pt>
                <c:pt idx="43">
                  <c:v>3150</c:v>
                </c:pt>
                <c:pt idx="44">
                  <c:v>3150</c:v>
                </c:pt>
                <c:pt idx="45">
                  <c:v>3200</c:v>
                </c:pt>
                <c:pt idx="46">
                  <c:v>3200</c:v>
                </c:pt>
                <c:pt idx="47">
                  <c:v>3250</c:v>
                </c:pt>
                <c:pt idx="48">
                  <c:v>3250</c:v>
                </c:pt>
                <c:pt idx="49">
                  <c:v>3250</c:v>
                </c:pt>
                <c:pt idx="50">
                  <c:v>3300</c:v>
                </c:pt>
                <c:pt idx="51">
                  <c:v>3325</c:v>
                </c:pt>
                <c:pt idx="52">
                  <c:v>3300</c:v>
                </c:pt>
                <c:pt idx="53">
                  <c:v>3350</c:v>
                </c:pt>
                <c:pt idx="54">
                  <c:v>3400</c:v>
                </c:pt>
                <c:pt idx="55">
                  <c:v>3450</c:v>
                </c:pt>
                <c:pt idx="56">
                  <c:v>3475</c:v>
                </c:pt>
                <c:pt idx="57">
                  <c:v>3450</c:v>
                </c:pt>
                <c:pt idx="58">
                  <c:v>3500</c:v>
                </c:pt>
                <c:pt idx="59">
                  <c:v>3500</c:v>
                </c:pt>
                <c:pt idx="60">
                  <c:v>3550</c:v>
                </c:pt>
                <c:pt idx="61">
                  <c:v>3600</c:v>
                </c:pt>
                <c:pt idx="62">
                  <c:v>3650</c:v>
                </c:pt>
                <c:pt idx="63">
                  <c:v>3650</c:v>
                </c:pt>
                <c:pt idx="64">
                  <c:v>3675</c:v>
                </c:pt>
                <c:pt idx="65">
                  <c:v>3675</c:v>
                </c:pt>
                <c:pt idx="66">
                  <c:v>3725</c:v>
                </c:pt>
                <c:pt idx="67">
                  <c:v>3775</c:v>
                </c:pt>
                <c:pt idx="68">
                  <c:v>3750</c:v>
                </c:pt>
                <c:pt idx="69">
                  <c:v>3750</c:v>
                </c:pt>
                <c:pt idx="70">
                  <c:v>3800</c:v>
                </c:pt>
                <c:pt idx="71">
                  <c:v>3850</c:v>
                </c:pt>
                <c:pt idx="72">
                  <c:v>3900</c:v>
                </c:pt>
                <c:pt idx="73">
                  <c:v>3925</c:v>
                </c:pt>
                <c:pt idx="74">
                  <c:v>3950</c:v>
                </c:pt>
                <c:pt idx="75">
                  <c:v>4000</c:v>
                </c:pt>
                <c:pt idx="76">
                  <c:v>3975</c:v>
                </c:pt>
                <c:pt idx="77">
                  <c:v>4025</c:v>
                </c:pt>
                <c:pt idx="78">
                  <c:v>4025</c:v>
                </c:pt>
                <c:pt idx="79">
                  <c:v>4000</c:v>
                </c:pt>
                <c:pt idx="80">
                  <c:v>4050</c:v>
                </c:pt>
                <c:pt idx="81">
                  <c:v>4100</c:v>
                </c:pt>
                <c:pt idx="82">
                  <c:v>4100</c:v>
                </c:pt>
                <c:pt idx="83">
                  <c:v>4150</c:v>
                </c:pt>
                <c:pt idx="84">
                  <c:v>4150</c:v>
                </c:pt>
                <c:pt idx="85">
                  <c:v>4200</c:v>
                </c:pt>
                <c:pt idx="86">
                  <c:v>4200</c:v>
                </c:pt>
                <c:pt idx="87">
                  <c:v>4250</c:v>
                </c:pt>
                <c:pt idx="88">
                  <c:v>4250</c:v>
                </c:pt>
                <c:pt idx="89">
                  <c:v>4250</c:v>
                </c:pt>
                <c:pt idx="90">
                  <c:v>4300</c:v>
                </c:pt>
                <c:pt idx="91">
                  <c:v>4325</c:v>
                </c:pt>
                <c:pt idx="92">
                  <c:v>4300</c:v>
                </c:pt>
                <c:pt idx="93">
                  <c:v>4350</c:v>
                </c:pt>
                <c:pt idx="94">
                  <c:v>4400</c:v>
                </c:pt>
                <c:pt idx="95">
                  <c:v>4450</c:v>
                </c:pt>
                <c:pt idx="96">
                  <c:v>4475</c:v>
                </c:pt>
                <c:pt idx="97">
                  <c:v>4450</c:v>
                </c:pt>
                <c:pt idx="98">
                  <c:v>4500</c:v>
                </c:pt>
                <c:pt idx="99">
                  <c:v>4500</c:v>
                </c:pt>
              </c:numCache>
            </c:numRef>
          </c:yVal>
          <c:smooth val="0"/>
          <c:extLst>
            <c:ext xmlns:c16="http://schemas.microsoft.com/office/drawing/2014/chart" uri="{C3380CC4-5D6E-409C-BE32-E72D297353CC}">
              <c16:uniqueId val="{00000000-3BEC-4B66-9882-117FEB3CE33C}"/>
            </c:ext>
          </c:extLst>
        </c:ser>
        <c:dLbls>
          <c:showLegendKey val="0"/>
          <c:showVal val="0"/>
          <c:showCatName val="0"/>
          <c:showSerName val="0"/>
          <c:showPercent val="0"/>
          <c:showBubbleSize val="0"/>
        </c:dLbls>
        <c:axId val="73974912"/>
        <c:axId val="73976832"/>
      </c:scatterChart>
      <c:scatterChart>
        <c:scatterStyle val="lineMarker"/>
        <c:varyColors val="0"/>
        <c:ser>
          <c:idx val="0"/>
          <c:order val="0"/>
          <c:tx>
            <c:strRef>
              <c:f>'Kapital &amp; Valg indtast'!$B$6</c:f>
              <c:strCache>
                <c:ptCount val="1"/>
                <c:pt idx="0">
                  <c:v>Deck selection</c:v>
                </c:pt>
              </c:strCache>
            </c:strRef>
          </c:tx>
          <c:spPr>
            <a:ln>
              <a:prstDash val="sysDash"/>
            </a:ln>
          </c:spPr>
          <c:marker>
            <c:symbol val="none"/>
          </c:marker>
          <c:xVal>
            <c:numRef>
              <c:f>'Kapital &amp; Valg indtast'!$A$7:$A$106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'Kapital &amp; Valg indtast'!$V$7:$V$106</c:f>
              <c:numCache>
                <c:formatCode>General</c:formatCode>
                <c:ptCount val="100"/>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numCache>
            </c:numRef>
          </c:yVal>
          <c:smooth val="0"/>
          <c:extLst>
            <c:ext xmlns:c16="http://schemas.microsoft.com/office/drawing/2014/chart" uri="{C3380CC4-5D6E-409C-BE32-E72D297353CC}">
              <c16:uniqueId val="{00000001-3BEC-4B66-9882-117FEB3CE33C}"/>
            </c:ext>
          </c:extLst>
        </c:ser>
        <c:dLbls>
          <c:showLegendKey val="0"/>
          <c:showVal val="0"/>
          <c:showCatName val="0"/>
          <c:showSerName val="0"/>
          <c:showPercent val="0"/>
          <c:showBubbleSize val="0"/>
        </c:dLbls>
        <c:axId val="73980928"/>
        <c:axId val="73979008"/>
      </c:scatterChart>
      <c:valAx>
        <c:axId val="73974912"/>
        <c:scaling>
          <c:orientation val="minMax"/>
          <c:max val="101"/>
          <c:min val="0"/>
        </c:scaling>
        <c:delete val="0"/>
        <c:axPos val="b"/>
        <c:title>
          <c:tx>
            <c:rich>
              <a:bodyPr/>
              <a:lstStyle/>
              <a:p>
                <a:pPr>
                  <a:defRPr/>
                </a:pPr>
                <a:r>
                  <a:rPr lang="en-US"/>
                  <a:t>Draw #</a:t>
                </a:r>
              </a:p>
            </c:rich>
          </c:tx>
          <c:overlay val="0"/>
        </c:title>
        <c:numFmt formatCode="General" sourceLinked="1"/>
        <c:majorTickMark val="out"/>
        <c:minorTickMark val="none"/>
        <c:tickLblPos val="nextTo"/>
        <c:txPr>
          <a:bodyPr/>
          <a:lstStyle/>
          <a:p>
            <a:pPr>
              <a:defRPr sz="1200"/>
            </a:pPr>
            <a:endParaRPr lang="da-DK"/>
          </a:p>
        </c:txPr>
        <c:crossAx val="73976832"/>
        <c:crosses val="autoZero"/>
        <c:crossBetween val="midCat"/>
        <c:majorUnit val="10"/>
      </c:valAx>
      <c:valAx>
        <c:axId val="73976832"/>
        <c:scaling>
          <c:orientation val="minMax"/>
          <c:max val="5000"/>
          <c:min val="1000"/>
        </c:scaling>
        <c:delete val="0"/>
        <c:axPos val="l"/>
        <c:majorGridlines/>
        <c:title>
          <c:tx>
            <c:rich>
              <a:bodyPr rot="-5400000" vert="horz"/>
              <a:lstStyle/>
              <a:p>
                <a:pPr>
                  <a:defRPr sz="1200"/>
                </a:pPr>
                <a:r>
                  <a:rPr lang="en-US" sz="1200"/>
                  <a:t>Total</a:t>
                </a:r>
                <a:r>
                  <a:rPr lang="en-US" sz="1200" baseline="0"/>
                  <a:t> capital (DKK)</a:t>
                </a:r>
                <a:endParaRPr lang="en-US" sz="1200"/>
              </a:p>
            </c:rich>
          </c:tx>
          <c:overlay val="0"/>
        </c:title>
        <c:numFmt formatCode="General" sourceLinked="1"/>
        <c:majorTickMark val="out"/>
        <c:minorTickMark val="none"/>
        <c:tickLblPos val="nextTo"/>
        <c:txPr>
          <a:bodyPr/>
          <a:lstStyle/>
          <a:p>
            <a:pPr>
              <a:defRPr sz="1200"/>
            </a:pPr>
            <a:endParaRPr lang="da-DK"/>
          </a:p>
        </c:txPr>
        <c:crossAx val="73974912"/>
        <c:crosses val="autoZero"/>
        <c:crossBetween val="midCat"/>
        <c:majorUnit val="1000"/>
      </c:valAx>
      <c:valAx>
        <c:axId val="73979008"/>
        <c:scaling>
          <c:orientation val="minMax"/>
          <c:max val="4"/>
          <c:min val="1"/>
        </c:scaling>
        <c:delete val="0"/>
        <c:axPos val="r"/>
        <c:title>
          <c:tx>
            <c:rich>
              <a:bodyPr rot="-5400000" vert="horz"/>
              <a:lstStyle/>
              <a:p>
                <a:pPr>
                  <a:defRPr sz="1200"/>
                </a:pPr>
                <a:r>
                  <a:rPr lang="en-US" sz="1200"/>
                  <a:t>Deck</a:t>
                </a:r>
              </a:p>
            </c:rich>
          </c:tx>
          <c:overlay val="0"/>
        </c:title>
        <c:numFmt formatCode="General" sourceLinked="1"/>
        <c:majorTickMark val="out"/>
        <c:minorTickMark val="none"/>
        <c:tickLblPos val="nextTo"/>
        <c:crossAx val="73980928"/>
        <c:crosses val="max"/>
        <c:crossBetween val="midCat"/>
        <c:majorUnit val="1"/>
      </c:valAx>
      <c:valAx>
        <c:axId val="73980928"/>
        <c:scaling>
          <c:orientation val="minMax"/>
        </c:scaling>
        <c:delete val="1"/>
        <c:axPos val="b"/>
        <c:numFmt formatCode="General" sourceLinked="1"/>
        <c:majorTickMark val="out"/>
        <c:minorTickMark val="none"/>
        <c:tickLblPos val="none"/>
        <c:crossAx val="73979008"/>
        <c:crosses val="autoZero"/>
        <c:crossBetween val="midCat"/>
      </c:valAx>
    </c:plotArea>
    <c:legend>
      <c:legendPos val="b"/>
      <c:layout>
        <c:manualLayout>
          <c:xMode val="edge"/>
          <c:yMode val="edge"/>
          <c:x val="0.30281689594046773"/>
          <c:y val="0.91119380501429037"/>
          <c:w val="0.39444686988383876"/>
          <c:h val="4.6335691089461298E-2"/>
        </c:manualLayout>
      </c:layout>
      <c:overlay val="0"/>
      <c:txPr>
        <a:bodyPr/>
        <a:lstStyle/>
        <a:p>
          <a:pPr>
            <a:defRPr sz="1200"/>
          </a:pPr>
          <a:endParaRPr lang="da-DK"/>
        </a:p>
      </c:txPr>
    </c:legend>
    <c:plotVisOnly val="1"/>
    <c:dispBlanksAs val="gap"/>
    <c:showDLblsOverMax val="0"/>
  </c:chart>
  <c:txPr>
    <a:bodyPr/>
    <a:lstStyle/>
    <a:p>
      <a:pPr>
        <a:defRPr sz="1600"/>
      </a:pPr>
      <a:endParaRPr lang="da-DK"/>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50A6C-1AF6-4EA3-82ED-57731B13D3CA}"/>
</file>

<file path=customXml/itemProps2.xml><?xml version="1.0" encoding="utf-8"?>
<ds:datastoreItem xmlns:ds="http://schemas.openxmlformats.org/officeDocument/2006/customXml" ds:itemID="{7FB1E711-026D-4BC0-88C5-C2DC205A70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AEE255-C9A0-4A6C-9486-6350F54F4A61}">
  <ds:schemaRefs>
    <ds:schemaRef ds:uri="http://schemas.microsoft.com/sharepoint/v3/contenttype/forms"/>
  </ds:schemaRefs>
</ds:datastoreItem>
</file>

<file path=customXml/itemProps4.xml><?xml version="1.0" encoding="utf-8"?>
<ds:datastoreItem xmlns:ds="http://schemas.openxmlformats.org/officeDocument/2006/customXml" ds:itemID="{0C6ADE3C-30E3-4C7C-B50C-4D38853AC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7</Pages>
  <Words>2027</Words>
  <Characters>12368</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14367</CharactersWithSpaces>
  <SharedDoc>false</SharedDoc>
  <HLinks>
    <vt:vector size="54" baseType="variant">
      <vt:variant>
        <vt:i4>1900594</vt:i4>
      </vt:variant>
      <vt:variant>
        <vt:i4>50</vt:i4>
      </vt:variant>
      <vt:variant>
        <vt:i4>0</vt:i4>
      </vt:variant>
      <vt:variant>
        <vt:i4>5</vt:i4>
      </vt:variant>
      <vt:variant>
        <vt:lpwstr/>
      </vt:variant>
      <vt:variant>
        <vt:lpwstr>_Toc287972097</vt:lpwstr>
      </vt:variant>
      <vt:variant>
        <vt:i4>1900594</vt:i4>
      </vt:variant>
      <vt:variant>
        <vt:i4>44</vt:i4>
      </vt:variant>
      <vt:variant>
        <vt:i4>0</vt:i4>
      </vt:variant>
      <vt:variant>
        <vt:i4>5</vt:i4>
      </vt:variant>
      <vt:variant>
        <vt:lpwstr/>
      </vt:variant>
      <vt:variant>
        <vt:lpwstr>_Toc287972096</vt:lpwstr>
      </vt:variant>
      <vt:variant>
        <vt:i4>1900594</vt:i4>
      </vt:variant>
      <vt:variant>
        <vt:i4>38</vt:i4>
      </vt:variant>
      <vt:variant>
        <vt:i4>0</vt:i4>
      </vt:variant>
      <vt:variant>
        <vt:i4>5</vt:i4>
      </vt:variant>
      <vt:variant>
        <vt:lpwstr/>
      </vt:variant>
      <vt:variant>
        <vt:lpwstr>_Toc287972095</vt:lpwstr>
      </vt:variant>
      <vt:variant>
        <vt:i4>1900594</vt:i4>
      </vt:variant>
      <vt:variant>
        <vt:i4>32</vt:i4>
      </vt:variant>
      <vt:variant>
        <vt:i4>0</vt:i4>
      </vt:variant>
      <vt:variant>
        <vt:i4>5</vt:i4>
      </vt:variant>
      <vt:variant>
        <vt:lpwstr/>
      </vt:variant>
      <vt:variant>
        <vt:lpwstr>_Toc287972094</vt:lpwstr>
      </vt:variant>
      <vt:variant>
        <vt:i4>1900594</vt:i4>
      </vt:variant>
      <vt:variant>
        <vt:i4>26</vt:i4>
      </vt:variant>
      <vt:variant>
        <vt:i4>0</vt:i4>
      </vt:variant>
      <vt:variant>
        <vt:i4>5</vt:i4>
      </vt:variant>
      <vt:variant>
        <vt:lpwstr/>
      </vt:variant>
      <vt:variant>
        <vt:lpwstr>_Toc287972093</vt:lpwstr>
      </vt:variant>
      <vt:variant>
        <vt:i4>1900594</vt:i4>
      </vt:variant>
      <vt:variant>
        <vt:i4>20</vt:i4>
      </vt:variant>
      <vt:variant>
        <vt:i4>0</vt:i4>
      </vt:variant>
      <vt:variant>
        <vt:i4>5</vt:i4>
      </vt:variant>
      <vt:variant>
        <vt:lpwstr/>
      </vt:variant>
      <vt:variant>
        <vt:lpwstr>_Toc287972092</vt:lpwstr>
      </vt:variant>
      <vt:variant>
        <vt:i4>1900594</vt:i4>
      </vt:variant>
      <vt:variant>
        <vt:i4>14</vt:i4>
      </vt:variant>
      <vt:variant>
        <vt:i4>0</vt:i4>
      </vt:variant>
      <vt:variant>
        <vt:i4>5</vt:i4>
      </vt:variant>
      <vt:variant>
        <vt:lpwstr/>
      </vt:variant>
      <vt:variant>
        <vt:lpwstr>_Toc287972091</vt:lpwstr>
      </vt:variant>
      <vt:variant>
        <vt:i4>1900594</vt:i4>
      </vt:variant>
      <vt:variant>
        <vt:i4>8</vt:i4>
      </vt:variant>
      <vt:variant>
        <vt:i4>0</vt:i4>
      </vt:variant>
      <vt:variant>
        <vt:i4>5</vt:i4>
      </vt:variant>
      <vt:variant>
        <vt:lpwstr/>
      </vt:variant>
      <vt:variant>
        <vt:lpwstr>_Toc287972090</vt:lpwstr>
      </vt:variant>
      <vt:variant>
        <vt:i4>1835058</vt:i4>
      </vt:variant>
      <vt:variant>
        <vt:i4>2</vt:i4>
      </vt:variant>
      <vt:variant>
        <vt:i4>0</vt:i4>
      </vt:variant>
      <vt:variant>
        <vt:i4>5</vt:i4>
      </vt:variant>
      <vt:variant>
        <vt:lpwstr/>
      </vt:variant>
      <vt:variant>
        <vt:lpwstr>_Toc287972089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Misfeldt Beck</dc:creator>
  <cp:keywords/>
  <dc:description/>
  <cp:lastModifiedBy>Frederik Bredgaard</cp:lastModifiedBy>
  <cp:revision>413</cp:revision>
  <dcterms:created xsi:type="dcterms:W3CDTF">2019-09-19T10:34:00Z</dcterms:created>
  <dcterms:modified xsi:type="dcterms:W3CDTF">2020-01-08T09:41:00Z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y fmtid="{D5CDD505-2E9C-101B-9397-08002B2CF9AE}" pid="3" name="Mendeley Document_1">
    <vt:lpwstr>True</vt:lpwstr>
  </property>
  <property fmtid="{D5CDD505-2E9C-101B-9397-08002B2CF9AE}" pid="4" name="Mendeley Unique User Id_1">
    <vt:lpwstr>abfc7c20-72e8-3a17-9c4f-3e1e21a8d8dc</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