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50A1" w14:textId="30BF0D36" w:rsidR="00253DE0" w:rsidRPr="005913CF" w:rsidRDefault="00F823D5">
      <w:pPr>
        <w:spacing w:after="160" w:line="259" w:lineRule="auto"/>
        <w:rPr>
          <w:rFonts w:ascii="Arial" w:hAnsi="Arial" w:cs="Arial"/>
          <w:b/>
          <w:bCs/>
          <w:color w:val="000000"/>
          <w:sz w:val="36"/>
          <w:lang w:val="en-GB"/>
        </w:rPr>
      </w:pPr>
      <w:r>
        <w:rPr>
          <w:rFonts w:ascii="Arial" w:hAnsi="Arial" w:cs="Arial"/>
          <w:b/>
          <w:bCs/>
          <w:color w:val="000000"/>
          <w:sz w:val="36"/>
          <w:lang w:val="en-GB"/>
        </w:rPr>
        <w:t>Sternberg</w:t>
      </w:r>
    </w:p>
    <w:p w14:paraId="7EB2F007" w14:textId="68223FF4" w:rsidR="001078C3" w:rsidRPr="005913CF" w:rsidRDefault="006F034F" w:rsidP="00362662">
      <w:pPr>
        <w:pStyle w:val="Overskrift1"/>
        <w:jc w:val="both"/>
        <w:rPr>
          <w:lang w:val="en-GB"/>
        </w:rPr>
      </w:pPr>
      <w:bookmarkStart w:id="0" w:name="_Toc24299544"/>
      <w:r w:rsidRPr="005913CF">
        <w:rPr>
          <w:lang w:val="en-GB"/>
        </w:rPr>
        <w:t>Introduction</w:t>
      </w:r>
      <w:bookmarkEnd w:id="0"/>
    </w:p>
    <w:p w14:paraId="299E624F" w14:textId="50F1F05C" w:rsidR="00B52710" w:rsidRPr="00EC1CE8" w:rsidRDefault="00804B92" w:rsidP="00194821">
      <w:pPr>
        <w:jc w:val="both"/>
        <w:rPr>
          <w:lang w:val="en-GB"/>
        </w:rPr>
      </w:pPr>
      <w:r>
        <w:rPr>
          <w:lang w:val="en-GB"/>
        </w:rPr>
        <w:t xml:space="preserve">This paper </w:t>
      </w:r>
      <w:r w:rsidR="005507B6">
        <w:rPr>
          <w:lang w:val="en-GB"/>
        </w:rPr>
        <w:t xml:space="preserve">examines </w:t>
      </w:r>
      <w:r w:rsidR="00926FB0">
        <w:rPr>
          <w:lang w:val="en-GB"/>
        </w:rPr>
        <w:t>short term memory search</w:t>
      </w:r>
      <w:r w:rsidR="00A8477B">
        <w:rPr>
          <w:lang w:val="en-GB"/>
        </w:rPr>
        <w:t xml:space="preserve"> using the Sternberg task</w:t>
      </w:r>
      <w:r w:rsidR="001A2998">
        <w:rPr>
          <w:lang w:val="en-GB"/>
        </w:rPr>
        <w:t>. T</w:t>
      </w:r>
      <w:r w:rsidR="005507B6">
        <w:rPr>
          <w:lang w:val="en-GB"/>
        </w:rPr>
        <w:t xml:space="preserve">hrough </w:t>
      </w:r>
      <w:r w:rsidR="00781861">
        <w:rPr>
          <w:lang w:val="en-GB"/>
        </w:rPr>
        <w:t>measures</w:t>
      </w:r>
      <w:r w:rsidR="002C4758">
        <w:rPr>
          <w:lang w:val="en-GB"/>
        </w:rPr>
        <w:t xml:space="preserve"> of</w:t>
      </w:r>
      <w:r w:rsidR="00781861">
        <w:rPr>
          <w:lang w:val="en-GB"/>
        </w:rPr>
        <w:t xml:space="preserve"> reaction time (RT) and accuracy (ACC) of responses</w:t>
      </w:r>
      <w:r w:rsidR="00FA1019">
        <w:rPr>
          <w:lang w:val="en-GB"/>
        </w:rPr>
        <w:t xml:space="preserve"> in the recognition task</w:t>
      </w:r>
      <w:r w:rsidR="00781861">
        <w:rPr>
          <w:lang w:val="en-GB"/>
        </w:rPr>
        <w:t xml:space="preserve"> </w:t>
      </w:r>
      <w:r w:rsidR="001A2998">
        <w:rPr>
          <w:lang w:val="en-GB"/>
        </w:rPr>
        <w:t xml:space="preserve">it will seek to determine </w:t>
      </w:r>
      <w:r w:rsidR="00AF323E">
        <w:rPr>
          <w:lang w:val="en-GB"/>
        </w:rPr>
        <w:t>the</w:t>
      </w:r>
      <w:r w:rsidR="007E3810">
        <w:rPr>
          <w:lang w:val="en-GB"/>
        </w:rPr>
        <w:t xml:space="preserve"> memory search</w:t>
      </w:r>
      <w:r w:rsidR="007F47FD">
        <w:rPr>
          <w:lang w:val="en-GB"/>
        </w:rPr>
        <w:t xml:space="preserve"> </w:t>
      </w:r>
      <w:r w:rsidR="00472971">
        <w:rPr>
          <w:lang w:val="en-GB"/>
        </w:rPr>
        <w:t>strategy</w:t>
      </w:r>
      <w:r w:rsidR="00AF323E">
        <w:rPr>
          <w:lang w:val="en-GB"/>
        </w:rPr>
        <w:t xml:space="preserve"> participants (Ps) </w:t>
      </w:r>
      <w:r w:rsidR="00472971">
        <w:rPr>
          <w:lang w:val="en-GB"/>
        </w:rPr>
        <w:t>used</w:t>
      </w:r>
      <w:r w:rsidR="00E07C5A">
        <w:rPr>
          <w:lang w:val="en-GB"/>
        </w:rPr>
        <w:t>.</w:t>
      </w:r>
      <w:r w:rsidR="00DA308C">
        <w:rPr>
          <w:lang w:val="en-GB"/>
        </w:rPr>
        <w:t xml:space="preserve"> </w:t>
      </w:r>
      <w:r w:rsidR="007E3810">
        <w:rPr>
          <w:lang w:val="en-GB"/>
        </w:rPr>
        <w:t>T</w:t>
      </w:r>
      <w:r w:rsidR="003525BD">
        <w:rPr>
          <w:lang w:val="en-GB"/>
        </w:rPr>
        <w:t xml:space="preserve">he Sternberg task, rests on </w:t>
      </w:r>
      <w:r w:rsidR="00E12A78">
        <w:rPr>
          <w:lang w:val="en-GB"/>
        </w:rPr>
        <w:t xml:space="preserve">an assumption of the stage theory, in which it is assumed that </w:t>
      </w:r>
      <w:r w:rsidR="00D02B75">
        <w:rPr>
          <w:lang w:val="en-GB"/>
        </w:rPr>
        <w:t>cognitive process</w:t>
      </w:r>
      <w:r w:rsidR="00BF0D50">
        <w:rPr>
          <w:lang w:val="en-GB"/>
        </w:rPr>
        <w:t>es</w:t>
      </w:r>
      <w:r w:rsidR="004055B4">
        <w:rPr>
          <w:lang w:val="en-GB"/>
        </w:rPr>
        <w:t xml:space="preserve"> unfold</w:t>
      </w:r>
      <w:r w:rsidR="00F4416B">
        <w:rPr>
          <w:lang w:val="en-GB"/>
        </w:rPr>
        <w:t xml:space="preserve"> in </w:t>
      </w:r>
      <w:r w:rsidR="00F4416B" w:rsidRPr="00BB3E52">
        <w:rPr>
          <w:lang w:val="en-GB"/>
        </w:rPr>
        <w:t>discrete</w:t>
      </w:r>
      <w:r w:rsidR="00BA296D" w:rsidRPr="00B14E78">
        <w:rPr>
          <w:color w:val="FF0000"/>
          <w:lang w:val="en-GB"/>
        </w:rPr>
        <w:t xml:space="preserve"> </w:t>
      </w:r>
      <w:r w:rsidR="00BA296D">
        <w:rPr>
          <w:lang w:val="en-GB"/>
        </w:rPr>
        <w:t>stages</w:t>
      </w:r>
      <w:r w:rsidR="00E15D30">
        <w:rPr>
          <w:lang w:val="en-GB"/>
        </w:rPr>
        <w:t>, which may be measured experimentally</w:t>
      </w:r>
      <w:r w:rsidR="00B14E78">
        <w:rPr>
          <w:lang w:val="en-GB"/>
        </w:rPr>
        <w:t xml:space="preserve"> </w:t>
      </w:r>
      <w:r w:rsidR="00EA5C36">
        <w:rPr>
          <w:lang w:val="en-GB"/>
        </w:rPr>
        <w:fldChar w:fldCharType="begin" w:fldLock="1"/>
      </w:r>
      <w:r w:rsidR="00F823D5">
        <w:rPr>
          <w:lang w:val="en-GB"/>
        </w:rPr>
        <w:instrText>ADDIN CSL_CITATION {"citationItems":[{"id":"ITEM-1","itemData":{"author":[{"dropping-particle":"","family":"Sternberg","given":"Saul","non-dropping-particle":"","parse-names":false,"suffix":""}],"container-title":"American Scientist","id":"ITEM-1","issue":"4","issued":{"date-parts":[["1969"]]},"page":"421-457","title":"Memory-scanning: Mental processes revealed by reaction-time experiments","type":"article-journal","volume":"57"},"uris":["http://www.mendeley.com/documents/?uuid=177dfe51-4370-40fa-abf5-49d58c12f509"]}],"mendeley":{"formattedCitation":"(Sternberg, 1969)","plainTextFormattedCitation":"(Sternberg, 1969)","previouslyFormattedCitation":"(Sternberg, 1969)"},"properties":{"noteIndex":0},"schema":"https://github.com/citation-style-language/schema/raw/master/csl-citation.json"}</w:instrText>
      </w:r>
      <w:r w:rsidR="00EA5C36">
        <w:rPr>
          <w:lang w:val="en-GB"/>
        </w:rPr>
        <w:fldChar w:fldCharType="separate"/>
      </w:r>
      <w:r w:rsidR="00EA5C36" w:rsidRPr="00EA5C36">
        <w:rPr>
          <w:noProof/>
          <w:lang w:val="en-GB"/>
        </w:rPr>
        <w:t>(Sternberg, 1969)</w:t>
      </w:r>
      <w:r w:rsidR="00EA5C36">
        <w:rPr>
          <w:lang w:val="en-GB"/>
        </w:rPr>
        <w:fldChar w:fldCharType="end"/>
      </w:r>
      <w:r w:rsidR="00E15D30">
        <w:rPr>
          <w:lang w:val="en-GB"/>
        </w:rPr>
        <w:t>.</w:t>
      </w:r>
      <w:r w:rsidR="000D1083">
        <w:rPr>
          <w:lang w:val="en-GB"/>
        </w:rPr>
        <w:t xml:space="preserve"> The</w:t>
      </w:r>
      <w:r w:rsidR="007558D2">
        <w:rPr>
          <w:lang w:val="en-GB"/>
        </w:rPr>
        <w:t xml:space="preserve"> level of</w:t>
      </w:r>
      <w:r w:rsidR="000D1083">
        <w:rPr>
          <w:lang w:val="en-GB"/>
        </w:rPr>
        <w:t xml:space="preserve"> </w:t>
      </w:r>
      <w:r w:rsidR="002B4C8A">
        <w:rPr>
          <w:lang w:val="en-GB"/>
        </w:rPr>
        <w:t xml:space="preserve">abstraction of the encoding stage is also </w:t>
      </w:r>
      <w:r w:rsidR="00931A32">
        <w:rPr>
          <w:lang w:val="en-GB"/>
        </w:rPr>
        <w:t>examined</w:t>
      </w:r>
      <w:r w:rsidR="00912710">
        <w:rPr>
          <w:lang w:val="en-GB"/>
        </w:rPr>
        <w:t>.</w:t>
      </w:r>
    </w:p>
    <w:p w14:paraId="15E1B74B" w14:textId="3B7C98DA" w:rsidR="008818F6" w:rsidRDefault="0031442C" w:rsidP="00E543CC">
      <w:pPr>
        <w:pStyle w:val="Overskrift2"/>
        <w:rPr>
          <w:rFonts w:eastAsia="Calibri"/>
          <w:lang w:val="en-GB"/>
        </w:rPr>
      </w:pPr>
      <w:bookmarkStart w:id="1" w:name="_Toc24299545"/>
      <w:r w:rsidRPr="00EC1CE8">
        <w:rPr>
          <w:rFonts w:eastAsia="Calibri"/>
          <w:lang w:val="en-GB"/>
        </w:rPr>
        <w:t>Expectations</w:t>
      </w:r>
      <w:bookmarkEnd w:id="1"/>
    </w:p>
    <w:p w14:paraId="3600BB50" w14:textId="4050D973" w:rsidR="00302D90" w:rsidRPr="00302D90" w:rsidRDefault="003E22DB" w:rsidP="00302D90">
      <w:pPr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>E</w:t>
      </w:r>
      <w:r w:rsidR="00E27B89">
        <w:rPr>
          <w:rFonts w:eastAsia="Calibri"/>
          <w:lang w:val="en-GB"/>
        </w:rPr>
        <w:t xml:space="preserve">xpectations </w:t>
      </w:r>
      <w:r>
        <w:rPr>
          <w:rFonts w:eastAsia="Calibri"/>
          <w:lang w:val="en-GB"/>
        </w:rPr>
        <w:t xml:space="preserve">are </w:t>
      </w:r>
      <w:r w:rsidR="00E27B89">
        <w:rPr>
          <w:rFonts w:eastAsia="Calibri"/>
          <w:lang w:val="en-GB"/>
        </w:rPr>
        <w:t>that Ps will</w:t>
      </w:r>
      <w:r w:rsidR="00434A62">
        <w:rPr>
          <w:rFonts w:eastAsia="Calibri"/>
          <w:lang w:val="en-GB"/>
        </w:rPr>
        <w:t xml:space="preserve"> perform</w:t>
      </w:r>
    </w:p>
    <w:p w14:paraId="0F417F95" w14:textId="7AE74327" w:rsidR="008818F6" w:rsidRPr="000B7FC6" w:rsidRDefault="00434A62" w:rsidP="000B7FC6">
      <w:pPr>
        <w:pStyle w:val="Listeafsnit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S</w:t>
      </w:r>
      <w:r w:rsidR="008818F6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erial search </w:t>
      </w:r>
      <w:r w:rsidR="006E3CF3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evident as </w:t>
      </w:r>
      <w:r w:rsidR="00904F77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higher</w:t>
      </w:r>
      <w:r w:rsidR="008818F6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RT </w:t>
      </w:r>
      <w:r w:rsidR="00904F77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at greater </w:t>
      </w:r>
      <w:r w:rsidR="008818F6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set size</w:t>
      </w:r>
    </w:p>
    <w:p w14:paraId="5EC8279B" w14:textId="3A4CC989" w:rsidR="008818F6" w:rsidRPr="000B7FC6" w:rsidRDefault="008818F6" w:rsidP="000B7FC6">
      <w:pPr>
        <w:pStyle w:val="Listeafsnit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Exhaustive search </w:t>
      </w:r>
      <w:r w:rsidR="00ED4151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apparent</w:t>
      </w:r>
      <w:r w:rsidR="000A0967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ED4151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if the </w:t>
      </w:r>
      <w:r w:rsidR="000E1152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slope</w:t>
      </w:r>
      <w:r w:rsidR="003F274F">
        <w:rPr>
          <w:rFonts w:ascii="Times New Roman" w:eastAsia="Calibri" w:hAnsi="Times New Roman" w:cs="Times New Roman"/>
          <w:sz w:val="24"/>
          <w:szCs w:val="24"/>
          <w:lang w:val="en-GB"/>
        </w:rPr>
        <w:t>s</w:t>
      </w:r>
      <w:r w:rsidR="000E1152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of</w:t>
      </w:r>
      <w:r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RT-</w:t>
      </w:r>
      <w:r w:rsidR="00FA486C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curves </w:t>
      </w:r>
      <w:r w:rsidR="00ED4151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were to</w:t>
      </w:r>
      <w:r w:rsidR="00FA486C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be similar within</w:t>
      </w:r>
      <w:r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masking-conditions</w:t>
      </w:r>
    </w:p>
    <w:p w14:paraId="0EA4BB8F" w14:textId="06B4C8AC" w:rsidR="00BF44F2" w:rsidRPr="000B7FC6" w:rsidRDefault="00FA486C" w:rsidP="000B7FC6">
      <w:pPr>
        <w:pStyle w:val="Listeafsnit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Unmasking </w:t>
      </w:r>
      <w:r w:rsidR="008818F6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i</w:t>
      </w:r>
      <w:r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n the encoding stage</w:t>
      </w:r>
      <w:r w:rsidR="008818F6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B62BBF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appear</w:t>
      </w:r>
      <w:r w:rsidR="003F274F">
        <w:rPr>
          <w:rFonts w:ascii="Times New Roman" w:eastAsia="Calibri" w:hAnsi="Times New Roman" w:cs="Times New Roman"/>
          <w:sz w:val="24"/>
          <w:szCs w:val="24"/>
          <w:lang w:val="en-GB"/>
        </w:rPr>
        <w:t>ing</w:t>
      </w:r>
      <w:r w:rsidR="00B62BBF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as</w:t>
      </w:r>
      <w:r w:rsidR="00EC4F51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</w:t>
      </w:r>
      <w:r w:rsidR="00B62BBF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AA26DF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higher </w:t>
      </w:r>
      <w:r w:rsidR="008818F6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zero-intercept for </w:t>
      </w:r>
      <w:r w:rsidR="00AA26DF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masked</w:t>
      </w:r>
      <w:r w:rsidR="008818F6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45072D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probe</w:t>
      </w:r>
      <w:r w:rsidR="00AA26DF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s but similar slopes within</w:t>
      </w:r>
      <w:r w:rsidR="00835A0E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probe</w:t>
      </w:r>
      <w:r w:rsidR="008818F6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conditions</w:t>
      </w:r>
      <w:r w:rsidR="00EC4F51" w:rsidRPr="000B7FC6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p w14:paraId="33F0F61A" w14:textId="3838A956" w:rsidR="001078C3" w:rsidRPr="005913CF" w:rsidRDefault="006F034F" w:rsidP="00362662">
      <w:pPr>
        <w:pStyle w:val="Overskrift1"/>
        <w:jc w:val="both"/>
        <w:rPr>
          <w:lang w:val="en-GB"/>
        </w:rPr>
      </w:pPr>
      <w:bookmarkStart w:id="2" w:name="_Toc24299546"/>
      <w:r w:rsidRPr="005913CF">
        <w:rPr>
          <w:lang w:val="en-GB"/>
        </w:rPr>
        <w:t>Method</w:t>
      </w:r>
      <w:bookmarkEnd w:id="2"/>
    </w:p>
    <w:p w14:paraId="74BB646D" w14:textId="74936909" w:rsidR="00E35AD4" w:rsidRPr="00213162" w:rsidRDefault="00E35AD4" w:rsidP="00E35AD4">
      <w:pPr>
        <w:jc w:val="both"/>
        <w:rPr>
          <w:color w:val="000000"/>
          <w:shd w:val="clear" w:color="auto" w:fill="FFFFFF"/>
          <w:lang w:val="en-GB"/>
        </w:rPr>
      </w:pPr>
      <w:r w:rsidRPr="00213162">
        <w:rPr>
          <w:rStyle w:val="normaltextrun"/>
          <w:color w:val="000000"/>
          <w:shd w:val="clear" w:color="auto" w:fill="FFFFFF"/>
          <w:lang w:val="en-GB"/>
        </w:rPr>
        <w:t xml:space="preserve">This experiment included </w:t>
      </w:r>
      <w:r w:rsidRPr="00213162">
        <w:rPr>
          <w:rStyle w:val="normaltextrun"/>
          <w:i/>
          <w:iCs/>
          <w:color w:val="000000"/>
          <w:shd w:val="clear" w:color="auto" w:fill="FFFFFF"/>
          <w:lang w:val="en-GB"/>
        </w:rPr>
        <w:t xml:space="preserve">N </w:t>
      </w:r>
      <w:r w:rsidRPr="00213162">
        <w:rPr>
          <w:rStyle w:val="normaltextrun"/>
          <w:color w:val="000000"/>
          <w:shd w:val="clear" w:color="auto" w:fill="FFFFFF"/>
          <w:lang w:val="en-GB"/>
        </w:rPr>
        <w:t xml:space="preserve">= </w:t>
      </w:r>
      <w:r w:rsidR="00803B1B">
        <w:rPr>
          <w:rStyle w:val="normaltextrun"/>
          <w:shd w:val="clear" w:color="auto" w:fill="FFFFFF"/>
          <w:lang w:val="en-GB"/>
        </w:rPr>
        <w:t>194</w:t>
      </w:r>
      <w:r w:rsidRPr="00213162">
        <w:rPr>
          <w:rStyle w:val="normaltextrun"/>
          <w:color w:val="000000"/>
          <w:shd w:val="clear" w:color="auto" w:fill="FFFFFF"/>
          <w:lang w:val="en-GB"/>
        </w:rPr>
        <w:t xml:space="preserve"> participants, all psychology students at UCPH. Age and sex differences were not considered.</w:t>
      </w:r>
    </w:p>
    <w:p w14:paraId="54089DCF" w14:textId="77777777" w:rsidR="00E35AD4" w:rsidRPr="00213162" w:rsidRDefault="00E35AD4" w:rsidP="00E35AD4">
      <w:pPr>
        <w:pStyle w:val="Overskrift2"/>
        <w:jc w:val="both"/>
        <w:rPr>
          <w:lang w:val="en-GB"/>
        </w:rPr>
      </w:pPr>
      <w:bookmarkStart w:id="3" w:name="_Toc24299547"/>
      <w:r w:rsidRPr="00213162">
        <w:rPr>
          <w:lang w:val="en-GB"/>
        </w:rPr>
        <w:t>Materials</w:t>
      </w:r>
      <w:bookmarkEnd w:id="3"/>
    </w:p>
    <w:p w14:paraId="7AF1E931" w14:textId="770DB85D" w:rsidR="00E35AD4" w:rsidRPr="0007633A" w:rsidRDefault="00E35AD4" w:rsidP="00AF053F">
      <w:pPr>
        <w:pStyle w:val="Listeafsni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633A">
        <w:rPr>
          <w:rFonts w:ascii="Times New Roman" w:hAnsi="Times New Roman" w:cs="Times New Roman"/>
          <w:sz w:val="24"/>
          <w:szCs w:val="24"/>
          <w:lang w:val="en-GB"/>
        </w:rPr>
        <w:t xml:space="preserve">Computer with E-Prime® files for </w:t>
      </w:r>
      <w:r w:rsidR="00E124FC" w:rsidRPr="0007633A">
        <w:rPr>
          <w:rFonts w:ascii="Times New Roman" w:hAnsi="Times New Roman" w:cs="Times New Roman"/>
          <w:sz w:val="24"/>
          <w:szCs w:val="24"/>
          <w:lang w:val="en-GB"/>
        </w:rPr>
        <w:t>the Sternberg task</w:t>
      </w:r>
    </w:p>
    <w:p w14:paraId="5D11A4EB" w14:textId="2E4CBC06" w:rsidR="006F6B5E" w:rsidRDefault="00E35AD4" w:rsidP="00C52DA9">
      <w:pPr>
        <w:pStyle w:val="Overskrift2"/>
        <w:jc w:val="both"/>
        <w:rPr>
          <w:lang w:val="en-GB"/>
        </w:rPr>
      </w:pPr>
      <w:bookmarkStart w:id="4" w:name="_Toc24299548"/>
      <w:r w:rsidRPr="00213162">
        <w:rPr>
          <w:lang w:val="en-GB"/>
        </w:rPr>
        <w:t>Procedure</w:t>
      </w:r>
      <w:bookmarkEnd w:id="4"/>
    </w:p>
    <w:p w14:paraId="0B7A9871" w14:textId="2DF956CE" w:rsidR="00E84976" w:rsidRDefault="002655B0" w:rsidP="007C603A">
      <w:pPr>
        <w:jc w:val="both"/>
        <w:rPr>
          <w:lang w:val="en-GB"/>
        </w:rPr>
      </w:pPr>
      <w:r>
        <w:rPr>
          <w:lang w:val="en-GB"/>
        </w:rPr>
        <w:t xml:space="preserve">The experiment consisted of </w:t>
      </w:r>
      <w:r w:rsidR="00BC5AAC">
        <w:rPr>
          <w:lang w:val="en-GB"/>
        </w:rPr>
        <w:t>12</w:t>
      </w:r>
      <w:r w:rsidR="004D2ED6">
        <w:rPr>
          <w:lang w:val="en-GB"/>
        </w:rPr>
        <w:t xml:space="preserve"> blocks of </w:t>
      </w:r>
      <w:r w:rsidR="00BC5AAC">
        <w:rPr>
          <w:lang w:val="en-GB"/>
        </w:rPr>
        <w:t>12</w:t>
      </w:r>
      <w:r w:rsidR="00940464">
        <w:rPr>
          <w:lang w:val="en-GB"/>
        </w:rPr>
        <w:t xml:space="preserve"> trials, each consisting of a</w:t>
      </w:r>
      <w:r w:rsidR="004D2ED6">
        <w:rPr>
          <w:lang w:val="en-GB"/>
        </w:rPr>
        <w:t xml:space="preserve"> </w:t>
      </w:r>
      <w:r w:rsidR="0051637C">
        <w:rPr>
          <w:lang w:val="en-GB"/>
        </w:rPr>
        <w:t>memory set and</w:t>
      </w:r>
      <w:r w:rsidR="00940464">
        <w:rPr>
          <w:lang w:val="en-GB"/>
        </w:rPr>
        <w:t xml:space="preserve"> a</w:t>
      </w:r>
      <w:r w:rsidR="0051637C">
        <w:rPr>
          <w:lang w:val="en-GB"/>
        </w:rPr>
        <w:t xml:space="preserve"> probe</w:t>
      </w:r>
      <w:r w:rsidR="00060547">
        <w:rPr>
          <w:lang w:val="en-GB"/>
        </w:rPr>
        <w:t xml:space="preserve">. </w:t>
      </w:r>
      <w:r w:rsidR="00926156">
        <w:rPr>
          <w:lang w:val="en-GB"/>
        </w:rPr>
        <w:t>Memory sets consisted of either two, three, or five letters</w:t>
      </w:r>
      <w:r w:rsidR="00941990">
        <w:rPr>
          <w:lang w:val="en-GB"/>
        </w:rPr>
        <w:t xml:space="preserve"> and were</w:t>
      </w:r>
      <w:r w:rsidR="00926156">
        <w:rPr>
          <w:lang w:val="en-GB"/>
        </w:rPr>
        <w:t xml:space="preserve"> </w:t>
      </w:r>
      <w:r w:rsidR="000B0C56">
        <w:rPr>
          <w:lang w:val="en-GB"/>
        </w:rPr>
        <w:t>exposed</w:t>
      </w:r>
      <w:r w:rsidR="00695F24">
        <w:rPr>
          <w:lang w:val="en-GB"/>
        </w:rPr>
        <w:t xml:space="preserve"> in </w:t>
      </w:r>
      <w:r w:rsidR="00FB784F">
        <w:rPr>
          <w:lang w:val="en-GB"/>
        </w:rPr>
        <w:t>their entirety</w:t>
      </w:r>
      <w:r w:rsidR="000B0C56">
        <w:rPr>
          <w:lang w:val="en-GB"/>
        </w:rPr>
        <w:t xml:space="preserve"> to the P for </w:t>
      </w:r>
      <w:r w:rsidR="003B4FF3">
        <w:rPr>
          <w:lang w:val="en-GB"/>
        </w:rPr>
        <w:t xml:space="preserve">500 </w:t>
      </w:r>
      <w:proofErr w:type="spellStart"/>
      <w:r w:rsidR="003B4FF3">
        <w:rPr>
          <w:lang w:val="en-GB"/>
        </w:rPr>
        <w:t>ms</w:t>
      </w:r>
      <w:proofErr w:type="spellEnd"/>
      <w:r w:rsidR="003B4FF3">
        <w:rPr>
          <w:lang w:val="en-GB"/>
        </w:rPr>
        <w:t xml:space="preserve"> </w:t>
      </w:r>
      <w:r w:rsidR="00695F24">
        <w:rPr>
          <w:lang w:val="en-GB"/>
        </w:rPr>
        <w:t>per letter</w:t>
      </w:r>
      <w:r w:rsidR="00FB784F">
        <w:rPr>
          <w:lang w:val="en-GB"/>
        </w:rPr>
        <w:t xml:space="preserve">, following </w:t>
      </w:r>
      <w:r w:rsidR="0078581A">
        <w:rPr>
          <w:lang w:val="en-GB"/>
        </w:rPr>
        <w:t xml:space="preserve">1000 </w:t>
      </w:r>
      <w:proofErr w:type="spellStart"/>
      <w:r w:rsidR="0078581A">
        <w:rPr>
          <w:lang w:val="en-GB"/>
        </w:rPr>
        <w:t>ms</w:t>
      </w:r>
      <w:proofErr w:type="spellEnd"/>
      <w:r w:rsidR="0078581A">
        <w:rPr>
          <w:lang w:val="en-GB"/>
        </w:rPr>
        <w:t xml:space="preserve"> of a fixation cross.</w:t>
      </w:r>
      <w:r w:rsidR="008F7079">
        <w:rPr>
          <w:lang w:val="en-GB"/>
        </w:rPr>
        <w:t xml:space="preserve"> A blank screen followed</w:t>
      </w:r>
      <w:r w:rsidR="00DB4633">
        <w:rPr>
          <w:lang w:val="en-GB"/>
        </w:rPr>
        <w:t xml:space="preserve"> for 1000</w:t>
      </w:r>
      <w:r w:rsidR="001511E2">
        <w:rPr>
          <w:lang w:val="en-GB"/>
        </w:rPr>
        <w:t xml:space="preserve"> </w:t>
      </w:r>
      <w:proofErr w:type="spellStart"/>
      <w:r w:rsidR="001511E2">
        <w:rPr>
          <w:lang w:val="en-GB"/>
        </w:rPr>
        <w:t>ms</w:t>
      </w:r>
      <w:proofErr w:type="spellEnd"/>
      <w:r w:rsidR="008F7079">
        <w:rPr>
          <w:lang w:val="en-GB"/>
        </w:rPr>
        <w:t>, before the probe was displayed. The probe could be either masked or unmasked</w:t>
      </w:r>
      <w:r w:rsidR="006428AF">
        <w:rPr>
          <w:lang w:val="en-GB"/>
        </w:rPr>
        <w:t xml:space="preserve"> single letters</w:t>
      </w:r>
      <w:r w:rsidR="00772F3A">
        <w:rPr>
          <w:lang w:val="en-GB"/>
        </w:rPr>
        <w:t xml:space="preserve"> and </w:t>
      </w:r>
      <w:r w:rsidR="00772F3A">
        <w:rPr>
          <w:lang w:val="en-GB"/>
        </w:rPr>
        <w:lastRenderedPageBreak/>
        <w:t>remained on screen until the P had indicated</w:t>
      </w:r>
      <w:r w:rsidR="008D1269">
        <w:rPr>
          <w:lang w:val="en-GB"/>
        </w:rPr>
        <w:t xml:space="preserve"> whether the probe was present in the memory set by pressing 1 for yes and 2 for no</w:t>
      </w:r>
      <w:r w:rsidR="009138C6">
        <w:rPr>
          <w:lang w:val="en-GB"/>
        </w:rPr>
        <w:t xml:space="preserve"> on the keyboard.</w:t>
      </w:r>
      <w:r w:rsidR="005524DA">
        <w:rPr>
          <w:lang w:val="en-GB"/>
        </w:rPr>
        <w:t xml:space="preserve"> After </w:t>
      </w:r>
      <w:r w:rsidR="00072A9A">
        <w:rPr>
          <w:lang w:val="en-GB"/>
        </w:rPr>
        <w:t>giving an answer, the next trial commenced</w:t>
      </w:r>
      <w:r w:rsidR="00A90C01">
        <w:rPr>
          <w:lang w:val="en-GB"/>
        </w:rPr>
        <w:t>.</w:t>
      </w:r>
    </w:p>
    <w:p w14:paraId="3E1E1066" w14:textId="05181D50" w:rsidR="001078C3" w:rsidRPr="001A0F10" w:rsidRDefault="007C603A" w:rsidP="001A0F10">
      <w:pPr>
        <w:ind w:firstLine="567"/>
        <w:jc w:val="both"/>
        <w:rPr>
          <w:lang w:val="en-GB"/>
        </w:rPr>
      </w:pPr>
      <w:r w:rsidRPr="001A0F10">
        <w:rPr>
          <w:lang w:val="en-GB"/>
        </w:rPr>
        <w:t xml:space="preserve">Measures of RT </w:t>
      </w:r>
      <w:r w:rsidR="001A0F10" w:rsidRPr="001A0F10">
        <w:rPr>
          <w:lang w:val="en-GB"/>
        </w:rPr>
        <w:t>consider</w:t>
      </w:r>
      <w:r w:rsidR="00421D35" w:rsidRPr="001A0F10">
        <w:rPr>
          <w:lang w:val="en-GB"/>
        </w:rPr>
        <w:t xml:space="preserve"> only correct responses.</w:t>
      </w:r>
      <w:r w:rsidR="001A0F10" w:rsidRPr="001A0F10">
        <w:rPr>
          <w:lang w:val="en-GB"/>
        </w:rPr>
        <w:t xml:space="preserve"> </w:t>
      </w:r>
      <w:r w:rsidRPr="001A0F10">
        <w:rPr>
          <w:lang w:val="en-GB"/>
        </w:rPr>
        <w:t>Statistical analys</w:t>
      </w:r>
      <w:r w:rsidR="00FC54C2">
        <w:rPr>
          <w:lang w:val="en-GB"/>
        </w:rPr>
        <w:t>e</w:t>
      </w:r>
      <w:r w:rsidRPr="001A0F10">
        <w:rPr>
          <w:lang w:val="en-GB"/>
        </w:rPr>
        <w:t xml:space="preserve">s </w:t>
      </w:r>
      <w:r w:rsidR="00FC54C2">
        <w:rPr>
          <w:lang w:val="en-GB"/>
        </w:rPr>
        <w:t>were</w:t>
      </w:r>
      <w:r w:rsidRPr="001A0F10">
        <w:rPr>
          <w:lang w:val="en-GB"/>
        </w:rPr>
        <w:t xml:space="preserve"> carried out using SPSS.</w:t>
      </w:r>
    </w:p>
    <w:p w14:paraId="38DEDFD2" w14:textId="0DD732B8" w:rsidR="00B21555" w:rsidRPr="005913CF" w:rsidRDefault="00734925" w:rsidP="00362662">
      <w:pPr>
        <w:pStyle w:val="Overskrift1"/>
        <w:jc w:val="both"/>
        <w:rPr>
          <w:lang w:val="en-GB"/>
        </w:rPr>
      </w:pPr>
      <w:bookmarkStart w:id="5" w:name="_Toc24299549"/>
      <w:r w:rsidRPr="005913CF">
        <w:rPr>
          <w:lang w:val="en-GB"/>
        </w:rPr>
        <w:t>Results</w:t>
      </w:r>
      <w:bookmarkEnd w:id="5"/>
    </w:p>
    <w:p w14:paraId="2F9B0B33" w14:textId="0FE710FE" w:rsidR="00255EE0" w:rsidRPr="00EC1CE8" w:rsidRDefault="00255EE0" w:rsidP="00362662">
      <w:pPr>
        <w:jc w:val="both"/>
        <w:rPr>
          <w:lang w:val="en-GB"/>
        </w:rPr>
      </w:pPr>
      <w:r w:rsidRPr="00EC1CE8">
        <w:rPr>
          <w:lang w:val="en-GB"/>
        </w:rPr>
        <w:t>Figure 1 displays</w:t>
      </w:r>
      <w:r w:rsidR="000528DF">
        <w:rPr>
          <w:lang w:val="en-GB"/>
        </w:rPr>
        <w:t xml:space="preserve"> the effect of</w:t>
      </w:r>
      <w:r w:rsidRPr="00EC1CE8">
        <w:rPr>
          <w:lang w:val="en-GB"/>
        </w:rPr>
        <w:t xml:space="preserve"> </w:t>
      </w:r>
      <w:r w:rsidR="001B4A38" w:rsidRPr="00EC1CE8">
        <w:rPr>
          <w:lang w:val="en-GB"/>
        </w:rPr>
        <w:t xml:space="preserve">set size, masking, and </w:t>
      </w:r>
      <w:r w:rsidR="006F011E" w:rsidRPr="00EC1CE8">
        <w:rPr>
          <w:lang w:val="en-GB"/>
        </w:rPr>
        <w:t xml:space="preserve">the presence of the </w:t>
      </w:r>
      <w:r w:rsidR="0045072D">
        <w:rPr>
          <w:lang w:val="en-GB"/>
        </w:rPr>
        <w:t>probe</w:t>
      </w:r>
      <w:r w:rsidR="006F011E" w:rsidRPr="00EC1CE8">
        <w:rPr>
          <w:lang w:val="en-GB"/>
        </w:rPr>
        <w:t xml:space="preserve"> on RT</w:t>
      </w:r>
      <w:r w:rsidR="00C35228" w:rsidRPr="00EC1CE8">
        <w:rPr>
          <w:lang w:val="en-GB"/>
        </w:rPr>
        <w:t xml:space="preserve">. A clear </w:t>
      </w:r>
      <w:r w:rsidR="00923ED6" w:rsidRPr="00EC1CE8">
        <w:rPr>
          <w:lang w:val="en-GB"/>
        </w:rPr>
        <w:t xml:space="preserve">trend </w:t>
      </w:r>
      <w:r w:rsidR="00E252FD" w:rsidRPr="00EC1CE8">
        <w:rPr>
          <w:lang w:val="en-GB"/>
        </w:rPr>
        <w:t>reveals itself in which masking</w:t>
      </w:r>
      <w:r w:rsidR="00A11321">
        <w:rPr>
          <w:lang w:val="en-GB"/>
        </w:rPr>
        <w:t>, probe absence</w:t>
      </w:r>
      <w:r w:rsidR="00E252FD" w:rsidRPr="00EC1CE8">
        <w:rPr>
          <w:lang w:val="en-GB"/>
        </w:rPr>
        <w:t xml:space="preserve"> and increases in set size </w:t>
      </w:r>
      <w:r w:rsidR="00790C75" w:rsidRPr="00790C75">
        <w:rPr>
          <w:lang w:val="en-GB"/>
        </w:rPr>
        <w:t>increase</w:t>
      </w:r>
      <w:r w:rsidR="00A11321">
        <w:rPr>
          <w:lang w:val="en-GB"/>
        </w:rPr>
        <w:t xml:space="preserve"> </w:t>
      </w:r>
      <w:r w:rsidR="0070228C" w:rsidRPr="00EC1CE8">
        <w:rPr>
          <w:lang w:val="en-GB"/>
        </w:rPr>
        <w:t>RT.</w:t>
      </w:r>
    </w:p>
    <w:p w14:paraId="2D040053" w14:textId="5E9834C3" w:rsidR="00706B0D" w:rsidRPr="00EC1CE8" w:rsidRDefault="00706B0D" w:rsidP="008822AF">
      <w:pPr>
        <w:ind w:firstLine="567"/>
        <w:jc w:val="both"/>
        <w:rPr>
          <w:lang w:val="en-GB"/>
        </w:rPr>
      </w:pPr>
      <w:r w:rsidRPr="00EC1CE8">
        <w:rPr>
          <w:lang w:val="en-GB"/>
        </w:rPr>
        <w:t>The slopes</w:t>
      </w:r>
      <w:r w:rsidR="00CC39BE" w:rsidRPr="00EC1CE8">
        <w:rPr>
          <w:lang w:val="en-GB"/>
        </w:rPr>
        <w:t xml:space="preserve"> </w:t>
      </w:r>
      <w:r w:rsidR="00E83A5C" w:rsidRPr="00EC1CE8">
        <w:rPr>
          <w:lang w:val="en-GB"/>
        </w:rPr>
        <w:t>for present</w:t>
      </w:r>
      <w:r w:rsidR="00FA054A" w:rsidRPr="00EC1CE8">
        <w:rPr>
          <w:lang w:val="en-GB"/>
        </w:rPr>
        <w:t xml:space="preserve"> and absent </w:t>
      </w:r>
      <w:r w:rsidR="0045072D">
        <w:rPr>
          <w:lang w:val="en-GB"/>
        </w:rPr>
        <w:t>probe</w:t>
      </w:r>
      <w:r w:rsidR="00FA054A" w:rsidRPr="00EC1CE8">
        <w:rPr>
          <w:lang w:val="en-GB"/>
        </w:rPr>
        <w:t>s are very similar</w:t>
      </w:r>
      <w:r w:rsidR="00B72FD2" w:rsidRPr="00EC1CE8">
        <w:rPr>
          <w:lang w:val="en-GB"/>
        </w:rPr>
        <w:t>, indicating that Ps</w:t>
      </w:r>
      <w:r w:rsidR="004F2119" w:rsidRPr="00EC1CE8">
        <w:rPr>
          <w:lang w:val="en-GB"/>
        </w:rPr>
        <w:t xml:space="preserve"> </w:t>
      </w:r>
      <w:r w:rsidR="009B2180" w:rsidRPr="00EC1CE8">
        <w:rPr>
          <w:lang w:val="en-GB"/>
        </w:rPr>
        <w:t xml:space="preserve">perform </w:t>
      </w:r>
      <w:r w:rsidR="00F63EE2" w:rsidRPr="00EC1CE8">
        <w:rPr>
          <w:lang w:val="en-GB"/>
        </w:rPr>
        <w:t>a serial exhaustive search</w:t>
      </w:r>
      <w:r w:rsidR="00CC39BE" w:rsidRPr="00EC1CE8">
        <w:rPr>
          <w:lang w:val="en-GB"/>
        </w:rPr>
        <w:t>.</w:t>
      </w:r>
    </w:p>
    <w:p w14:paraId="70337D77" w14:textId="77777777" w:rsidR="00F51ED1" w:rsidRDefault="00495EB8" w:rsidP="00F51ED1">
      <w:pPr>
        <w:keepNext/>
        <w:jc w:val="both"/>
      </w:pPr>
      <w:r w:rsidRPr="00EC1CE8">
        <w:rPr>
          <w:noProof/>
          <w:lang w:val="en-GB"/>
        </w:rPr>
        <w:drawing>
          <wp:inline distT="0" distB="0" distL="0" distR="0" wp14:anchorId="41C774E6" wp14:editId="1BDC759F">
            <wp:extent cx="5731510" cy="3537538"/>
            <wp:effectExtent l="0" t="0" r="2540" b="635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C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04EFC3" w14:textId="229684EE" w:rsidR="00F51ED1" w:rsidRPr="00F51ED1" w:rsidRDefault="00F51ED1" w:rsidP="00F51ED1">
      <w:pPr>
        <w:pStyle w:val="Billedtekst"/>
        <w:jc w:val="both"/>
        <w:rPr>
          <w:lang w:val="en-US"/>
        </w:rPr>
      </w:pPr>
      <w:r w:rsidRPr="00F51ED1">
        <w:rPr>
          <w:lang w:val="en-US"/>
        </w:rPr>
        <w:t xml:space="preserve">Figure </w:t>
      </w:r>
      <w:r>
        <w:fldChar w:fldCharType="begin"/>
      </w:r>
      <w:r w:rsidRPr="00F51ED1">
        <w:rPr>
          <w:lang w:val="en-US"/>
        </w:rPr>
        <w:instrText xml:space="preserve"> SEQ Figure \* ARABIC </w:instrText>
      </w:r>
      <w:r>
        <w:fldChar w:fldCharType="separate"/>
      </w:r>
      <w:r w:rsidR="002932C7">
        <w:rPr>
          <w:noProof/>
          <w:lang w:val="en-US"/>
        </w:rPr>
        <w:t>1</w:t>
      </w:r>
      <w:r>
        <w:fldChar w:fldCharType="end"/>
      </w:r>
      <w:r w:rsidRPr="00F51ED1">
        <w:rPr>
          <w:lang w:val="en-US"/>
        </w:rPr>
        <w:t>: Average RT for each set size</w:t>
      </w:r>
      <w:r w:rsidR="009979AE">
        <w:rPr>
          <w:lang w:val="en-US"/>
        </w:rPr>
        <w:t xml:space="preserve">, </w:t>
      </w:r>
      <w:r w:rsidR="00D37C66">
        <w:rPr>
          <w:lang w:val="en-US"/>
        </w:rPr>
        <w:t>masking and</w:t>
      </w:r>
      <w:r w:rsidR="002D7404">
        <w:rPr>
          <w:lang w:val="en-US"/>
        </w:rPr>
        <w:t xml:space="preserve"> probe</w:t>
      </w:r>
      <w:r w:rsidR="001B7D4E">
        <w:rPr>
          <w:lang w:val="en-US"/>
        </w:rPr>
        <w:t xml:space="preserve"> condition</w:t>
      </w:r>
    </w:p>
    <w:p w14:paraId="4B2EC5A2" w14:textId="0A10A880" w:rsidR="00585CFF" w:rsidRPr="00EC1CE8" w:rsidRDefault="00585CFF" w:rsidP="00362662">
      <w:pPr>
        <w:jc w:val="both"/>
        <w:rPr>
          <w:b/>
          <w:bCs/>
          <w:lang w:val="en-GB"/>
        </w:rPr>
      </w:pPr>
    </w:p>
    <w:p w14:paraId="2C188BA4" w14:textId="21A06E69" w:rsidR="0059663D" w:rsidRPr="00EC1CE8" w:rsidRDefault="0059663D" w:rsidP="00362662">
      <w:pPr>
        <w:jc w:val="both"/>
        <w:rPr>
          <w:lang w:val="en-GB"/>
        </w:rPr>
      </w:pPr>
      <w:r w:rsidRPr="00EC1CE8">
        <w:rPr>
          <w:lang w:val="en-GB"/>
        </w:rPr>
        <w:t>To tes</w:t>
      </w:r>
      <w:r w:rsidR="00A21A85" w:rsidRPr="00EC1CE8">
        <w:rPr>
          <w:lang w:val="en-GB"/>
        </w:rPr>
        <w:t xml:space="preserve">t whether </w:t>
      </w:r>
      <w:r w:rsidR="005C3DB0" w:rsidRPr="00EC1CE8">
        <w:rPr>
          <w:lang w:val="en-GB"/>
        </w:rPr>
        <w:t>the effect</w:t>
      </w:r>
      <w:r w:rsidR="009B12E3" w:rsidRPr="00EC1CE8">
        <w:rPr>
          <w:lang w:val="en-GB"/>
        </w:rPr>
        <w:t>s</w:t>
      </w:r>
      <w:r w:rsidR="005C3DB0" w:rsidRPr="00EC1CE8">
        <w:rPr>
          <w:lang w:val="en-GB"/>
        </w:rPr>
        <w:t xml:space="preserve"> of set size and </w:t>
      </w:r>
      <w:r w:rsidR="0045072D">
        <w:rPr>
          <w:lang w:val="en-GB"/>
        </w:rPr>
        <w:t>probe</w:t>
      </w:r>
      <w:r w:rsidR="004B74D7" w:rsidRPr="00EC1CE8">
        <w:rPr>
          <w:lang w:val="en-GB"/>
        </w:rPr>
        <w:t xml:space="preserve"> were </w:t>
      </w:r>
      <w:r w:rsidR="009B12E3" w:rsidRPr="00EC1CE8">
        <w:rPr>
          <w:lang w:val="en-GB"/>
        </w:rPr>
        <w:t>significant, a repeated measures ANOVA was conducted.</w:t>
      </w:r>
    </w:p>
    <w:p w14:paraId="29F0B281" w14:textId="15FC68D3" w:rsidR="005B2D4D" w:rsidRDefault="009B12E3" w:rsidP="008822AF">
      <w:pPr>
        <w:ind w:firstLine="567"/>
        <w:jc w:val="both"/>
        <w:rPr>
          <w:rFonts w:eastAsia="Calibri"/>
          <w:lang w:val="en-GB"/>
        </w:rPr>
      </w:pPr>
      <w:r w:rsidRPr="00EC1CE8">
        <w:rPr>
          <w:rFonts w:eastAsia="Calibri"/>
          <w:lang w:val="en-GB"/>
        </w:rPr>
        <w:t xml:space="preserve">It </w:t>
      </w:r>
      <w:r w:rsidR="005B2D4D" w:rsidRPr="00EC1CE8">
        <w:rPr>
          <w:rFonts w:eastAsia="Calibri"/>
          <w:lang w:val="en-GB"/>
        </w:rPr>
        <w:t xml:space="preserve">showed significant main effects of set size, </w:t>
      </w:r>
      <w:r w:rsidR="005B2D4D" w:rsidRPr="00EC1CE8">
        <w:rPr>
          <w:rFonts w:eastAsia="Calibri"/>
          <w:i/>
          <w:iCs/>
          <w:lang w:val="en-GB"/>
        </w:rPr>
        <w:t>F</w:t>
      </w:r>
      <w:r w:rsidR="005B2D4D" w:rsidRPr="00EC1CE8">
        <w:rPr>
          <w:rFonts w:eastAsia="Calibri"/>
          <w:lang w:val="en-GB"/>
        </w:rPr>
        <w:t xml:space="preserve">(1.48, 286.14) = 278.39, </w:t>
      </w:r>
      <w:r w:rsidR="005B2D4D" w:rsidRPr="00EC1CE8">
        <w:rPr>
          <w:rFonts w:eastAsia="Calibri"/>
          <w:i/>
          <w:iCs/>
          <w:lang w:val="en-GB"/>
        </w:rPr>
        <w:t>p</w:t>
      </w:r>
      <w:r w:rsidR="005B2D4D" w:rsidRPr="00EC1CE8">
        <w:rPr>
          <w:rFonts w:eastAsia="Calibri"/>
          <w:lang w:val="en-GB"/>
        </w:rPr>
        <w:t xml:space="preserve"> &lt; .001,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5B2D4D" w:rsidRPr="00EC1CE8">
        <w:rPr>
          <w:rFonts w:eastAsia="Calibri"/>
          <w:lang w:val="en-GB"/>
        </w:rPr>
        <w:t xml:space="preserve"> = .59 (Huyhn-Feldt corrected), and </w:t>
      </w:r>
      <w:r w:rsidR="0045072D">
        <w:rPr>
          <w:rFonts w:eastAsia="Calibri"/>
          <w:lang w:val="en-GB"/>
        </w:rPr>
        <w:t>probe</w:t>
      </w:r>
      <w:r w:rsidR="005B2D4D" w:rsidRPr="00EC1CE8">
        <w:rPr>
          <w:rFonts w:eastAsia="Calibri"/>
          <w:lang w:val="en-GB"/>
        </w:rPr>
        <w:t xml:space="preserve">, </w:t>
      </w:r>
      <w:r w:rsidR="005B2D4D" w:rsidRPr="00EC1CE8">
        <w:rPr>
          <w:rFonts w:eastAsia="Calibri"/>
          <w:i/>
          <w:iCs/>
          <w:lang w:val="en-GB"/>
        </w:rPr>
        <w:t>F</w:t>
      </w:r>
      <w:r w:rsidR="005B2D4D" w:rsidRPr="00EC1CE8">
        <w:rPr>
          <w:rFonts w:eastAsia="Calibri"/>
          <w:lang w:val="en-GB"/>
        </w:rPr>
        <w:t xml:space="preserve">(1, 193) = 58.49, </w:t>
      </w:r>
      <w:r w:rsidR="005B2D4D" w:rsidRPr="00EC1CE8">
        <w:rPr>
          <w:rFonts w:eastAsia="Calibri"/>
          <w:i/>
          <w:iCs/>
          <w:lang w:val="en-GB"/>
        </w:rPr>
        <w:t>p</w:t>
      </w:r>
      <w:r w:rsidR="005B2D4D" w:rsidRPr="00EC1CE8">
        <w:rPr>
          <w:rFonts w:eastAsia="Calibri"/>
          <w:lang w:val="en-GB"/>
        </w:rPr>
        <w:t xml:space="preserve"> &lt; .001,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5B2D4D" w:rsidRPr="00EC1CE8">
        <w:rPr>
          <w:rFonts w:eastAsia="Calibri"/>
          <w:lang w:val="en-GB"/>
        </w:rPr>
        <w:t xml:space="preserve"> = .23, but no significant interaction between </w:t>
      </w:r>
      <w:r w:rsidR="00C447EC" w:rsidRPr="00EC1CE8">
        <w:rPr>
          <w:rFonts w:eastAsia="Calibri"/>
          <w:lang w:val="en-GB"/>
        </w:rPr>
        <w:t>the two</w:t>
      </w:r>
      <w:r w:rsidR="005B2D4D" w:rsidRPr="00EC1CE8">
        <w:rPr>
          <w:rFonts w:eastAsia="Calibri"/>
          <w:lang w:val="en-GB"/>
        </w:rPr>
        <w:t xml:space="preserve">, </w:t>
      </w:r>
      <w:r w:rsidR="005B2D4D" w:rsidRPr="00EC1CE8">
        <w:rPr>
          <w:rFonts w:eastAsia="Calibri"/>
          <w:i/>
          <w:iCs/>
          <w:lang w:val="en-GB"/>
        </w:rPr>
        <w:t>F</w:t>
      </w:r>
      <w:r w:rsidR="005B2D4D" w:rsidRPr="00EC1CE8">
        <w:rPr>
          <w:rFonts w:eastAsia="Calibri"/>
          <w:lang w:val="en-GB"/>
        </w:rPr>
        <w:t xml:space="preserve">(1.90, 366.60) = 2.05, </w:t>
      </w:r>
      <w:r w:rsidR="005B2D4D" w:rsidRPr="00EC1CE8">
        <w:rPr>
          <w:rFonts w:eastAsia="Calibri"/>
          <w:i/>
          <w:iCs/>
          <w:lang w:val="en-GB"/>
        </w:rPr>
        <w:t>p</w:t>
      </w:r>
      <w:r w:rsidR="005B2D4D" w:rsidRPr="00EC1CE8">
        <w:rPr>
          <w:rFonts w:eastAsia="Calibri"/>
          <w:lang w:val="en-GB"/>
        </w:rPr>
        <w:t xml:space="preserve"> = .13,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5B2D4D" w:rsidRPr="00EC1CE8">
        <w:rPr>
          <w:rFonts w:eastAsia="Calibri"/>
          <w:lang w:val="en-GB"/>
        </w:rPr>
        <w:t xml:space="preserve"> = .01 (</w:t>
      </w:r>
      <w:proofErr w:type="spellStart"/>
      <w:r w:rsidR="005B2D4D" w:rsidRPr="00EC1CE8">
        <w:rPr>
          <w:rFonts w:eastAsia="Calibri"/>
          <w:lang w:val="en-GB"/>
        </w:rPr>
        <w:t>Huyhn</w:t>
      </w:r>
      <w:proofErr w:type="spellEnd"/>
      <w:r w:rsidR="005B2D4D" w:rsidRPr="00EC1CE8">
        <w:rPr>
          <w:rFonts w:eastAsia="Calibri"/>
          <w:lang w:val="en-GB"/>
        </w:rPr>
        <w:t>-Feldt corrected).</w:t>
      </w:r>
    </w:p>
    <w:p w14:paraId="0F4E35A1" w14:textId="718BBA29" w:rsidR="002B6348" w:rsidRPr="00EC1CE8" w:rsidRDefault="002B6348" w:rsidP="00767CEF">
      <w:pPr>
        <w:ind w:firstLine="567"/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lastRenderedPageBreak/>
        <w:t xml:space="preserve">The linear increase in RT with set size proving significant </w:t>
      </w:r>
      <w:r w:rsidR="00AE43C5">
        <w:rPr>
          <w:rFonts w:eastAsia="Calibri"/>
          <w:lang w:val="en-GB"/>
        </w:rPr>
        <w:t>indicates that Ps perform a serial sea</w:t>
      </w:r>
      <w:r w:rsidR="000E1929">
        <w:rPr>
          <w:rFonts w:eastAsia="Calibri"/>
          <w:lang w:val="en-GB"/>
        </w:rPr>
        <w:t>r</w:t>
      </w:r>
      <w:r w:rsidR="00AE43C5">
        <w:rPr>
          <w:rFonts w:eastAsia="Calibri"/>
          <w:lang w:val="en-GB"/>
        </w:rPr>
        <w:t>ch</w:t>
      </w:r>
      <w:r w:rsidR="00196754">
        <w:rPr>
          <w:rFonts w:eastAsia="Calibri"/>
          <w:lang w:val="en-GB"/>
        </w:rPr>
        <w:t xml:space="preserve">. Probe </w:t>
      </w:r>
      <w:r w:rsidR="00440BBC">
        <w:rPr>
          <w:rFonts w:eastAsia="Calibri"/>
          <w:lang w:val="en-GB"/>
        </w:rPr>
        <w:t>presence also significantly affects RT</w:t>
      </w:r>
      <w:r w:rsidR="0002466C">
        <w:rPr>
          <w:rFonts w:eastAsia="Calibri"/>
          <w:lang w:val="en-GB"/>
        </w:rPr>
        <w:t>. Figure 1</w:t>
      </w:r>
      <w:r w:rsidR="00C96B86">
        <w:rPr>
          <w:rFonts w:eastAsia="Calibri"/>
          <w:lang w:val="en-GB"/>
        </w:rPr>
        <w:t xml:space="preserve"> shows that negative responses </w:t>
      </w:r>
      <w:r w:rsidR="00B609C9">
        <w:rPr>
          <w:rFonts w:eastAsia="Calibri"/>
          <w:lang w:val="en-GB"/>
        </w:rPr>
        <w:t>take longer.</w:t>
      </w:r>
      <w:r w:rsidR="00745ECC" w:rsidRPr="00745ECC">
        <w:rPr>
          <w:rFonts w:eastAsia="Calibri"/>
          <w:lang w:val="en-GB"/>
        </w:rPr>
        <w:t xml:space="preserve"> </w:t>
      </w:r>
      <w:r w:rsidR="00745ECC" w:rsidRPr="00EC1CE8">
        <w:rPr>
          <w:rFonts w:eastAsia="Calibri"/>
          <w:lang w:val="en-GB"/>
        </w:rPr>
        <w:t xml:space="preserve">There is no interaction between the two, meaning that the influence of set size on RT is similar regardless of the </w:t>
      </w:r>
      <w:r w:rsidR="00745ECC">
        <w:rPr>
          <w:rFonts w:eastAsia="Calibri"/>
          <w:lang w:val="en-GB"/>
        </w:rPr>
        <w:t>probe</w:t>
      </w:r>
      <w:r w:rsidR="00745ECC" w:rsidRPr="00EC1CE8">
        <w:rPr>
          <w:rFonts w:eastAsia="Calibri"/>
          <w:lang w:val="en-GB"/>
        </w:rPr>
        <w:t xml:space="preserve"> condition, indicating an exhaustive search method.</w:t>
      </w:r>
    </w:p>
    <w:p w14:paraId="04A786F2" w14:textId="16C96575" w:rsidR="005B2D4D" w:rsidRPr="00087A96" w:rsidRDefault="00087A96" w:rsidP="00087A96">
      <w:pPr>
        <w:pStyle w:val="Overskrift2"/>
        <w:rPr>
          <w:lang w:val="en-GB"/>
        </w:rPr>
      </w:pPr>
      <w:bookmarkStart w:id="6" w:name="_Toc24299551"/>
      <w:r>
        <w:rPr>
          <w:lang w:val="en-GB"/>
        </w:rPr>
        <w:t xml:space="preserve">The </w:t>
      </w:r>
      <w:r w:rsidR="0072342E">
        <w:rPr>
          <w:lang w:val="en-GB"/>
        </w:rPr>
        <w:t>labour of unmasking to search</w:t>
      </w:r>
      <w:bookmarkEnd w:id="6"/>
    </w:p>
    <w:p w14:paraId="5ABD3F92" w14:textId="2AE511B4" w:rsidR="009C5283" w:rsidRDefault="009C5283" w:rsidP="00362662">
      <w:pPr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>To investigate the effect of masking</w:t>
      </w:r>
      <w:r w:rsidR="00D13A54">
        <w:rPr>
          <w:rFonts w:eastAsia="Calibri"/>
          <w:lang w:val="en-GB"/>
        </w:rPr>
        <w:t xml:space="preserve">, </w:t>
      </w:r>
      <w:r w:rsidR="00E40FC9">
        <w:rPr>
          <w:rFonts w:eastAsia="Calibri"/>
          <w:lang w:val="en-GB"/>
        </w:rPr>
        <w:t>also displayed in Figure 2, a repeated measures ANOVA of the effect of set size and masking on RT was conducted.</w:t>
      </w:r>
    </w:p>
    <w:p w14:paraId="492AFD83" w14:textId="4D826DBC" w:rsidR="00221925" w:rsidRDefault="00E40FC9" w:rsidP="008822AF">
      <w:pPr>
        <w:ind w:firstLine="567"/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The test </w:t>
      </w:r>
      <w:r w:rsidR="00221925" w:rsidRPr="00EC1CE8">
        <w:rPr>
          <w:rFonts w:eastAsia="Calibri"/>
          <w:lang w:val="en-GB"/>
        </w:rPr>
        <w:t xml:space="preserve">showed significant main effects of set size, </w:t>
      </w:r>
      <w:r w:rsidR="00221925" w:rsidRPr="00EC1CE8">
        <w:rPr>
          <w:rFonts w:eastAsia="Calibri"/>
          <w:i/>
          <w:iCs/>
          <w:lang w:val="en-GB"/>
        </w:rPr>
        <w:t>F</w:t>
      </w:r>
      <w:r w:rsidR="00221925" w:rsidRPr="00EC1CE8">
        <w:rPr>
          <w:rFonts w:eastAsia="Calibri"/>
          <w:lang w:val="en-GB"/>
        </w:rPr>
        <w:t xml:space="preserve">(1.38, 265.51) = 462.24, </w:t>
      </w:r>
      <w:r w:rsidR="00221925" w:rsidRPr="00EC1CE8">
        <w:rPr>
          <w:rFonts w:eastAsia="Calibri"/>
          <w:i/>
          <w:iCs/>
          <w:lang w:val="en-GB"/>
        </w:rPr>
        <w:t>p</w:t>
      </w:r>
      <w:r w:rsidR="00221925" w:rsidRPr="00EC1CE8">
        <w:rPr>
          <w:rFonts w:eastAsia="Calibri"/>
          <w:lang w:val="en-GB"/>
        </w:rPr>
        <w:t xml:space="preserve"> &lt; .001,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221925" w:rsidRPr="00EC1CE8">
        <w:rPr>
          <w:rFonts w:eastAsia="Calibri"/>
          <w:lang w:val="en-GB"/>
        </w:rPr>
        <w:t xml:space="preserve"> = .71 (Huyhn-Feldt corrected), and masking, </w:t>
      </w:r>
      <w:r w:rsidR="00221925" w:rsidRPr="00EC1CE8">
        <w:rPr>
          <w:rFonts w:eastAsia="Calibri"/>
          <w:i/>
          <w:iCs/>
          <w:lang w:val="en-GB"/>
        </w:rPr>
        <w:t>F</w:t>
      </w:r>
      <w:r w:rsidR="00221925" w:rsidRPr="00EC1CE8">
        <w:rPr>
          <w:rFonts w:eastAsia="Calibri"/>
          <w:lang w:val="en-GB"/>
        </w:rPr>
        <w:t xml:space="preserve">(1, 193) = 273.39, </w:t>
      </w:r>
      <w:r w:rsidR="00221925" w:rsidRPr="00EC1CE8">
        <w:rPr>
          <w:rFonts w:eastAsia="Calibri"/>
          <w:i/>
          <w:iCs/>
          <w:lang w:val="en-GB"/>
        </w:rPr>
        <w:t>p</w:t>
      </w:r>
      <w:r w:rsidR="00221925" w:rsidRPr="00EC1CE8">
        <w:rPr>
          <w:rFonts w:eastAsia="Calibri"/>
          <w:lang w:val="en-GB"/>
        </w:rPr>
        <w:t xml:space="preserve"> &lt; .001,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221925" w:rsidRPr="00EC1CE8">
        <w:rPr>
          <w:rFonts w:eastAsia="Calibri"/>
          <w:lang w:val="en-GB"/>
        </w:rPr>
        <w:t xml:space="preserve"> = .59, but no significant interaction between set size and masking, </w:t>
      </w:r>
      <w:r w:rsidR="00221925" w:rsidRPr="00EC1CE8">
        <w:rPr>
          <w:rFonts w:eastAsia="Calibri"/>
          <w:i/>
          <w:iCs/>
          <w:lang w:val="en-GB"/>
        </w:rPr>
        <w:t>F</w:t>
      </w:r>
      <w:r w:rsidR="00221925" w:rsidRPr="00EC1CE8">
        <w:rPr>
          <w:rFonts w:eastAsia="Calibri"/>
          <w:lang w:val="en-GB"/>
        </w:rPr>
        <w:t xml:space="preserve">(1.84, 354.66) = 0.55, </w:t>
      </w:r>
      <w:r w:rsidR="00221925" w:rsidRPr="00EC1CE8">
        <w:rPr>
          <w:rFonts w:eastAsia="Calibri"/>
          <w:i/>
          <w:iCs/>
          <w:lang w:val="en-GB"/>
        </w:rPr>
        <w:t>p</w:t>
      </w:r>
      <w:r w:rsidR="00221925" w:rsidRPr="00EC1CE8">
        <w:rPr>
          <w:rFonts w:eastAsia="Calibri"/>
          <w:lang w:val="en-GB"/>
        </w:rPr>
        <w:t xml:space="preserve"> = .56,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221925" w:rsidRPr="00EC1CE8">
        <w:rPr>
          <w:rFonts w:eastAsia="Calibri"/>
          <w:lang w:val="en-GB"/>
        </w:rPr>
        <w:t xml:space="preserve"> = .003 (Huyhn-Feldt corrected).</w:t>
      </w:r>
    </w:p>
    <w:p w14:paraId="6FEF44B0" w14:textId="3B438F5E" w:rsidR="00221925" w:rsidRPr="00EC1CE8" w:rsidRDefault="00221925" w:rsidP="00362662">
      <w:pPr>
        <w:jc w:val="both"/>
        <w:rPr>
          <w:lang w:val="en-GB"/>
        </w:rPr>
      </w:pPr>
    </w:p>
    <w:p w14:paraId="35E1EB5A" w14:textId="77777777" w:rsidR="00F51ED1" w:rsidRDefault="00291ED5" w:rsidP="00F51ED1">
      <w:pPr>
        <w:keepNext/>
        <w:jc w:val="both"/>
      </w:pPr>
      <w:r w:rsidRPr="00EC1CE8">
        <w:rPr>
          <w:rFonts w:eastAsia="Calibri"/>
          <w:noProof/>
          <w:lang w:val="en-GB"/>
        </w:rPr>
        <w:drawing>
          <wp:inline distT="0" distB="0" distL="0" distR="0" wp14:anchorId="44BA9F69" wp14:editId="4682686B">
            <wp:extent cx="5731510" cy="3991610"/>
            <wp:effectExtent l="0" t="0" r="2540" b="889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8A7C" w14:textId="006A6A7E" w:rsidR="00291ED5" w:rsidRDefault="00F51ED1" w:rsidP="00F51ED1">
      <w:pPr>
        <w:pStyle w:val="Billedtekst"/>
        <w:jc w:val="both"/>
        <w:rPr>
          <w:b/>
          <w:bCs/>
          <w:lang w:val="en-GB"/>
        </w:rPr>
      </w:pPr>
      <w:r w:rsidRPr="00F51ED1">
        <w:rPr>
          <w:lang w:val="en-US"/>
        </w:rPr>
        <w:t xml:space="preserve">Figure </w:t>
      </w:r>
      <w:r>
        <w:fldChar w:fldCharType="begin"/>
      </w:r>
      <w:r w:rsidRPr="00F51ED1">
        <w:rPr>
          <w:lang w:val="en-US"/>
        </w:rPr>
        <w:instrText xml:space="preserve"> SEQ Figure \* ARABIC </w:instrText>
      </w:r>
      <w:r>
        <w:fldChar w:fldCharType="separate"/>
      </w:r>
      <w:r w:rsidR="002932C7">
        <w:rPr>
          <w:noProof/>
          <w:lang w:val="en-US"/>
        </w:rPr>
        <w:t>2</w:t>
      </w:r>
      <w:r>
        <w:fldChar w:fldCharType="end"/>
      </w:r>
      <w:r w:rsidRPr="00F51ED1">
        <w:rPr>
          <w:lang w:val="en-US"/>
        </w:rPr>
        <w:t>: Graph showing RT as function of set size for each masking condition</w:t>
      </w:r>
    </w:p>
    <w:p w14:paraId="32828723" w14:textId="4869B685" w:rsidR="00A65977" w:rsidRDefault="005C0F21" w:rsidP="00362662">
      <w:pPr>
        <w:jc w:val="both"/>
        <w:rPr>
          <w:lang w:val="en-GB"/>
        </w:rPr>
      </w:pPr>
      <w:r>
        <w:rPr>
          <w:lang w:val="en-GB"/>
        </w:rPr>
        <w:t>A</w:t>
      </w:r>
      <w:r w:rsidR="00A65977">
        <w:rPr>
          <w:lang w:val="en-GB"/>
        </w:rPr>
        <w:t xml:space="preserve">gain, the effect of set size on RT is evident. </w:t>
      </w:r>
      <w:r w:rsidR="002F1052">
        <w:rPr>
          <w:lang w:val="en-GB"/>
        </w:rPr>
        <w:t>T</w:t>
      </w:r>
      <w:r w:rsidR="00A65977">
        <w:rPr>
          <w:lang w:val="en-GB"/>
        </w:rPr>
        <w:t xml:space="preserve">his </w:t>
      </w:r>
      <w:r w:rsidR="008416E1">
        <w:rPr>
          <w:lang w:val="en-GB"/>
        </w:rPr>
        <w:t xml:space="preserve">effect is </w:t>
      </w:r>
      <w:r w:rsidR="005466FD">
        <w:rPr>
          <w:lang w:val="en-GB"/>
        </w:rPr>
        <w:t>similar for both masking conditions, as confirmed by the lacking interaction</w:t>
      </w:r>
      <w:r w:rsidR="008250C1">
        <w:rPr>
          <w:lang w:val="en-GB"/>
        </w:rPr>
        <w:t xml:space="preserve"> and si</w:t>
      </w:r>
      <w:r w:rsidR="00DA1266">
        <w:rPr>
          <w:lang w:val="en-GB"/>
        </w:rPr>
        <w:t>milar slopes of the two lines.</w:t>
      </w:r>
      <w:r w:rsidR="00AA50FF">
        <w:rPr>
          <w:lang w:val="en-GB"/>
        </w:rPr>
        <w:t xml:space="preserve"> T</w:t>
      </w:r>
      <w:r w:rsidR="00CF657D">
        <w:rPr>
          <w:lang w:val="en-GB"/>
        </w:rPr>
        <w:t xml:space="preserve">he effect of masking is </w:t>
      </w:r>
      <w:r w:rsidR="001860AC">
        <w:rPr>
          <w:lang w:val="en-GB"/>
        </w:rPr>
        <w:lastRenderedPageBreak/>
        <w:t>apparent</w:t>
      </w:r>
      <w:r w:rsidR="00B94866">
        <w:rPr>
          <w:lang w:val="en-GB"/>
        </w:rPr>
        <w:t xml:space="preserve"> by the differing intercepts</w:t>
      </w:r>
      <w:r w:rsidR="00BE072F">
        <w:rPr>
          <w:lang w:val="en-GB"/>
        </w:rPr>
        <w:t xml:space="preserve">, placing </w:t>
      </w:r>
      <w:r w:rsidR="00773A86">
        <w:rPr>
          <w:lang w:val="en-GB"/>
        </w:rPr>
        <w:t xml:space="preserve">the masked </w:t>
      </w:r>
      <w:r w:rsidR="0045072D">
        <w:rPr>
          <w:lang w:val="en-GB"/>
        </w:rPr>
        <w:t>probe</w:t>
      </w:r>
      <w:r w:rsidR="00773A86">
        <w:rPr>
          <w:lang w:val="en-GB"/>
        </w:rPr>
        <w:t>s at a constantly higher RT.</w:t>
      </w:r>
      <w:r w:rsidR="00E17F63">
        <w:rPr>
          <w:lang w:val="en-GB"/>
        </w:rPr>
        <w:t xml:space="preserve"> </w:t>
      </w:r>
      <w:r w:rsidR="00773A86">
        <w:rPr>
          <w:lang w:val="en-GB"/>
        </w:rPr>
        <w:t xml:space="preserve">This </w:t>
      </w:r>
      <w:r w:rsidR="000152E0">
        <w:rPr>
          <w:lang w:val="en-GB"/>
        </w:rPr>
        <w:t>hints</w:t>
      </w:r>
      <w:r w:rsidR="00354577">
        <w:rPr>
          <w:lang w:val="en-GB"/>
        </w:rPr>
        <w:t xml:space="preserve"> that the </w:t>
      </w:r>
      <w:r w:rsidR="0023791C">
        <w:rPr>
          <w:lang w:val="en-GB"/>
        </w:rPr>
        <w:t xml:space="preserve">unmasking </w:t>
      </w:r>
      <w:r w:rsidR="0045072D">
        <w:rPr>
          <w:lang w:val="en-GB"/>
        </w:rPr>
        <w:t xml:space="preserve">of </w:t>
      </w:r>
      <w:r w:rsidR="0023791C">
        <w:rPr>
          <w:lang w:val="en-GB"/>
        </w:rPr>
        <w:t xml:space="preserve">the </w:t>
      </w:r>
      <w:r w:rsidR="0045072D">
        <w:rPr>
          <w:lang w:val="en-GB"/>
        </w:rPr>
        <w:t>probe</w:t>
      </w:r>
      <w:r w:rsidR="0023791C">
        <w:rPr>
          <w:lang w:val="en-GB"/>
        </w:rPr>
        <w:t xml:space="preserve"> occurs </w:t>
      </w:r>
      <w:r w:rsidR="00ED275B">
        <w:rPr>
          <w:lang w:val="en-GB"/>
        </w:rPr>
        <w:t>in the encoding stage</w:t>
      </w:r>
      <w:r w:rsidR="00641FB3">
        <w:rPr>
          <w:lang w:val="en-GB"/>
        </w:rPr>
        <w:t>.</w:t>
      </w:r>
    </w:p>
    <w:p w14:paraId="21D6F84A" w14:textId="77777777" w:rsidR="004956A7" w:rsidRPr="00A65977" w:rsidRDefault="004956A7" w:rsidP="00362662">
      <w:pPr>
        <w:jc w:val="both"/>
        <w:rPr>
          <w:lang w:val="en-GB"/>
        </w:rPr>
      </w:pPr>
    </w:p>
    <w:p w14:paraId="1D4CF7B4" w14:textId="77777777" w:rsidR="00B6497C" w:rsidRDefault="0020051D" w:rsidP="00362662">
      <w:pPr>
        <w:jc w:val="both"/>
        <w:rPr>
          <w:lang w:val="en-GB"/>
        </w:rPr>
      </w:pPr>
      <w:r w:rsidRPr="00EC1CE8">
        <w:rPr>
          <w:lang w:val="en-GB"/>
        </w:rPr>
        <w:t xml:space="preserve">Paired samples </w:t>
      </w:r>
      <w:r w:rsidRPr="00EC1CE8">
        <w:rPr>
          <w:i/>
          <w:iCs/>
          <w:lang w:val="en-GB"/>
        </w:rPr>
        <w:t>t</w:t>
      </w:r>
      <w:r w:rsidRPr="00EC1CE8">
        <w:rPr>
          <w:lang w:val="en-GB"/>
        </w:rPr>
        <w:t>-tests (two-tailed, a = .05)</w:t>
      </w:r>
      <w:r w:rsidR="000F13EF">
        <w:rPr>
          <w:lang w:val="en-GB"/>
        </w:rPr>
        <w:t xml:space="preserve"> were then conducted to </w:t>
      </w:r>
      <w:r w:rsidR="00B01FB6">
        <w:rPr>
          <w:lang w:val="en-GB"/>
        </w:rPr>
        <w:t>test the statistical validity of these claims</w:t>
      </w:r>
      <w:r w:rsidR="00B6497C">
        <w:rPr>
          <w:lang w:val="en-GB"/>
        </w:rPr>
        <w:t>.</w:t>
      </w:r>
    </w:p>
    <w:p w14:paraId="55DFE3FB" w14:textId="256685C3" w:rsidR="00046BC9" w:rsidRPr="003E64B9" w:rsidRDefault="00B6497C" w:rsidP="003E64B9">
      <w:pPr>
        <w:ind w:firstLine="567"/>
        <w:jc w:val="both"/>
        <w:rPr>
          <w:lang w:val="en-US"/>
        </w:rPr>
      </w:pPr>
      <w:r>
        <w:rPr>
          <w:lang w:val="en-GB"/>
        </w:rPr>
        <w:t>They</w:t>
      </w:r>
      <w:r w:rsidR="0020051D" w:rsidRPr="00EC1CE8">
        <w:rPr>
          <w:lang w:val="en-GB"/>
        </w:rPr>
        <w:t xml:space="preserve"> showed a significant difference between the intercepts of graphs for masked and unmasked conditions, </w:t>
      </w:r>
      <w:r w:rsidR="0020051D" w:rsidRPr="00EC1CE8">
        <w:rPr>
          <w:i/>
          <w:iCs/>
          <w:lang w:val="en-GB"/>
        </w:rPr>
        <w:t>t</w:t>
      </w:r>
      <w:r w:rsidR="0020051D" w:rsidRPr="00EC1CE8">
        <w:rPr>
          <w:lang w:val="en-GB"/>
        </w:rPr>
        <w:t xml:space="preserve">(193) = -5.68, </w:t>
      </w:r>
      <w:r w:rsidR="0020051D" w:rsidRPr="00EC1CE8">
        <w:rPr>
          <w:i/>
          <w:iCs/>
          <w:lang w:val="en-GB"/>
        </w:rPr>
        <w:t>p</w:t>
      </w:r>
      <w:r w:rsidR="0020051D" w:rsidRPr="00EC1CE8">
        <w:rPr>
          <w:lang w:val="en-GB"/>
        </w:rPr>
        <w:t xml:space="preserve"> &lt; .001, </w:t>
      </w:r>
      <w:r w:rsidR="0020051D" w:rsidRPr="00EC1CE8">
        <w:rPr>
          <w:i/>
          <w:iCs/>
          <w:lang w:val="en-GB"/>
        </w:rPr>
        <w:t>d</w:t>
      </w:r>
      <w:r w:rsidR="0020051D" w:rsidRPr="00EC1CE8">
        <w:rPr>
          <w:lang w:val="en-GB"/>
        </w:rPr>
        <w:t xml:space="preserve"> = 0.38, but no significant difference between the slopes of the graphs</w:t>
      </w:r>
      <w:r w:rsidR="00604F1A">
        <w:rPr>
          <w:lang w:val="en-GB"/>
        </w:rPr>
        <w:t xml:space="preserve"> </w:t>
      </w:r>
      <w:r w:rsidR="009032CB">
        <w:rPr>
          <w:i/>
          <w:iCs/>
          <w:lang w:val="en-US"/>
        </w:rPr>
        <w:t>t</w:t>
      </w:r>
      <w:r w:rsidR="009032CB">
        <w:rPr>
          <w:lang w:val="en-US"/>
        </w:rPr>
        <w:t xml:space="preserve">(193) = -0.89, </w:t>
      </w:r>
      <w:r w:rsidR="009032CB">
        <w:rPr>
          <w:i/>
          <w:iCs/>
          <w:lang w:val="en-US"/>
        </w:rPr>
        <w:t>p</w:t>
      </w:r>
      <w:r w:rsidR="009032CB">
        <w:rPr>
          <w:lang w:val="en-US"/>
        </w:rPr>
        <w:t xml:space="preserve"> = .38, </w:t>
      </w:r>
      <w:r w:rsidR="009032CB">
        <w:rPr>
          <w:i/>
          <w:iCs/>
          <w:lang w:val="en-US"/>
        </w:rPr>
        <w:t>d</w:t>
      </w:r>
      <w:r w:rsidR="009032CB">
        <w:rPr>
          <w:lang w:val="en-US"/>
        </w:rPr>
        <w:t xml:space="preserve"> = 0.07</w:t>
      </w:r>
      <w:r w:rsidR="003E64B9">
        <w:rPr>
          <w:lang w:val="en-US"/>
        </w:rPr>
        <w:t xml:space="preserve">, </w:t>
      </w:r>
      <w:r w:rsidR="0081440C" w:rsidRPr="003E64B9">
        <w:rPr>
          <w:lang w:val="en-GB"/>
        </w:rPr>
        <w:t>corroborating the notion of an initial unmasking during the encoding stage followed by a search and comparison on similar terms to the unmasked condition.</w:t>
      </w:r>
    </w:p>
    <w:p w14:paraId="2B1B0E75" w14:textId="6D93638C" w:rsidR="00383EF7" w:rsidRDefault="00BD7E51" w:rsidP="00B55702">
      <w:pPr>
        <w:pStyle w:val="Overskrift2"/>
        <w:rPr>
          <w:lang w:val="en-GB"/>
        </w:rPr>
      </w:pPr>
      <w:r>
        <w:rPr>
          <w:rFonts w:eastAsia="Calibri"/>
          <w:lang w:val="en-GB"/>
        </w:rPr>
        <w:t>Several factors influence accuracy</w:t>
      </w:r>
    </w:p>
    <w:p w14:paraId="229A6478" w14:textId="5A93DE2F" w:rsidR="00CB1388" w:rsidRPr="000F6FEC" w:rsidRDefault="00CD32FF" w:rsidP="00383EF7">
      <w:pPr>
        <w:rPr>
          <w:lang w:val="en-GB"/>
        </w:rPr>
      </w:pPr>
      <w:r w:rsidRPr="00EC1CE8">
        <w:rPr>
          <w:lang w:val="en-GB"/>
        </w:rPr>
        <w:t xml:space="preserve">Figure </w:t>
      </w:r>
      <w:r>
        <w:rPr>
          <w:lang w:val="en-GB"/>
        </w:rPr>
        <w:t>3</w:t>
      </w:r>
      <w:r w:rsidRPr="00EC1CE8">
        <w:rPr>
          <w:lang w:val="en-GB"/>
        </w:rPr>
        <w:t xml:space="preserve"> displays</w:t>
      </w:r>
      <w:r>
        <w:rPr>
          <w:lang w:val="en-GB"/>
        </w:rPr>
        <w:t xml:space="preserve"> the effect of</w:t>
      </w:r>
      <w:r w:rsidRPr="00EC1CE8">
        <w:rPr>
          <w:lang w:val="en-GB"/>
        </w:rPr>
        <w:t xml:space="preserve"> set size, masking, and the presence of the </w:t>
      </w:r>
      <w:r w:rsidR="0045072D">
        <w:rPr>
          <w:lang w:val="en-GB"/>
        </w:rPr>
        <w:t>probe</w:t>
      </w:r>
      <w:r w:rsidRPr="00EC1CE8">
        <w:rPr>
          <w:lang w:val="en-GB"/>
        </w:rPr>
        <w:t xml:space="preserve"> on </w:t>
      </w:r>
      <w:r>
        <w:rPr>
          <w:lang w:val="en-GB"/>
        </w:rPr>
        <w:t>ACC</w:t>
      </w:r>
      <w:r w:rsidRPr="00EC1CE8">
        <w:rPr>
          <w:lang w:val="en-GB"/>
        </w:rPr>
        <w:t>.</w:t>
      </w:r>
      <w:r w:rsidR="00497744">
        <w:rPr>
          <w:lang w:val="en-GB"/>
        </w:rPr>
        <w:t xml:space="preserve"> The effect of </w:t>
      </w:r>
      <w:r w:rsidR="0045072D">
        <w:rPr>
          <w:lang w:val="en-GB"/>
        </w:rPr>
        <w:t>probe</w:t>
      </w:r>
      <w:r w:rsidR="000E6C93">
        <w:rPr>
          <w:lang w:val="en-GB"/>
        </w:rPr>
        <w:t xml:space="preserve"> is the most immediately apparent</w:t>
      </w:r>
      <w:r w:rsidR="00F66C76">
        <w:rPr>
          <w:lang w:val="en-GB"/>
        </w:rPr>
        <w:t xml:space="preserve">, </w:t>
      </w:r>
      <w:r w:rsidR="005D1930">
        <w:rPr>
          <w:lang w:val="en-GB"/>
        </w:rPr>
        <w:t xml:space="preserve">as </w:t>
      </w:r>
      <w:r w:rsidR="00277EDA">
        <w:rPr>
          <w:lang w:val="en-GB"/>
        </w:rPr>
        <w:t xml:space="preserve">the lines for absent </w:t>
      </w:r>
      <w:r w:rsidR="0045072D">
        <w:rPr>
          <w:lang w:val="en-GB"/>
        </w:rPr>
        <w:t>probe</w:t>
      </w:r>
      <w:r w:rsidR="00277EDA">
        <w:rPr>
          <w:lang w:val="en-GB"/>
        </w:rPr>
        <w:t>s are noticeably higher in the graph.</w:t>
      </w:r>
    </w:p>
    <w:p w14:paraId="11F09B7A" w14:textId="77777777" w:rsidR="00F51ED1" w:rsidRDefault="008F2586" w:rsidP="00F51ED1">
      <w:pPr>
        <w:keepNext/>
        <w:jc w:val="both"/>
      </w:pPr>
      <w:r w:rsidRPr="00EC1CE8">
        <w:rPr>
          <w:noProof/>
          <w:lang w:val="en-GB"/>
        </w:rPr>
        <w:drawing>
          <wp:inline distT="0" distB="0" distL="0" distR="0" wp14:anchorId="79630E59" wp14:editId="682A53A8">
            <wp:extent cx="5731510" cy="3360474"/>
            <wp:effectExtent l="0" t="0" r="2540" b="1143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E0F1965" w14:textId="68530376" w:rsidR="00810E26" w:rsidRPr="00EC1CE8" w:rsidRDefault="00F51ED1" w:rsidP="00F51ED1">
      <w:pPr>
        <w:pStyle w:val="Billedtekst"/>
        <w:jc w:val="both"/>
        <w:rPr>
          <w:lang w:val="en-GB"/>
        </w:rPr>
      </w:pPr>
      <w:r w:rsidRPr="00F51ED1">
        <w:rPr>
          <w:lang w:val="en-US"/>
        </w:rPr>
        <w:t xml:space="preserve">Figure </w:t>
      </w:r>
      <w:r>
        <w:fldChar w:fldCharType="begin"/>
      </w:r>
      <w:r w:rsidRPr="00F51ED1">
        <w:rPr>
          <w:lang w:val="en-US"/>
        </w:rPr>
        <w:instrText xml:space="preserve"> SEQ Figure \* ARABIC </w:instrText>
      </w:r>
      <w:r>
        <w:fldChar w:fldCharType="separate"/>
      </w:r>
      <w:r w:rsidR="002932C7">
        <w:rPr>
          <w:noProof/>
          <w:lang w:val="en-US"/>
        </w:rPr>
        <w:t>3</w:t>
      </w:r>
      <w:r>
        <w:fldChar w:fldCharType="end"/>
      </w:r>
      <w:r w:rsidRPr="00F51ED1">
        <w:rPr>
          <w:lang w:val="en-US"/>
        </w:rPr>
        <w:t>: Graph showing average accuracy as function of set size for all four (presence/masking) conditions</w:t>
      </w:r>
    </w:p>
    <w:p w14:paraId="6861A8C7" w14:textId="48AC18F7" w:rsidR="00E0311E" w:rsidRDefault="00C8523D" w:rsidP="00C8523D">
      <w:pPr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>A repeated measures ANOVA</w:t>
      </w:r>
      <w:r w:rsidR="00FE78D5">
        <w:rPr>
          <w:rFonts w:eastAsia="Calibri"/>
          <w:lang w:val="en-GB"/>
        </w:rPr>
        <w:t xml:space="preserve"> </w:t>
      </w:r>
      <w:r w:rsidR="00E0311E" w:rsidRPr="00EC1CE8">
        <w:rPr>
          <w:rFonts w:eastAsia="Calibri"/>
          <w:lang w:val="en-GB"/>
        </w:rPr>
        <w:t xml:space="preserve">showed significant main effects of set size, </w:t>
      </w:r>
      <w:r w:rsidR="00E0311E" w:rsidRPr="00EC1CE8">
        <w:rPr>
          <w:rFonts w:eastAsia="Calibri"/>
          <w:i/>
          <w:iCs/>
          <w:lang w:val="en-GB"/>
        </w:rPr>
        <w:t>F</w:t>
      </w:r>
      <w:r w:rsidR="00E0311E" w:rsidRPr="00EC1CE8">
        <w:rPr>
          <w:rFonts w:eastAsia="Calibri"/>
          <w:lang w:val="en-GB"/>
        </w:rPr>
        <w:t xml:space="preserve">(2, 386) = 17.04, </w:t>
      </w:r>
      <w:r w:rsidR="00E0311E" w:rsidRPr="00EC1CE8">
        <w:rPr>
          <w:rFonts w:eastAsia="Calibri"/>
          <w:i/>
          <w:iCs/>
          <w:lang w:val="en-GB"/>
        </w:rPr>
        <w:t>p</w:t>
      </w:r>
      <w:r w:rsidR="00E0311E" w:rsidRPr="00EC1CE8">
        <w:rPr>
          <w:rFonts w:eastAsia="Calibri"/>
          <w:lang w:val="en-GB"/>
        </w:rPr>
        <w:t xml:space="preserve"> &lt; .001,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E0311E" w:rsidRPr="00EC1CE8">
        <w:rPr>
          <w:rFonts w:eastAsia="Calibri"/>
          <w:lang w:val="en-GB"/>
        </w:rPr>
        <w:t xml:space="preserve"> = .08, masking, </w:t>
      </w:r>
      <w:r w:rsidR="00E0311E" w:rsidRPr="00EC1CE8">
        <w:rPr>
          <w:rFonts w:eastAsia="Calibri"/>
          <w:i/>
          <w:iCs/>
          <w:lang w:val="en-GB"/>
        </w:rPr>
        <w:t>F</w:t>
      </w:r>
      <w:r w:rsidR="00E0311E" w:rsidRPr="00EC1CE8">
        <w:rPr>
          <w:rFonts w:eastAsia="Calibri"/>
          <w:lang w:val="en-GB"/>
        </w:rPr>
        <w:t xml:space="preserve">(1, 193) = 9.25, </w:t>
      </w:r>
      <w:r w:rsidR="00E0311E" w:rsidRPr="00EC1CE8">
        <w:rPr>
          <w:rFonts w:eastAsia="Calibri"/>
          <w:i/>
          <w:iCs/>
          <w:lang w:val="en-GB"/>
        </w:rPr>
        <w:t>p</w:t>
      </w:r>
      <w:r w:rsidR="00E0311E" w:rsidRPr="00EC1CE8">
        <w:rPr>
          <w:rFonts w:eastAsia="Calibri"/>
          <w:lang w:val="en-GB"/>
        </w:rPr>
        <w:t xml:space="preserve"> = .003,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E0311E" w:rsidRPr="00EC1CE8">
        <w:rPr>
          <w:rFonts w:eastAsia="Calibri"/>
          <w:lang w:val="en-GB"/>
        </w:rPr>
        <w:t xml:space="preserve"> = .05, and </w:t>
      </w:r>
      <w:r w:rsidR="0045072D">
        <w:rPr>
          <w:rFonts w:eastAsia="Calibri"/>
          <w:lang w:val="en-GB"/>
        </w:rPr>
        <w:t>probe</w:t>
      </w:r>
      <w:r w:rsidR="00E0311E" w:rsidRPr="00EC1CE8">
        <w:rPr>
          <w:rFonts w:eastAsia="Calibri"/>
          <w:lang w:val="en-GB"/>
        </w:rPr>
        <w:t xml:space="preserve">, </w:t>
      </w:r>
      <w:r w:rsidR="00E0311E" w:rsidRPr="00EC1CE8">
        <w:rPr>
          <w:rFonts w:eastAsia="Calibri"/>
          <w:i/>
          <w:iCs/>
          <w:lang w:val="en-GB"/>
        </w:rPr>
        <w:t>F</w:t>
      </w:r>
      <w:r w:rsidR="00E0311E" w:rsidRPr="00EC1CE8">
        <w:rPr>
          <w:rFonts w:eastAsia="Calibri"/>
          <w:lang w:val="en-GB"/>
        </w:rPr>
        <w:t xml:space="preserve">(1, 193) = 118.64, </w:t>
      </w:r>
      <w:r w:rsidR="00E0311E" w:rsidRPr="00EC1CE8">
        <w:rPr>
          <w:rFonts w:eastAsia="Calibri"/>
          <w:i/>
          <w:iCs/>
          <w:lang w:val="en-GB"/>
        </w:rPr>
        <w:t>p</w:t>
      </w:r>
      <w:r w:rsidR="00E0311E" w:rsidRPr="00EC1CE8">
        <w:rPr>
          <w:rFonts w:eastAsia="Calibri"/>
          <w:lang w:val="en-GB"/>
        </w:rPr>
        <w:t xml:space="preserve"> &lt; .001,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E0311E" w:rsidRPr="00EC1CE8">
        <w:rPr>
          <w:rFonts w:eastAsia="Calibri"/>
          <w:lang w:val="en-GB"/>
        </w:rPr>
        <w:t xml:space="preserve"> = .38</w:t>
      </w:r>
      <w:r w:rsidR="00BD6795">
        <w:rPr>
          <w:rFonts w:eastAsia="Calibri"/>
          <w:lang w:val="en-GB"/>
        </w:rPr>
        <w:t xml:space="preserve">, </w:t>
      </w:r>
      <w:r w:rsidR="00E0311E" w:rsidRPr="00EC1CE8">
        <w:rPr>
          <w:rFonts w:eastAsia="Calibri"/>
          <w:lang w:val="en-GB"/>
        </w:rPr>
        <w:t xml:space="preserve">significant interactions between set size and masking, </w:t>
      </w:r>
      <w:r w:rsidR="00E0311E" w:rsidRPr="00EC1CE8">
        <w:rPr>
          <w:rFonts w:eastAsia="Calibri"/>
          <w:i/>
          <w:iCs/>
          <w:lang w:val="en-GB"/>
        </w:rPr>
        <w:t>F</w:t>
      </w:r>
      <w:r w:rsidR="00E0311E" w:rsidRPr="00EC1CE8">
        <w:rPr>
          <w:rFonts w:eastAsia="Calibri"/>
          <w:lang w:val="en-GB"/>
        </w:rPr>
        <w:t xml:space="preserve">(1.88, 363.26) = 6.64, </w:t>
      </w:r>
      <w:r w:rsidR="00E0311E" w:rsidRPr="00EC1CE8">
        <w:rPr>
          <w:rFonts w:eastAsia="Calibri"/>
          <w:i/>
          <w:iCs/>
          <w:lang w:val="en-GB"/>
        </w:rPr>
        <w:t>p</w:t>
      </w:r>
      <w:r w:rsidR="00E0311E" w:rsidRPr="00EC1CE8">
        <w:rPr>
          <w:rFonts w:eastAsia="Calibri"/>
          <w:lang w:val="en-GB"/>
        </w:rPr>
        <w:t xml:space="preserve"> = .002,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E0311E" w:rsidRPr="00EC1CE8">
        <w:rPr>
          <w:rFonts w:eastAsia="Calibri"/>
          <w:lang w:val="en-GB"/>
        </w:rPr>
        <w:t xml:space="preserve"> = .03 (Huyhn-Feldt corrected), between masking and </w:t>
      </w:r>
      <w:r w:rsidR="0045072D">
        <w:rPr>
          <w:rFonts w:eastAsia="Calibri"/>
          <w:lang w:val="en-GB"/>
        </w:rPr>
        <w:t>probe</w:t>
      </w:r>
      <w:r w:rsidR="00E0311E" w:rsidRPr="00EC1CE8">
        <w:rPr>
          <w:rFonts w:eastAsia="Calibri"/>
          <w:lang w:val="en-GB"/>
        </w:rPr>
        <w:t xml:space="preserve">, </w:t>
      </w:r>
      <w:r w:rsidR="00E0311E" w:rsidRPr="00EC1CE8">
        <w:rPr>
          <w:rFonts w:eastAsia="Calibri"/>
          <w:i/>
          <w:iCs/>
          <w:lang w:val="en-GB"/>
        </w:rPr>
        <w:t>F</w:t>
      </w:r>
      <w:r w:rsidR="00E0311E" w:rsidRPr="00EC1CE8">
        <w:rPr>
          <w:rFonts w:eastAsia="Calibri"/>
          <w:lang w:val="en-GB"/>
        </w:rPr>
        <w:t xml:space="preserve">(1, 193) = 44.80, </w:t>
      </w:r>
      <w:r w:rsidR="00E0311E" w:rsidRPr="00EC1CE8">
        <w:rPr>
          <w:rFonts w:eastAsia="Calibri"/>
          <w:i/>
          <w:iCs/>
          <w:lang w:val="en-GB"/>
        </w:rPr>
        <w:t>p</w:t>
      </w:r>
      <w:r w:rsidR="00E0311E" w:rsidRPr="00EC1CE8">
        <w:rPr>
          <w:rFonts w:eastAsia="Calibri"/>
          <w:lang w:val="en-GB"/>
        </w:rPr>
        <w:t xml:space="preserve"> &lt; .001,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E0311E" w:rsidRPr="00EC1CE8">
        <w:rPr>
          <w:rFonts w:eastAsia="Calibri"/>
          <w:lang w:val="en-GB"/>
        </w:rPr>
        <w:t xml:space="preserve"> = .19, </w:t>
      </w:r>
      <w:r w:rsidR="00E0311E" w:rsidRPr="00EC1CE8">
        <w:rPr>
          <w:rFonts w:eastAsia="Calibri"/>
          <w:lang w:val="en-GB"/>
        </w:rPr>
        <w:lastRenderedPageBreak/>
        <w:t xml:space="preserve">and between set size, masking, and </w:t>
      </w:r>
      <w:r w:rsidR="0045072D">
        <w:rPr>
          <w:rFonts w:eastAsia="Calibri"/>
          <w:lang w:val="en-GB"/>
        </w:rPr>
        <w:t>probe</w:t>
      </w:r>
      <w:r w:rsidR="00E0311E" w:rsidRPr="00EC1CE8">
        <w:rPr>
          <w:rFonts w:eastAsia="Calibri"/>
          <w:lang w:val="en-GB"/>
        </w:rPr>
        <w:t xml:space="preserve">, </w:t>
      </w:r>
      <w:r w:rsidR="00E0311E" w:rsidRPr="00EC1CE8">
        <w:rPr>
          <w:rFonts w:eastAsia="Calibri"/>
          <w:i/>
          <w:iCs/>
          <w:lang w:val="en-GB"/>
        </w:rPr>
        <w:t>F</w:t>
      </w:r>
      <w:r w:rsidR="00E0311E" w:rsidRPr="00EC1CE8">
        <w:rPr>
          <w:rFonts w:eastAsia="Calibri"/>
          <w:lang w:val="en-GB"/>
        </w:rPr>
        <w:t xml:space="preserve">(2, 386) = 7.27, </w:t>
      </w:r>
      <w:r w:rsidR="00E0311E" w:rsidRPr="00EC1CE8">
        <w:rPr>
          <w:rFonts w:eastAsia="Calibri"/>
          <w:i/>
          <w:iCs/>
          <w:lang w:val="en-GB"/>
        </w:rPr>
        <w:t>p</w:t>
      </w:r>
      <w:r w:rsidR="00E0311E" w:rsidRPr="00EC1CE8">
        <w:rPr>
          <w:rFonts w:eastAsia="Calibri"/>
          <w:lang w:val="en-GB"/>
        </w:rPr>
        <w:t xml:space="preserve"> </w:t>
      </w:r>
      <w:r w:rsidR="002118BF" w:rsidRPr="00EC1CE8">
        <w:rPr>
          <w:rFonts w:eastAsia="Calibri"/>
          <w:lang w:val="en-GB"/>
        </w:rPr>
        <w:t>&lt;</w:t>
      </w:r>
      <w:r w:rsidR="00E0311E" w:rsidRPr="00EC1CE8">
        <w:rPr>
          <w:rFonts w:eastAsia="Calibri"/>
          <w:lang w:val="en-GB"/>
        </w:rPr>
        <w:t xml:space="preserve"> .001,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E0311E" w:rsidRPr="00EC1CE8">
        <w:rPr>
          <w:rFonts w:eastAsia="Calibri"/>
          <w:lang w:val="en-GB"/>
        </w:rPr>
        <w:t xml:space="preserve"> = .04, but no significant interaction between set size and </w:t>
      </w:r>
      <w:r w:rsidR="0045072D">
        <w:rPr>
          <w:rFonts w:eastAsia="Calibri"/>
          <w:lang w:val="en-GB"/>
        </w:rPr>
        <w:t>probe</w:t>
      </w:r>
      <w:r w:rsidR="00E0311E" w:rsidRPr="00EC1CE8">
        <w:rPr>
          <w:rFonts w:eastAsia="Calibri"/>
          <w:lang w:val="en-GB"/>
        </w:rPr>
        <w:t xml:space="preserve">, </w:t>
      </w:r>
      <w:r w:rsidR="00E0311E" w:rsidRPr="00EC1CE8">
        <w:rPr>
          <w:rFonts w:eastAsia="Calibri"/>
          <w:i/>
          <w:iCs/>
          <w:lang w:val="en-GB"/>
        </w:rPr>
        <w:t>F</w:t>
      </w:r>
      <w:r w:rsidR="00E0311E" w:rsidRPr="00EC1CE8">
        <w:rPr>
          <w:rFonts w:eastAsia="Calibri"/>
          <w:lang w:val="en-GB"/>
        </w:rPr>
        <w:t xml:space="preserve">(2, 386) = 0.05, </w:t>
      </w:r>
      <w:r w:rsidR="00E0311E" w:rsidRPr="00EC1CE8">
        <w:rPr>
          <w:rFonts w:eastAsia="Calibri"/>
          <w:i/>
          <w:iCs/>
          <w:lang w:val="en-GB"/>
        </w:rPr>
        <w:t>p</w:t>
      </w:r>
      <w:r w:rsidR="00E0311E" w:rsidRPr="00EC1CE8">
        <w:rPr>
          <w:rFonts w:eastAsia="Calibri"/>
          <w:lang w:val="en-GB"/>
        </w:rPr>
        <w:t xml:space="preserve"> = .95, </w:t>
      </w:r>
      <m:oMath>
        <m:sSubSup>
          <m:sSubSupPr>
            <m:ctrlPr>
              <w:rPr>
                <w:rFonts w:ascii="Cambria Math" w:eastAsia="Calibri" w:hAnsi="Cambria Math"/>
                <w:i/>
                <w:lang w:val="en-GB"/>
              </w:rPr>
            </m:ctrlPr>
          </m:sSubSupPr>
          <m:e>
            <m:r>
              <w:rPr>
                <w:rFonts w:ascii="Cambria Math" w:eastAsia="Calibri" w:hAnsi="Cambria Math"/>
                <w:lang w:val="en-GB"/>
              </w:rPr>
              <m:t>η</m:t>
            </m:r>
          </m:e>
          <m:sub>
            <m:r>
              <w:rPr>
                <w:rFonts w:ascii="Cambria Math" w:eastAsia="Calibri" w:hAnsi="Cambria Math"/>
                <w:lang w:val="en-GB"/>
              </w:rPr>
              <m:t>p</m:t>
            </m:r>
          </m:sub>
          <m:sup>
            <m:r>
              <w:rPr>
                <w:rFonts w:ascii="Cambria Math" w:eastAsia="Calibri" w:hAnsi="Cambria Math"/>
                <w:lang w:val="en-GB"/>
              </w:rPr>
              <m:t>2</m:t>
            </m:r>
          </m:sup>
        </m:sSubSup>
      </m:oMath>
      <w:r w:rsidR="00E0311E" w:rsidRPr="00EC1CE8">
        <w:rPr>
          <w:rFonts w:eastAsia="Calibri"/>
          <w:lang w:val="en-GB"/>
        </w:rPr>
        <w:t xml:space="preserve"> = 0.00.</w:t>
      </w:r>
    </w:p>
    <w:p w14:paraId="76701EFE" w14:textId="28E9DCB0" w:rsidR="003C37F0" w:rsidRPr="00EF5D11" w:rsidRDefault="003C37F0" w:rsidP="00A13DB5">
      <w:pPr>
        <w:jc w:val="both"/>
        <w:rPr>
          <w:rFonts w:eastAsia="Calibri"/>
          <w:lang w:val="en-GB"/>
        </w:rPr>
      </w:pPr>
    </w:p>
    <w:p w14:paraId="2EC421CF" w14:textId="4D28FA80" w:rsidR="00A13DB5" w:rsidRDefault="0077551F" w:rsidP="00A13DB5">
      <w:pPr>
        <w:jc w:val="both"/>
        <w:rPr>
          <w:rFonts w:eastAsia="Calibri"/>
          <w:lang w:val="en-GB"/>
        </w:rPr>
      </w:pPr>
      <w:r w:rsidRPr="00EF5D11">
        <w:rPr>
          <w:rFonts w:eastAsia="Calibri"/>
          <w:lang w:val="en-GB"/>
        </w:rPr>
        <w:t xml:space="preserve">Set size, masking and </w:t>
      </w:r>
      <w:r w:rsidR="0045072D" w:rsidRPr="00EF5D11">
        <w:rPr>
          <w:rFonts w:eastAsia="Calibri"/>
          <w:lang w:val="en-GB"/>
        </w:rPr>
        <w:t>probe</w:t>
      </w:r>
      <w:r w:rsidR="003E3457" w:rsidRPr="00EF5D11">
        <w:rPr>
          <w:rFonts w:eastAsia="Calibri"/>
          <w:lang w:val="en-GB"/>
        </w:rPr>
        <w:t xml:space="preserve"> presence all influence </w:t>
      </w:r>
      <w:r w:rsidR="00A06EF3" w:rsidRPr="00EF5D11">
        <w:rPr>
          <w:rFonts w:eastAsia="Calibri"/>
          <w:lang w:val="en-GB"/>
        </w:rPr>
        <w:t>ACC.</w:t>
      </w:r>
      <w:r w:rsidR="000D438A" w:rsidRPr="00EF5D11">
        <w:rPr>
          <w:rFonts w:eastAsia="Calibri"/>
          <w:lang w:val="en-GB"/>
        </w:rPr>
        <w:t xml:space="preserve"> </w:t>
      </w:r>
      <w:r w:rsidR="00BF5082">
        <w:rPr>
          <w:rFonts w:eastAsia="Calibri"/>
          <w:lang w:val="en-GB"/>
        </w:rPr>
        <w:t xml:space="preserve">The observed higher ACC for absent </w:t>
      </w:r>
      <w:r w:rsidR="0045072D">
        <w:rPr>
          <w:rFonts w:eastAsia="Calibri"/>
          <w:lang w:val="en-GB"/>
        </w:rPr>
        <w:t>probe</w:t>
      </w:r>
      <w:r w:rsidR="00BF5082">
        <w:rPr>
          <w:rFonts w:eastAsia="Calibri"/>
          <w:lang w:val="en-GB"/>
        </w:rPr>
        <w:t xml:space="preserve">s </w:t>
      </w:r>
      <w:r w:rsidR="00BA0288">
        <w:rPr>
          <w:rFonts w:eastAsia="Calibri"/>
          <w:lang w:val="en-GB"/>
        </w:rPr>
        <w:t xml:space="preserve">proved significant. </w:t>
      </w:r>
      <w:r w:rsidR="00D0774E">
        <w:rPr>
          <w:rFonts w:eastAsia="Calibri"/>
          <w:lang w:val="en-GB"/>
        </w:rPr>
        <w:t>Set size</w:t>
      </w:r>
      <w:r w:rsidR="00632E57">
        <w:rPr>
          <w:rFonts w:eastAsia="Calibri"/>
          <w:lang w:val="en-GB"/>
        </w:rPr>
        <w:t xml:space="preserve">, however, influences </w:t>
      </w:r>
      <w:r w:rsidR="00D724AD">
        <w:rPr>
          <w:rFonts w:eastAsia="Calibri"/>
          <w:lang w:val="en-GB"/>
        </w:rPr>
        <w:t>ACC differently</w:t>
      </w:r>
      <w:r w:rsidR="00D0774E">
        <w:rPr>
          <w:rFonts w:eastAsia="Calibri"/>
          <w:lang w:val="en-GB"/>
        </w:rPr>
        <w:t xml:space="preserve"> depending on the masking condition. In Figure 3 this is particularly </w:t>
      </w:r>
      <w:r w:rsidR="00D04A98">
        <w:rPr>
          <w:rFonts w:eastAsia="Calibri"/>
          <w:lang w:val="en-GB"/>
        </w:rPr>
        <w:t xml:space="preserve">apparent in the difference </w:t>
      </w:r>
      <w:r w:rsidR="003415DD">
        <w:rPr>
          <w:rFonts w:eastAsia="Calibri"/>
          <w:lang w:val="en-GB"/>
        </w:rPr>
        <w:t>between the two lines representing the present condition</w:t>
      </w:r>
      <w:r w:rsidR="00F8528A">
        <w:rPr>
          <w:rFonts w:eastAsia="Calibri"/>
          <w:lang w:val="en-GB"/>
        </w:rPr>
        <w:t xml:space="preserve">, in which masking seems to be even more </w:t>
      </w:r>
      <w:r w:rsidR="00030B8C">
        <w:rPr>
          <w:rFonts w:eastAsia="Calibri"/>
          <w:lang w:val="en-GB"/>
        </w:rPr>
        <w:t>effective</w:t>
      </w:r>
      <w:r w:rsidR="00882E7C">
        <w:rPr>
          <w:rFonts w:eastAsia="Calibri"/>
          <w:lang w:val="en-GB"/>
        </w:rPr>
        <w:t xml:space="preserve"> in increasing difficulty</w:t>
      </w:r>
      <w:r w:rsidR="00030B8C">
        <w:rPr>
          <w:rFonts w:eastAsia="Calibri"/>
          <w:lang w:val="en-GB"/>
        </w:rPr>
        <w:t xml:space="preserve"> for greater set sizes.</w:t>
      </w:r>
    </w:p>
    <w:p w14:paraId="68DEECE0" w14:textId="46705AC8" w:rsidR="00B9109E" w:rsidRDefault="003E736A" w:rsidP="008822AF">
      <w:pPr>
        <w:ind w:firstLine="567"/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The influence of masking depends on </w:t>
      </w:r>
      <w:r w:rsidR="000402AC">
        <w:rPr>
          <w:rFonts w:eastAsia="Calibri"/>
          <w:lang w:val="en-GB"/>
        </w:rPr>
        <w:t>probe presence</w:t>
      </w:r>
      <w:r>
        <w:rPr>
          <w:rFonts w:eastAsia="Calibri"/>
          <w:lang w:val="en-GB"/>
        </w:rPr>
        <w:t>.</w:t>
      </w:r>
      <w:r w:rsidR="00312AD1">
        <w:rPr>
          <w:rFonts w:eastAsia="Calibri"/>
          <w:lang w:val="en-GB"/>
        </w:rPr>
        <w:t xml:space="preserve"> </w:t>
      </w:r>
      <w:r w:rsidR="006F28BC">
        <w:rPr>
          <w:rFonts w:eastAsia="Calibri"/>
          <w:lang w:val="en-GB"/>
        </w:rPr>
        <w:t>ACC</w:t>
      </w:r>
      <w:r w:rsidR="00312AD1">
        <w:rPr>
          <w:rFonts w:eastAsia="Calibri"/>
          <w:lang w:val="en-GB"/>
        </w:rPr>
        <w:t xml:space="preserve"> </w:t>
      </w:r>
      <w:r w:rsidR="002B4BCB">
        <w:rPr>
          <w:rFonts w:eastAsia="Calibri"/>
          <w:lang w:val="en-GB"/>
        </w:rPr>
        <w:t xml:space="preserve">for absent probes </w:t>
      </w:r>
      <w:r w:rsidR="00312AD1">
        <w:rPr>
          <w:rFonts w:eastAsia="Calibri"/>
          <w:lang w:val="en-GB"/>
        </w:rPr>
        <w:t xml:space="preserve">is highest </w:t>
      </w:r>
      <w:r w:rsidR="00FD6E62">
        <w:rPr>
          <w:rFonts w:eastAsia="Calibri"/>
          <w:lang w:val="en-GB"/>
        </w:rPr>
        <w:t>when they are masked</w:t>
      </w:r>
      <w:r w:rsidR="000344E3">
        <w:rPr>
          <w:rFonts w:eastAsia="Calibri"/>
          <w:lang w:val="en-GB"/>
        </w:rPr>
        <w:t xml:space="preserve">, while </w:t>
      </w:r>
      <w:r w:rsidR="00442AC0">
        <w:rPr>
          <w:rFonts w:eastAsia="Calibri"/>
          <w:lang w:val="en-GB"/>
        </w:rPr>
        <w:t xml:space="preserve">present </w:t>
      </w:r>
      <w:r w:rsidR="0045072D">
        <w:rPr>
          <w:rFonts w:eastAsia="Calibri"/>
          <w:lang w:val="en-GB"/>
        </w:rPr>
        <w:t>probe</w:t>
      </w:r>
      <w:r w:rsidR="00442AC0">
        <w:rPr>
          <w:rFonts w:eastAsia="Calibri"/>
          <w:lang w:val="en-GB"/>
        </w:rPr>
        <w:t>s</w:t>
      </w:r>
      <w:r w:rsidR="00F43724">
        <w:rPr>
          <w:rFonts w:eastAsia="Calibri"/>
          <w:lang w:val="en-GB"/>
        </w:rPr>
        <w:t xml:space="preserve"> </w:t>
      </w:r>
      <w:r w:rsidR="00CD19AD">
        <w:rPr>
          <w:rFonts w:eastAsia="Calibri"/>
          <w:lang w:val="en-GB"/>
        </w:rPr>
        <w:t>generate</w:t>
      </w:r>
      <w:r w:rsidR="00706B0C">
        <w:rPr>
          <w:rFonts w:eastAsia="Calibri"/>
          <w:lang w:val="en-GB"/>
        </w:rPr>
        <w:t xml:space="preserve"> more accurate responses </w:t>
      </w:r>
      <w:r w:rsidR="00CD19AD">
        <w:rPr>
          <w:rFonts w:eastAsia="Calibri"/>
          <w:lang w:val="en-GB"/>
        </w:rPr>
        <w:t>when unmasked</w:t>
      </w:r>
      <w:r w:rsidR="00436C64">
        <w:rPr>
          <w:rFonts w:eastAsia="Calibri"/>
          <w:lang w:val="en-GB"/>
        </w:rPr>
        <w:t xml:space="preserve"> (Figure 3).</w:t>
      </w:r>
    </w:p>
    <w:p w14:paraId="21CA4910" w14:textId="5F462F23" w:rsidR="00E0311E" w:rsidRPr="00EC1CE8" w:rsidRDefault="00A67400" w:rsidP="00190459">
      <w:pPr>
        <w:pStyle w:val="Overskrift2"/>
        <w:rPr>
          <w:lang w:val="en-GB"/>
        </w:rPr>
      </w:pPr>
      <w:bookmarkStart w:id="7" w:name="_Toc24299553"/>
      <w:r>
        <w:rPr>
          <w:lang w:val="en-GB"/>
        </w:rPr>
        <w:t>S</w:t>
      </w:r>
      <w:r w:rsidR="00360E27">
        <w:rPr>
          <w:lang w:val="en-GB"/>
        </w:rPr>
        <w:t>peed</w:t>
      </w:r>
      <w:r w:rsidR="00DC0394">
        <w:rPr>
          <w:lang w:val="en-GB"/>
        </w:rPr>
        <w:t>/</w:t>
      </w:r>
      <w:r w:rsidR="00360E27">
        <w:rPr>
          <w:lang w:val="en-GB"/>
        </w:rPr>
        <w:t>accuracy trade-off</w:t>
      </w:r>
      <w:bookmarkEnd w:id="7"/>
    </w:p>
    <w:p w14:paraId="0AEE995F" w14:textId="0A81BB3C" w:rsidR="00BA4DEC" w:rsidRDefault="00632B5E" w:rsidP="00362662">
      <w:pPr>
        <w:jc w:val="both"/>
        <w:rPr>
          <w:rFonts w:eastAsia="Calibri"/>
          <w:lang w:val="en-GB"/>
        </w:rPr>
      </w:pPr>
      <w:r>
        <w:rPr>
          <w:lang w:val="en-GB"/>
        </w:rPr>
        <w:t xml:space="preserve">To test for a speed/accuracy trade-off a </w:t>
      </w:r>
      <w:r w:rsidR="00EE2F2A" w:rsidRPr="00EC1CE8">
        <w:rPr>
          <w:rFonts w:eastAsia="Calibri"/>
          <w:lang w:val="en-GB"/>
        </w:rPr>
        <w:t>Pearson’s correlation</w:t>
      </w:r>
      <w:r w:rsidR="00BA4DEC">
        <w:rPr>
          <w:rFonts w:eastAsia="Calibri"/>
          <w:lang w:val="en-GB"/>
        </w:rPr>
        <w:t xml:space="preserve"> test</w:t>
      </w:r>
      <w:r w:rsidR="00EE2F2A" w:rsidRPr="00EC1CE8">
        <w:rPr>
          <w:rFonts w:eastAsia="Calibri"/>
          <w:lang w:val="en-GB"/>
        </w:rPr>
        <w:t xml:space="preserve"> (two-tailed) </w:t>
      </w:r>
      <w:r w:rsidR="00BA4DEC">
        <w:rPr>
          <w:rFonts w:eastAsia="Calibri"/>
          <w:lang w:val="en-GB"/>
        </w:rPr>
        <w:t>was run</w:t>
      </w:r>
      <w:r w:rsidR="00E71629">
        <w:rPr>
          <w:rFonts w:eastAsia="Calibri"/>
          <w:lang w:val="en-GB"/>
        </w:rPr>
        <w:t xml:space="preserve"> using </w:t>
      </w:r>
      <w:r w:rsidR="00635AE4">
        <w:rPr>
          <w:rFonts w:eastAsia="Calibri"/>
          <w:lang w:val="en-GB"/>
        </w:rPr>
        <w:t xml:space="preserve">RT and ACC for </w:t>
      </w:r>
      <w:r w:rsidR="00AD34AA">
        <w:rPr>
          <w:rFonts w:eastAsia="Calibri"/>
          <w:lang w:val="en-GB"/>
        </w:rPr>
        <w:t xml:space="preserve">memory sets of </w:t>
      </w:r>
      <w:r w:rsidR="00951EBB">
        <w:rPr>
          <w:rFonts w:eastAsia="Calibri"/>
          <w:lang w:val="en-GB"/>
        </w:rPr>
        <w:t>five</w:t>
      </w:r>
      <w:r w:rsidR="00AD34AA">
        <w:rPr>
          <w:rFonts w:eastAsia="Calibri"/>
          <w:lang w:val="en-GB"/>
        </w:rPr>
        <w:t xml:space="preserve"> with a masked </w:t>
      </w:r>
      <w:r w:rsidR="0045072D">
        <w:rPr>
          <w:rFonts w:eastAsia="Calibri"/>
          <w:lang w:val="en-GB"/>
        </w:rPr>
        <w:t>probe</w:t>
      </w:r>
      <w:r w:rsidR="00BA4DEC">
        <w:rPr>
          <w:rFonts w:eastAsia="Calibri"/>
          <w:lang w:val="en-GB"/>
        </w:rPr>
        <w:t>.</w:t>
      </w:r>
    </w:p>
    <w:p w14:paraId="7B396188" w14:textId="7D39461D" w:rsidR="00BD2FC9" w:rsidRPr="00655525" w:rsidRDefault="00E71629" w:rsidP="008822AF">
      <w:pPr>
        <w:ind w:firstLine="567"/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It </w:t>
      </w:r>
      <w:r w:rsidR="00EE2F2A" w:rsidRPr="00EC1CE8">
        <w:rPr>
          <w:rFonts w:eastAsia="Calibri"/>
          <w:lang w:val="en-GB"/>
        </w:rPr>
        <w:t>showed no significant correlations between</w:t>
      </w:r>
      <w:r w:rsidR="001B3F44">
        <w:rPr>
          <w:rFonts w:eastAsia="Calibri"/>
          <w:lang w:val="en-GB"/>
        </w:rPr>
        <w:t xml:space="preserve"> RT and ACC for masked</w:t>
      </w:r>
      <w:r w:rsidR="00AF6716">
        <w:rPr>
          <w:rFonts w:eastAsia="Calibri"/>
          <w:lang w:val="en-GB"/>
        </w:rPr>
        <w:t>, present</w:t>
      </w:r>
      <w:r w:rsidR="00A03CAB">
        <w:rPr>
          <w:rFonts w:eastAsia="Calibri"/>
          <w:lang w:val="en-GB"/>
        </w:rPr>
        <w:t xml:space="preserve"> </w:t>
      </w:r>
      <w:r w:rsidR="0045072D">
        <w:rPr>
          <w:rFonts w:eastAsia="Calibri"/>
          <w:lang w:val="en-GB"/>
        </w:rPr>
        <w:t>probe</w:t>
      </w:r>
      <w:r w:rsidR="00A03CAB">
        <w:rPr>
          <w:rFonts w:eastAsia="Calibri"/>
          <w:lang w:val="en-GB"/>
        </w:rPr>
        <w:t>s</w:t>
      </w:r>
      <w:r w:rsidR="00EE2F2A" w:rsidRPr="00EC1CE8">
        <w:rPr>
          <w:rFonts w:eastAsia="Calibri"/>
          <w:lang w:val="en-GB"/>
        </w:rPr>
        <w:t>,</w:t>
      </w:r>
      <w:r w:rsidR="004D0080">
        <w:rPr>
          <w:rFonts w:eastAsia="Calibri"/>
          <w:lang w:val="en-GB"/>
        </w:rPr>
        <w:t xml:space="preserve"> </w:t>
      </w:r>
      <w:r w:rsidR="00EE2F2A" w:rsidRPr="00EC1CE8">
        <w:rPr>
          <w:rFonts w:eastAsia="Calibri"/>
          <w:i/>
          <w:iCs/>
          <w:lang w:val="en-GB"/>
        </w:rPr>
        <w:t>r</w:t>
      </w:r>
      <w:r w:rsidR="00EE2F2A" w:rsidRPr="00EC1CE8">
        <w:rPr>
          <w:rFonts w:eastAsia="Calibri"/>
          <w:lang w:val="en-GB"/>
        </w:rPr>
        <w:t xml:space="preserve">(192) = .12, </w:t>
      </w:r>
      <w:r w:rsidR="00EE2F2A" w:rsidRPr="00EC1CE8">
        <w:rPr>
          <w:rFonts w:eastAsia="Calibri"/>
          <w:i/>
          <w:iCs/>
          <w:lang w:val="en-GB"/>
        </w:rPr>
        <w:t xml:space="preserve">p </w:t>
      </w:r>
      <w:r w:rsidR="00EE2F2A" w:rsidRPr="00EC1CE8">
        <w:rPr>
          <w:rFonts w:eastAsia="Calibri"/>
          <w:lang w:val="en-GB"/>
        </w:rPr>
        <w:t xml:space="preserve">= .09, </w:t>
      </w:r>
      <w:r w:rsidR="00AF6716">
        <w:rPr>
          <w:rFonts w:eastAsia="Calibri"/>
          <w:lang w:val="en-GB"/>
        </w:rPr>
        <w:t xml:space="preserve">RT and ACC for masked, </w:t>
      </w:r>
      <w:r w:rsidR="00317509">
        <w:rPr>
          <w:rFonts w:eastAsia="Calibri"/>
          <w:lang w:val="en-GB"/>
        </w:rPr>
        <w:t xml:space="preserve">absent </w:t>
      </w:r>
      <w:r w:rsidR="0045072D">
        <w:rPr>
          <w:rFonts w:eastAsia="Calibri"/>
          <w:lang w:val="en-GB"/>
        </w:rPr>
        <w:t>probe</w:t>
      </w:r>
      <w:r w:rsidR="00317509">
        <w:rPr>
          <w:rFonts w:eastAsia="Calibri"/>
          <w:lang w:val="en-GB"/>
        </w:rPr>
        <w:t>s</w:t>
      </w:r>
      <w:r w:rsidR="00EE2F2A" w:rsidRPr="00EC1CE8">
        <w:rPr>
          <w:rFonts w:eastAsia="Calibri"/>
          <w:lang w:val="en-GB"/>
        </w:rPr>
        <w:t xml:space="preserve">, </w:t>
      </w:r>
      <w:r w:rsidR="00EE2F2A" w:rsidRPr="00EC1CE8">
        <w:rPr>
          <w:rFonts w:eastAsia="Calibri"/>
          <w:i/>
          <w:iCs/>
          <w:lang w:val="en-GB"/>
        </w:rPr>
        <w:t>r</w:t>
      </w:r>
      <w:r w:rsidR="00EE2F2A" w:rsidRPr="00EC1CE8">
        <w:rPr>
          <w:rFonts w:eastAsia="Calibri"/>
          <w:lang w:val="en-GB"/>
        </w:rPr>
        <w:t xml:space="preserve">(192) = .08, </w:t>
      </w:r>
      <w:r w:rsidR="00EE2F2A" w:rsidRPr="00EC1CE8">
        <w:rPr>
          <w:rFonts w:eastAsia="Calibri"/>
          <w:i/>
          <w:iCs/>
          <w:lang w:val="en-GB"/>
        </w:rPr>
        <w:t>p</w:t>
      </w:r>
      <w:r w:rsidR="00EE2F2A" w:rsidRPr="00EC1CE8">
        <w:rPr>
          <w:rFonts w:eastAsia="Calibri"/>
          <w:lang w:val="en-GB"/>
        </w:rPr>
        <w:t xml:space="preserve"> = .28, </w:t>
      </w:r>
      <w:r w:rsidR="00EC7FAA">
        <w:rPr>
          <w:rFonts w:eastAsia="Calibri"/>
          <w:lang w:val="en-GB"/>
        </w:rPr>
        <w:t xml:space="preserve">RT and ACC for </w:t>
      </w:r>
      <w:r w:rsidR="0012106B">
        <w:rPr>
          <w:rFonts w:eastAsia="Calibri"/>
          <w:lang w:val="en-GB"/>
        </w:rPr>
        <w:t xml:space="preserve">unmasked, present </w:t>
      </w:r>
      <w:r w:rsidR="0045072D">
        <w:rPr>
          <w:rFonts w:eastAsia="Calibri"/>
          <w:lang w:val="en-GB"/>
        </w:rPr>
        <w:t>probe</w:t>
      </w:r>
      <w:r w:rsidR="0012106B">
        <w:rPr>
          <w:rFonts w:eastAsia="Calibri"/>
          <w:lang w:val="en-GB"/>
        </w:rPr>
        <w:t>s</w:t>
      </w:r>
      <w:r w:rsidR="00EE2F2A" w:rsidRPr="00EC1CE8">
        <w:rPr>
          <w:rFonts w:eastAsia="Calibri"/>
          <w:lang w:val="en-GB"/>
        </w:rPr>
        <w:t xml:space="preserve">, </w:t>
      </w:r>
      <w:r w:rsidR="00EE2F2A" w:rsidRPr="00EC1CE8">
        <w:rPr>
          <w:rFonts w:eastAsia="Calibri"/>
          <w:i/>
          <w:iCs/>
          <w:lang w:val="en-GB"/>
        </w:rPr>
        <w:t>r</w:t>
      </w:r>
      <w:r w:rsidR="00EE2F2A" w:rsidRPr="00EC1CE8">
        <w:rPr>
          <w:rFonts w:eastAsia="Calibri"/>
          <w:lang w:val="en-GB"/>
        </w:rPr>
        <w:t xml:space="preserve">(192) = .10, </w:t>
      </w:r>
      <w:r w:rsidR="00EE2F2A" w:rsidRPr="00EC1CE8">
        <w:rPr>
          <w:rFonts w:eastAsia="Calibri"/>
          <w:i/>
          <w:iCs/>
          <w:lang w:val="en-GB"/>
        </w:rPr>
        <w:t>p</w:t>
      </w:r>
      <w:r w:rsidR="00EE2F2A" w:rsidRPr="00EC1CE8">
        <w:rPr>
          <w:rFonts w:eastAsia="Calibri"/>
          <w:lang w:val="en-GB"/>
        </w:rPr>
        <w:t xml:space="preserve"> = .18, or between</w:t>
      </w:r>
      <w:r w:rsidR="005B69C7">
        <w:rPr>
          <w:rFonts w:eastAsia="Calibri"/>
          <w:lang w:val="en-GB"/>
        </w:rPr>
        <w:t xml:space="preserve"> RT and ACC for unmasked, </w:t>
      </w:r>
      <w:r w:rsidR="00677400">
        <w:rPr>
          <w:rFonts w:eastAsia="Calibri"/>
          <w:lang w:val="en-GB"/>
        </w:rPr>
        <w:t xml:space="preserve">absent </w:t>
      </w:r>
      <w:r w:rsidR="0045072D">
        <w:rPr>
          <w:rFonts w:eastAsia="Calibri"/>
          <w:lang w:val="en-GB"/>
        </w:rPr>
        <w:t>probe</w:t>
      </w:r>
      <w:r w:rsidR="00677400">
        <w:rPr>
          <w:rFonts w:eastAsia="Calibri"/>
          <w:lang w:val="en-GB"/>
        </w:rPr>
        <w:t>s</w:t>
      </w:r>
      <w:r w:rsidR="00EE2F2A" w:rsidRPr="00EC1CE8">
        <w:rPr>
          <w:rFonts w:eastAsia="Calibri"/>
          <w:lang w:val="en-GB"/>
        </w:rPr>
        <w:t xml:space="preserve">, </w:t>
      </w:r>
      <w:r w:rsidR="00EE2F2A" w:rsidRPr="00EC1CE8">
        <w:rPr>
          <w:rFonts w:eastAsia="Calibri"/>
          <w:i/>
          <w:iCs/>
          <w:lang w:val="en-GB"/>
        </w:rPr>
        <w:t>r</w:t>
      </w:r>
      <w:r w:rsidR="00EE2F2A" w:rsidRPr="00EC1CE8">
        <w:rPr>
          <w:rFonts w:eastAsia="Calibri"/>
          <w:lang w:val="en-GB"/>
        </w:rPr>
        <w:t xml:space="preserve">(192) = .01, </w:t>
      </w:r>
      <w:r w:rsidR="00EE2F2A" w:rsidRPr="00EC1CE8">
        <w:rPr>
          <w:rFonts w:eastAsia="Calibri"/>
          <w:i/>
          <w:iCs/>
          <w:lang w:val="en-GB"/>
        </w:rPr>
        <w:t>p</w:t>
      </w:r>
      <w:r w:rsidR="00EE2F2A" w:rsidRPr="00EC1CE8">
        <w:rPr>
          <w:rFonts w:eastAsia="Calibri"/>
          <w:lang w:val="en-GB"/>
        </w:rPr>
        <w:t xml:space="preserve"> = .95</w:t>
      </w:r>
      <w:r w:rsidR="002D3764">
        <w:rPr>
          <w:rFonts w:eastAsia="Calibri"/>
          <w:lang w:val="en-GB"/>
        </w:rPr>
        <w:t xml:space="preserve"> indicating that there </w:t>
      </w:r>
      <w:r w:rsidR="00677400">
        <w:rPr>
          <w:rFonts w:eastAsia="Calibri"/>
          <w:lang w:val="en-GB"/>
        </w:rPr>
        <w:t>was no</w:t>
      </w:r>
      <w:r w:rsidR="002D3764">
        <w:rPr>
          <w:rFonts w:eastAsia="Calibri"/>
          <w:lang w:val="en-GB"/>
        </w:rPr>
        <w:t xml:space="preserve"> speed/accuracy trade-off for </w:t>
      </w:r>
      <w:r w:rsidR="00951EBB">
        <w:rPr>
          <w:rFonts w:eastAsia="Calibri"/>
          <w:lang w:val="en-GB"/>
        </w:rPr>
        <w:t>memory sets of five.</w:t>
      </w:r>
    </w:p>
    <w:p w14:paraId="4B252403" w14:textId="0CCE13BA" w:rsidR="00655525" w:rsidRDefault="00BD7E51" w:rsidP="00655525">
      <w:pPr>
        <w:pStyle w:val="Overskrift2"/>
        <w:rPr>
          <w:lang w:val="en-GB"/>
        </w:rPr>
      </w:pPr>
      <w:r>
        <w:rPr>
          <w:lang w:val="en-GB"/>
        </w:rPr>
        <w:t>Overstating conclusions</w:t>
      </w:r>
    </w:p>
    <w:p w14:paraId="10B6747A" w14:textId="5328122F" w:rsidR="00AC7DC7" w:rsidRDefault="00D1053D" w:rsidP="00451385">
      <w:pPr>
        <w:jc w:val="both"/>
        <w:rPr>
          <w:lang w:val="en-GB"/>
        </w:rPr>
      </w:pPr>
      <w:r>
        <w:rPr>
          <w:lang w:val="en-GB"/>
        </w:rPr>
        <w:t>In t</w:t>
      </w:r>
      <w:r w:rsidR="008C4D55">
        <w:rPr>
          <w:lang w:val="en-GB"/>
        </w:rPr>
        <w:t>he plots for FP19201</w:t>
      </w:r>
      <w:r w:rsidR="002932C7">
        <w:rPr>
          <w:lang w:val="en-GB"/>
        </w:rPr>
        <w:t xml:space="preserve"> (Figure 4, 5)</w:t>
      </w:r>
      <w:r w:rsidR="00AD638A">
        <w:rPr>
          <w:lang w:val="en-GB"/>
        </w:rPr>
        <w:t xml:space="preserve"> </w:t>
      </w:r>
      <w:r w:rsidR="005453C6">
        <w:rPr>
          <w:lang w:val="en-GB"/>
        </w:rPr>
        <w:t xml:space="preserve">the </w:t>
      </w:r>
      <w:r w:rsidR="00FC5DB8">
        <w:rPr>
          <w:lang w:val="en-GB"/>
        </w:rPr>
        <w:t xml:space="preserve">RT </w:t>
      </w:r>
      <w:r w:rsidR="005453C6">
        <w:rPr>
          <w:lang w:val="en-GB"/>
        </w:rPr>
        <w:t>lines of the grap</w:t>
      </w:r>
      <w:r w:rsidR="005722A4">
        <w:rPr>
          <w:lang w:val="en-GB"/>
        </w:rPr>
        <w:t>hs order themselves similarly</w:t>
      </w:r>
      <w:r>
        <w:rPr>
          <w:lang w:val="en-GB"/>
        </w:rPr>
        <w:t xml:space="preserve"> to the average</w:t>
      </w:r>
      <w:r w:rsidR="005722A4">
        <w:rPr>
          <w:lang w:val="en-GB"/>
        </w:rPr>
        <w:t xml:space="preserve">. For </w:t>
      </w:r>
      <w:r w:rsidR="007B1DD2">
        <w:rPr>
          <w:lang w:val="en-GB"/>
        </w:rPr>
        <w:t>ACC</w:t>
      </w:r>
      <w:r w:rsidR="005722A4">
        <w:rPr>
          <w:lang w:val="en-GB"/>
        </w:rPr>
        <w:t xml:space="preserve">, comparison is more difficult, as </w:t>
      </w:r>
      <w:r w:rsidR="00B712BA">
        <w:rPr>
          <w:lang w:val="en-GB"/>
        </w:rPr>
        <w:t xml:space="preserve">only 90 and 100 % accuracies </w:t>
      </w:r>
      <w:r w:rsidR="00482D8F">
        <w:rPr>
          <w:lang w:val="en-GB"/>
        </w:rPr>
        <w:t xml:space="preserve">have been </w:t>
      </w:r>
      <w:r w:rsidR="00B679D9">
        <w:rPr>
          <w:lang w:val="en-GB"/>
        </w:rPr>
        <w:t>registered</w:t>
      </w:r>
      <w:r w:rsidR="00482D8F">
        <w:rPr>
          <w:lang w:val="en-GB"/>
        </w:rPr>
        <w:t xml:space="preserve"> during the trials</w:t>
      </w:r>
      <w:r w:rsidR="00B679D9">
        <w:rPr>
          <w:lang w:val="en-GB"/>
        </w:rPr>
        <w:t xml:space="preserve"> for this participant</w:t>
      </w:r>
      <w:r w:rsidR="006A63DD">
        <w:rPr>
          <w:lang w:val="en-GB"/>
        </w:rPr>
        <w:t xml:space="preserve">. </w:t>
      </w:r>
      <w:r w:rsidR="006A63DD" w:rsidRPr="007B1DD2">
        <w:rPr>
          <w:lang w:val="en-GB"/>
        </w:rPr>
        <w:t>Both plots</w:t>
      </w:r>
      <w:r w:rsidR="008C7577" w:rsidRPr="007B1DD2">
        <w:rPr>
          <w:lang w:val="en-GB"/>
        </w:rPr>
        <w:t>, however, point to the fact that</w:t>
      </w:r>
      <w:r w:rsidR="00A602B7" w:rsidRPr="007B1DD2">
        <w:rPr>
          <w:lang w:val="en-GB"/>
        </w:rPr>
        <w:t xml:space="preserve"> broad </w:t>
      </w:r>
      <w:r w:rsidR="00494E0B" w:rsidRPr="007B1DD2">
        <w:rPr>
          <w:lang w:val="en-GB"/>
        </w:rPr>
        <w:t>conclusions may easily be overstated</w:t>
      </w:r>
      <w:r w:rsidR="006A63DD" w:rsidRPr="007B1DD2">
        <w:rPr>
          <w:lang w:val="en-GB"/>
        </w:rPr>
        <w:t xml:space="preserve"> </w:t>
      </w:r>
      <w:r w:rsidR="0026625E" w:rsidRPr="007B1DD2">
        <w:rPr>
          <w:lang w:val="en-GB"/>
        </w:rPr>
        <w:t xml:space="preserve">as only the graphs for the </w:t>
      </w:r>
      <w:r w:rsidR="009A09C7" w:rsidRPr="007B1DD2">
        <w:rPr>
          <w:lang w:val="en-GB"/>
        </w:rPr>
        <w:t>entire sample show such clear tendencies.</w:t>
      </w:r>
    </w:p>
    <w:p w14:paraId="1EFA22F3" w14:textId="77777777" w:rsidR="002932C7" w:rsidRDefault="00616ACE" w:rsidP="002932C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5969528" wp14:editId="2B016FCF">
            <wp:extent cx="6120130" cy="5716905"/>
            <wp:effectExtent l="0" t="0" r="13970" b="17145"/>
            <wp:docPr id="6" name="Diagram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12DF9E" w14:textId="4CCDB07A" w:rsidR="00CC1E42" w:rsidRDefault="002932C7" w:rsidP="002932C7">
      <w:pPr>
        <w:pStyle w:val="Billedtekst"/>
        <w:jc w:val="both"/>
        <w:rPr>
          <w:lang w:val="en-GB"/>
        </w:rPr>
      </w:pPr>
      <w:proofErr w:type="spellStart"/>
      <w:r>
        <w:t>Figure</w:t>
      </w:r>
      <w:proofErr w:type="spellEnd"/>
      <w:r>
        <w:t xml:space="preserve"> </w:t>
      </w:r>
      <w:r w:rsidR="007C1055">
        <w:fldChar w:fldCharType="begin"/>
      </w:r>
      <w:r w:rsidR="007C1055">
        <w:instrText xml:space="preserve"> SEQ Figure \* ARABIC </w:instrText>
      </w:r>
      <w:r w:rsidR="007C1055">
        <w:fldChar w:fldCharType="separate"/>
      </w:r>
      <w:r>
        <w:rPr>
          <w:noProof/>
        </w:rPr>
        <w:t>4</w:t>
      </w:r>
      <w:r w:rsidR="007C1055">
        <w:rPr>
          <w:noProof/>
        </w:rPr>
        <w:fldChar w:fldCharType="end"/>
      </w:r>
      <w:r>
        <w:t>: RT for FP19201</w:t>
      </w:r>
    </w:p>
    <w:p w14:paraId="1F257B35" w14:textId="77777777" w:rsidR="002932C7" w:rsidRDefault="00D17ED0" w:rsidP="002932C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8241114" wp14:editId="4E4EF3AA">
            <wp:extent cx="6120130" cy="5882005"/>
            <wp:effectExtent l="0" t="0" r="13970" b="4445"/>
            <wp:docPr id="9" name="Diagram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AC66E1B" w14:textId="514DAE20" w:rsidR="00D17ED0" w:rsidRDefault="002932C7" w:rsidP="002932C7">
      <w:pPr>
        <w:pStyle w:val="Billedtekst"/>
        <w:jc w:val="both"/>
        <w:rPr>
          <w:lang w:val="en-GB"/>
        </w:rPr>
      </w:pPr>
      <w:r w:rsidRPr="0032717C">
        <w:rPr>
          <w:lang w:val="en-US"/>
        </w:rPr>
        <w:t xml:space="preserve">Figure </w:t>
      </w:r>
      <w:r w:rsidR="007C1055">
        <w:fldChar w:fldCharType="begin"/>
      </w:r>
      <w:r w:rsidR="007C1055" w:rsidRPr="0032717C">
        <w:rPr>
          <w:lang w:val="en-US"/>
        </w:rPr>
        <w:instrText xml:space="preserve"> SEQ Figure \* ARABIC </w:instrText>
      </w:r>
      <w:r w:rsidR="007C1055">
        <w:fldChar w:fldCharType="separate"/>
      </w:r>
      <w:r w:rsidRPr="0032717C">
        <w:rPr>
          <w:noProof/>
          <w:lang w:val="en-US"/>
        </w:rPr>
        <w:t>5</w:t>
      </w:r>
      <w:r w:rsidR="007C1055">
        <w:rPr>
          <w:noProof/>
        </w:rPr>
        <w:fldChar w:fldCharType="end"/>
      </w:r>
      <w:r w:rsidRPr="0032717C">
        <w:rPr>
          <w:lang w:val="en-US"/>
        </w:rPr>
        <w:t>: ACC for FP19201</w:t>
      </w:r>
    </w:p>
    <w:p w14:paraId="4C799B10" w14:textId="77777777" w:rsidR="006F6569" w:rsidRPr="00CC1E42" w:rsidRDefault="006F6569" w:rsidP="00451385">
      <w:pPr>
        <w:jc w:val="both"/>
        <w:rPr>
          <w:lang w:val="en-GB"/>
        </w:rPr>
      </w:pPr>
    </w:p>
    <w:p w14:paraId="71E81079" w14:textId="20169125" w:rsidR="00734925" w:rsidRPr="005913CF" w:rsidRDefault="00734925" w:rsidP="00362662">
      <w:pPr>
        <w:pStyle w:val="Overskrift1"/>
        <w:jc w:val="both"/>
        <w:rPr>
          <w:lang w:val="en-GB"/>
        </w:rPr>
      </w:pPr>
      <w:bookmarkStart w:id="8" w:name="_Toc24299555"/>
      <w:r w:rsidRPr="005913CF">
        <w:rPr>
          <w:lang w:val="en-GB"/>
        </w:rPr>
        <w:t>Conclusion</w:t>
      </w:r>
      <w:bookmarkEnd w:id="8"/>
    </w:p>
    <w:p w14:paraId="527390DB" w14:textId="3CE1C0A0" w:rsidR="00253DE0" w:rsidRPr="005913CF" w:rsidRDefault="0045072D" w:rsidP="00C92E52">
      <w:pPr>
        <w:jc w:val="both"/>
        <w:rPr>
          <w:rFonts w:ascii="Arial" w:hAnsi="Arial" w:cs="Arial"/>
          <w:b/>
          <w:bCs/>
          <w:color w:val="000000"/>
          <w:sz w:val="36"/>
          <w:lang w:val="en-GB"/>
        </w:rPr>
      </w:pPr>
      <w:r>
        <w:rPr>
          <w:lang w:val="en-GB"/>
        </w:rPr>
        <w:t xml:space="preserve">This paper found evidence that participants performed a serial, exhaustive search </w:t>
      </w:r>
      <w:r w:rsidR="00302CE3">
        <w:rPr>
          <w:lang w:val="en-GB"/>
        </w:rPr>
        <w:t>E</w:t>
      </w:r>
      <w:r>
        <w:rPr>
          <w:lang w:val="en-GB"/>
        </w:rPr>
        <w:t>vidence was</w:t>
      </w:r>
      <w:r w:rsidR="00302CE3">
        <w:rPr>
          <w:lang w:val="en-GB"/>
        </w:rPr>
        <w:t xml:space="preserve"> also</w:t>
      </w:r>
      <w:r>
        <w:rPr>
          <w:lang w:val="en-GB"/>
        </w:rPr>
        <w:t xml:space="preserve"> found that participants removed the mask from masked probes in the encoding stage and then compared the probe to the memory set under similar conditions as for unmasked probes</w:t>
      </w:r>
      <w:r w:rsidR="0088605F">
        <w:rPr>
          <w:lang w:val="en-GB"/>
        </w:rPr>
        <w:t>.</w:t>
      </w:r>
      <w:r w:rsidR="00253DE0" w:rsidRPr="005913CF">
        <w:rPr>
          <w:lang w:val="en-GB"/>
        </w:rPr>
        <w:br w:type="page"/>
      </w:r>
    </w:p>
    <w:p w14:paraId="6E841B01" w14:textId="5EADF3EC" w:rsidR="009A6A11" w:rsidRPr="005913CF" w:rsidRDefault="009A6A11" w:rsidP="009A6A11">
      <w:pPr>
        <w:pStyle w:val="Overskrift1"/>
        <w:rPr>
          <w:lang w:val="en-GB"/>
        </w:rPr>
      </w:pPr>
      <w:bookmarkStart w:id="9" w:name="_Toc24299556"/>
      <w:r w:rsidRPr="005913CF">
        <w:rPr>
          <w:lang w:val="en-GB"/>
        </w:rPr>
        <w:lastRenderedPageBreak/>
        <w:t>References</w:t>
      </w:r>
      <w:bookmarkEnd w:id="9"/>
    </w:p>
    <w:p w14:paraId="7A3FB213" w14:textId="052D6ABC" w:rsidR="00F823D5" w:rsidRPr="00F823D5" w:rsidRDefault="00F823D5" w:rsidP="00F823D5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>
        <w:rPr>
          <w:lang w:val="en-GB"/>
        </w:rPr>
        <w:fldChar w:fldCharType="begin" w:fldLock="1"/>
      </w:r>
      <w:r>
        <w:rPr>
          <w:lang w:val="en-GB"/>
        </w:rPr>
        <w:instrText xml:space="preserve">ADDIN Mendeley Bibliography CSL_BIBLIOGRAPHY </w:instrText>
      </w:r>
      <w:r>
        <w:rPr>
          <w:lang w:val="en-GB"/>
        </w:rPr>
        <w:fldChar w:fldCharType="separate"/>
      </w:r>
      <w:r w:rsidRPr="00F823D5">
        <w:rPr>
          <w:noProof/>
        </w:rPr>
        <w:t xml:space="preserve">Sternberg, S. (1969). Memory-scanning: Mental processes revealed by reaction-time experiments. </w:t>
      </w:r>
      <w:r w:rsidRPr="00F823D5">
        <w:rPr>
          <w:i/>
          <w:iCs/>
          <w:noProof/>
        </w:rPr>
        <w:t>American Scientist</w:t>
      </w:r>
      <w:r w:rsidRPr="00F823D5">
        <w:rPr>
          <w:noProof/>
        </w:rPr>
        <w:t xml:space="preserve">, </w:t>
      </w:r>
      <w:r w:rsidRPr="00F823D5">
        <w:rPr>
          <w:i/>
          <w:iCs/>
          <w:noProof/>
        </w:rPr>
        <w:t>57</w:t>
      </w:r>
      <w:r w:rsidRPr="00F823D5">
        <w:rPr>
          <w:noProof/>
        </w:rPr>
        <w:t>(4), 421–457.</w:t>
      </w:r>
    </w:p>
    <w:p w14:paraId="7696C90A" w14:textId="0595411B" w:rsidR="009A6A11" w:rsidRPr="005913CF" w:rsidRDefault="00F823D5" w:rsidP="009A6A11">
      <w:pPr>
        <w:rPr>
          <w:lang w:val="en-GB"/>
        </w:rPr>
      </w:pPr>
      <w:r>
        <w:rPr>
          <w:lang w:val="en-GB"/>
        </w:rPr>
        <w:fldChar w:fldCharType="end"/>
      </w:r>
      <w:bookmarkStart w:id="10" w:name="_GoBack"/>
      <w:bookmarkEnd w:id="10"/>
    </w:p>
    <w:sectPr w:rsidR="009A6A11" w:rsidRPr="005913CF" w:rsidSect="00FC39BF"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721B2" w14:textId="77777777" w:rsidR="007C1055" w:rsidRDefault="007C1055" w:rsidP="001078C3">
      <w:pPr>
        <w:spacing w:line="240" w:lineRule="auto"/>
      </w:pPr>
      <w:r>
        <w:separator/>
      </w:r>
    </w:p>
  </w:endnote>
  <w:endnote w:type="continuationSeparator" w:id="0">
    <w:p w14:paraId="1715AEE2" w14:textId="77777777" w:rsidR="007C1055" w:rsidRDefault="007C1055" w:rsidP="001078C3">
      <w:pPr>
        <w:spacing w:line="240" w:lineRule="auto"/>
      </w:pPr>
      <w:r>
        <w:continuationSeparator/>
      </w:r>
    </w:p>
  </w:endnote>
  <w:endnote w:type="continuationNotice" w:id="1">
    <w:p w14:paraId="5B456573" w14:textId="77777777" w:rsidR="007C1055" w:rsidRDefault="007C10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CC32E" w14:textId="77777777" w:rsidR="00FC39BF" w:rsidRDefault="00DB6DDB" w:rsidP="00FC39BF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A489121" w14:textId="77777777" w:rsidR="00FC39BF" w:rsidRDefault="007C1055" w:rsidP="00FC39BF">
    <w:pPr>
      <w:pStyle w:val="Sidefod"/>
      <w:ind w:right="360"/>
    </w:pPr>
  </w:p>
  <w:p w14:paraId="3CF47B86" w14:textId="77777777" w:rsidR="00E24AA6" w:rsidRDefault="007C105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ED363" w14:textId="5D66CE11" w:rsidR="00FC39BF" w:rsidRDefault="007C1055" w:rsidP="00E25657">
    <w:pPr>
      <w:pStyle w:val="Sidefod"/>
      <w:ind w:right="360"/>
      <w:jc w:val="right"/>
    </w:pPr>
  </w:p>
  <w:p w14:paraId="02D07F0B" w14:textId="77777777" w:rsidR="00E24AA6" w:rsidRDefault="007C105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862AA" w14:textId="77777777" w:rsidR="007C1055" w:rsidRDefault="007C1055" w:rsidP="001078C3">
      <w:pPr>
        <w:spacing w:line="240" w:lineRule="auto"/>
      </w:pPr>
      <w:r>
        <w:separator/>
      </w:r>
    </w:p>
  </w:footnote>
  <w:footnote w:type="continuationSeparator" w:id="0">
    <w:p w14:paraId="47693166" w14:textId="77777777" w:rsidR="007C1055" w:rsidRDefault="007C1055" w:rsidP="001078C3">
      <w:pPr>
        <w:spacing w:line="240" w:lineRule="auto"/>
      </w:pPr>
      <w:r>
        <w:continuationSeparator/>
      </w:r>
    </w:p>
  </w:footnote>
  <w:footnote w:type="continuationNotice" w:id="1">
    <w:p w14:paraId="6CEA0255" w14:textId="77777777" w:rsidR="007C1055" w:rsidRDefault="007C10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E7B31" w14:textId="342C5FB6" w:rsidR="009837A7" w:rsidRDefault="009837A7">
    <w:pPr>
      <w:pStyle w:val="Sidehoved"/>
    </w:pPr>
    <w:r>
      <w:t>Frederik Bredgaard</w:t>
    </w:r>
    <w:r>
      <w:ptab w:relativeTo="margin" w:alignment="center" w:leader="none"/>
    </w:r>
    <w:r>
      <w:t>Sternberg Task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4238F" w14:textId="3A2C5013" w:rsidR="005075A8" w:rsidRPr="0032717C" w:rsidRDefault="0032717C" w:rsidP="0032717C">
    <w:pPr>
      <w:pStyle w:val="Sidehoved"/>
    </w:pPr>
    <w:r>
      <w:t>Frederik Bredgaard</w:t>
    </w:r>
    <w:r>
      <w:ptab w:relativeTo="margin" w:alignment="center" w:leader="none"/>
    </w:r>
    <w:r>
      <w:t>Sternberg</w:t>
    </w:r>
    <w:r>
      <w:ptab w:relativeTo="margin" w:alignment="right" w:leader="none"/>
    </w:r>
    <w:r w:rsidR="00F823D5">
      <w:t xml:space="preserve">Page </w:t>
    </w:r>
    <w:r w:rsidR="00F823D5">
      <w:rPr>
        <w:b/>
        <w:bCs/>
      </w:rPr>
      <w:fldChar w:fldCharType="begin"/>
    </w:r>
    <w:r w:rsidR="00F823D5">
      <w:rPr>
        <w:b/>
        <w:bCs/>
      </w:rPr>
      <w:instrText>PAGE  \* Arabic  \* MERGEFORMAT</w:instrText>
    </w:r>
    <w:r w:rsidR="00F823D5">
      <w:rPr>
        <w:b/>
        <w:bCs/>
      </w:rPr>
      <w:fldChar w:fldCharType="separate"/>
    </w:r>
    <w:r w:rsidR="00F823D5">
      <w:rPr>
        <w:b/>
        <w:bCs/>
      </w:rPr>
      <w:t>1</w:t>
    </w:r>
    <w:r w:rsidR="00F823D5">
      <w:rPr>
        <w:b/>
        <w:bCs/>
      </w:rPr>
      <w:fldChar w:fldCharType="end"/>
    </w:r>
    <w:r w:rsidR="00F823D5">
      <w:t xml:space="preserve"> of </w:t>
    </w:r>
    <w:r w:rsidR="00F823D5">
      <w:rPr>
        <w:b/>
        <w:bCs/>
      </w:rPr>
      <w:fldChar w:fldCharType="begin"/>
    </w:r>
    <w:r w:rsidR="00F823D5">
      <w:rPr>
        <w:b/>
        <w:bCs/>
      </w:rPr>
      <w:instrText>NUMPAGES  \* Arabic  \* MERGEFORMAT</w:instrText>
    </w:r>
    <w:r w:rsidR="00F823D5">
      <w:rPr>
        <w:b/>
        <w:bCs/>
      </w:rPr>
      <w:fldChar w:fldCharType="separate"/>
    </w:r>
    <w:r w:rsidR="00F823D5">
      <w:rPr>
        <w:b/>
        <w:bCs/>
      </w:rPr>
      <w:t>2</w:t>
    </w:r>
    <w:r w:rsidR="00F823D5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F512E"/>
    <w:multiLevelType w:val="hybridMultilevel"/>
    <w:tmpl w:val="37503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91FA3"/>
    <w:multiLevelType w:val="hybridMultilevel"/>
    <w:tmpl w:val="CA1E93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B08C0"/>
    <w:multiLevelType w:val="hybridMultilevel"/>
    <w:tmpl w:val="9C642C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A50FE"/>
    <w:multiLevelType w:val="hybridMultilevel"/>
    <w:tmpl w:val="2528E6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65CAC"/>
    <w:multiLevelType w:val="hybridMultilevel"/>
    <w:tmpl w:val="DE1C53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A1D3B"/>
    <w:multiLevelType w:val="hybridMultilevel"/>
    <w:tmpl w:val="0A72F4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A8A01"/>
    <w:rsid w:val="000007DF"/>
    <w:rsid w:val="000034DD"/>
    <w:rsid w:val="000152E0"/>
    <w:rsid w:val="0002466C"/>
    <w:rsid w:val="00030B8C"/>
    <w:rsid w:val="000344E3"/>
    <w:rsid w:val="00040044"/>
    <w:rsid w:val="000402AC"/>
    <w:rsid w:val="000407BB"/>
    <w:rsid w:val="00046BC9"/>
    <w:rsid w:val="00050AD4"/>
    <w:rsid w:val="000528DF"/>
    <w:rsid w:val="00060547"/>
    <w:rsid w:val="000630B3"/>
    <w:rsid w:val="0007032C"/>
    <w:rsid w:val="00072A9A"/>
    <w:rsid w:val="0007633A"/>
    <w:rsid w:val="00087A96"/>
    <w:rsid w:val="000A0967"/>
    <w:rsid w:val="000A4B59"/>
    <w:rsid w:val="000B0C56"/>
    <w:rsid w:val="000B7FC6"/>
    <w:rsid w:val="000D1083"/>
    <w:rsid w:val="000D438A"/>
    <w:rsid w:val="000D7E7E"/>
    <w:rsid w:val="000E0903"/>
    <w:rsid w:val="000E1152"/>
    <w:rsid w:val="000E1929"/>
    <w:rsid w:val="000E19F0"/>
    <w:rsid w:val="000E6BF8"/>
    <w:rsid w:val="000E6C93"/>
    <w:rsid w:val="000E6F43"/>
    <w:rsid w:val="000F13EF"/>
    <w:rsid w:val="000F6FEC"/>
    <w:rsid w:val="001078C3"/>
    <w:rsid w:val="00114E04"/>
    <w:rsid w:val="0012106B"/>
    <w:rsid w:val="00121BFA"/>
    <w:rsid w:val="0014194B"/>
    <w:rsid w:val="00145A19"/>
    <w:rsid w:val="001511E2"/>
    <w:rsid w:val="00151986"/>
    <w:rsid w:val="00160316"/>
    <w:rsid w:val="001860AC"/>
    <w:rsid w:val="00190459"/>
    <w:rsid w:val="00194446"/>
    <w:rsid w:val="00194821"/>
    <w:rsid w:val="00196754"/>
    <w:rsid w:val="001A0F10"/>
    <w:rsid w:val="001A2998"/>
    <w:rsid w:val="001A3506"/>
    <w:rsid w:val="001A3702"/>
    <w:rsid w:val="001A3E92"/>
    <w:rsid w:val="001B3F44"/>
    <w:rsid w:val="001B4A38"/>
    <w:rsid w:val="001B7BDB"/>
    <w:rsid w:val="001B7D4E"/>
    <w:rsid w:val="001D6361"/>
    <w:rsid w:val="001F1E95"/>
    <w:rsid w:val="0020051D"/>
    <w:rsid w:val="002118BF"/>
    <w:rsid w:val="00221925"/>
    <w:rsid w:val="0023791C"/>
    <w:rsid w:val="00244EEB"/>
    <w:rsid w:val="00247360"/>
    <w:rsid w:val="00250519"/>
    <w:rsid w:val="00252541"/>
    <w:rsid w:val="00253DE0"/>
    <w:rsid w:val="002555B0"/>
    <w:rsid w:val="00255EE0"/>
    <w:rsid w:val="00260C01"/>
    <w:rsid w:val="00264C9D"/>
    <w:rsid w:val="00265514"/>
    <w:rsid w:val="002655B0"/>
    <w:rsid w:val="0026625E"/>
    <w:rsid w:val="00266ADC"/>
    <w:rsid w:val="00277EDA"/>
    <w:rsid w:val="002859CF"/>
    <w:rsid w:val="00290DBF"/>
    <w:rsid w:val="00291ED5"/>
    <w:rsid w:val="002932C7"/>
    <w:rsid w:val="00296990"/>
    <w:rsid w:val="002B01EC"/>
    <w:rsid w:val="002B4BCB"/>
    <w:rsid w:val="002B4C8A"/>
    <w:rsid w:val="002B6348"/>
    <w:rsid w:val="002C4758"/>
    <w:rsid w:val="002D3421"/>
    <w:rsid w:val="002D3764"/>
    <w:rsid w:val="002D3782"/>
    <w:rsid w:val="002D7404"/>
    <w:rsid w:val="002E5900"/>
    <w:rsid w:val="002E5B9A"/>
    <w:rsid w:val="002F1052"/>
    <w:rsid w:val="002F26F6"/>
    <w:rsid w:val="002F58CD"/>
    <w:rsid w:val="00302CE3"/>
    <w:rsid w:val="00302D90"/>
    <w:rsid w:val="00306022"/>
    <w:rsid w:val="00312AD1"/>
    <w:rsid w:val="0031442C"/>
    <w:rsid w:val="00317509"/>
    <w:rsid w:val="00324EBE"/>
    <w:rsid w:val="00325015"/>
    <w:rsid w:val="0032717C"/>
    <w:rsid w:val="003415DD"/>
    <w:rsid w:val="003525BD"/>
    <w:rsid w:val="00354577"/>
    <w:rsid w:val="00360E27"/>
    <w:rsid w:val="00362662"/>
    <w:rsid w:val="00372BEE"/>
    <w:rsid w:val="00383EF7"/>
    <w:rsid w:val="003B0F14"/>
    <w:rsid w:val="003B4ED0"/>
    <w:rsid w:val="003B4FF3"/>
    <w:rsid w:val="003B7CD4"/>
    <w:rsid w:val="003C37F0"/>
    <w:rsid w:val="003C3A41"/>
    <w:rsid w:val="003D01BB"/>
    <w:rsid w:val="003D1B9D"/>
    <w:rsid w:val="003D4F7C"/>
    <w:rsid w:val="003E19C8"/>
    <w:rsid w:val="003E22DB"/>
    <w:rsid w:val="003E3457"/>
    <w:rsid w:val="003E64B9"/>
    <w:rsid w:val="003E69C8"/>
    <w:rsid w:val="003E736A"/>
    <w:rsid w:val="003F274F"/>
    <w:rsid w:val="003F668F"/>
    <w:rsid w:val="003F70E7"/>
    <w:rsid w:val="003F7949"/>
    <w:rsid w:val="00401A61"/>
    <w:rsid w:val="004055B4"/>
    <w:rsid w:val="00410126"/>
    <w:rsid w:val="00413275"/>
    <w:rsid w:val="00421D35"/>
    <w:rsid w:val="00430787"/>
    <w:rsid w:val="0043143D"/>
    <w:rsid w:val="00432072"/>
    <w:rsid w:val="00433095"/>
    <w:rsid w:val="00434A62"/>
    <w:rsid w:val="00436C64"/>
    <w:rsid w:val="00440BBC"/>
    <w:rsid w:val="00442AC0"/>
    <w:rsid w:val="004437AF"/>
    <w:rsid w:val="0045072D"/>
    <w:rsid w:val="00451385"/>
    <w:rsid w:val="00472971"/>
    <w:rsid w:val="00476E04"/>
    <w:rsid w:val="00480098"/>
    <w:rsid w:val="00482D8F"/>
    <w:rsid w:val="00483E72"/>
    <w:rsid w:val="00494E0B"/>
    <w:rsid w:val="004956A7"/>
    <w:rsid w:val="00495EB8"/>
    <w:rsid w:val="00497744"/>
    <w:rsid w:val="004A01E3"/>
    <w:rsid w:val="004B74D7"/>
    <w:rsid w:val="004C09FA"/>
    <w:rsid w:val="004D0080"/>
    <w:rsid w:val="004D1343"/>
    <w:rsid w:val="004D2ED6"/>
    <w:rsid w:val="004F2119"/>
    <w:rsid w:val="004F3EA8"/>
    <w:rsid w:val="00506871"/>
    <w:rsid w:val="0051637C"/>
    <w:rsid w:val="00526E5B"/>
    <w:rsid w:val="00533176"/>
    <w:rsid w:val="00535FBF"/>
    <w:rsid w:val="00536377"/>
    <w:rsid w:val="00540143"/>
    <w:rsid w:val="005453C6"/>
    <w:rsid w:val="005466FD"/>
    <w:rsid w:val="00547BA1"/>
    <w:rsid w:val="005507B6"/>
    <w:rsid w:val="005524DA"/>
    <w:rsid w:val="00554827"/>
    <w:rsid w:val="005570CE"/>
    <w:rsid w:val="005709E7"/>
    <w:rsid w:val="005722A4"/>
    <w:rsid w:val="00572476"/>
    <w:rsid w:val="005765D5"/>
    <w:rsid w:val="00583556"/>
    <w:rsid w:val="00585CFF"/>
    <w:rsid w:val="005913CF"/>
    <w:rsid w:val="005922CF"/>
    <w:rsid w:val="0059663D"/>
    <w:rsid w:val="005A422B"/>
    <w:rsid w:val="005B2D4D"/>
    <w:rsid w:val="005B3BA4"/>
    <w:rsid w:val="005B69C7"/>
    <w:rsid w:val="005C0F21"/>
    <w:rsid w:val="005C3DB0"/>
    <w:rsid w:val="005D1930"/>
    <w:rsid w:val="005D2846"/>
    <w:rsid w:val="005D4301"/>
    <w:rsid w:val="005E080A"/>
    <w:rsid w:val="005F3556"/>
    <w:rsid w:val="00602356"/>
    <w:rsid w:val="00604F1A"/>
    <w:rsid w:val="00616ACE"/>
    <w:rsid w:val="00617FFC"/>
    <w:rsid w:val="00632B5E"/>
    <w:rsid w:val="00632E57"/>
    <w:rsid w:val="00635AE4"/>
    <w:rsid w:val="00641FB3"/>
    <w:rsid w:val="006428AF"/>
    <w:rsid w:val="00655525"/>
    <w:rsid w:val="00662DD0"/>
    <w:rsid w:val="00665618"/>
    <w:rsid w:val="00665C83"/>
    <w:rsid w:val="00671259"/>
    <w:rsid w:val="006730FD"/>
    <w:rsid w:val="00674B7D"/>
    <w:rsid w:val="00677400"/>
    <w:rsid w:val="0068286C"/>
    <w:rsid w:val="00695F24"/>
    <w:rsid w:val="00697928"/>
    <w:rsid w:val="00697FE8"/>
    <w:rsid w:val="006A63DD"/>
    <w:rsid w:val="006C0209"/>
    <w:rsid w:val="006C71BA"/>
    <w:rsid w:val="006D1B02"/>
    <w:rsid w:val="006D2141"/>
    <w:rsid w:val="006D756A"/>
    <w:rsid w:val="006E3CF3"/>
    <w:rsid w:val="006F011E"/>
    <w:rsid w:val="006F034F"/>
    <w:rsid w:val="006F150D"/>
    <w:rsid w:val="006F28BC"/>
    <w:rsid w:val="006F6569"/>
    <w:rsid w:val="006F6A79"/>
    <w:rsid w:val="006F6B5E"/>
    <w:rsid w:val="0070228C"/>
    <w:rsid w:val="00704F19"/>
    <w:rsid w:val="00706B0C"/>
    <w:rsid w:val="00706B0D"/>
    <w:rsid w:val="0072342E"/>
    <w:rsid w:val="00734925"/>
    <w:rsid w:val="0073767C"/>
    <w:rsid w:val="00740027"/>
    <w:rsid w:val="007429E2"/>
    <w:rsid w:val="00745ECC"/>
    <w:rsid w:val="00746506"/>
    <w:rsid w:val="0075058B"/>
    <w:rsid w:val="0075108F"/>
    <w:rsid w:val="007558D2"/>
    <w:rsid w:val="00755EDD"/>
    <w:rsid w:val="007576FA"/>
    <w:rsid w:val="00767CEF"/>
    <w:rsid w:val="00772F3A"/>
    <w:rsid w:val="00773A86"/>
    <w:rsid w:val="0077551F"/>
    <w:rsid w:val="00781861"/>
    <w:rsid w:val="007857BB"/>
    <w:rsid w:val="0078581A"/>
    <w:rsid w:val="00786623"/>
    <w:rsid w:val="00790A51"/>
    <w:rsid w:val="00790C75"/>
    <w:rsid w:val="00795221"/>
    <w:rsid w:val="007B188E"/>
    <w:rsid w:val="007B1DD2"/>
    <w:rsid w:val="007B68B0"/>
    <w:rsid w:val="007B751A"/>
    <w:rsid w:val="007C1055"/>
    <w:rsid w:val="007C603A"/>
    <w:rsid w:val="007E3810"/>
    <w:rsid w:val="007E39A7"/>
    <w:rsid w:val="007F049F"/>
    <w:rsid w:val="007F1873"/>
    <w:rsid w:val="007F47FD"/>
    <w:rsid w:val="00803B1B"/>
    <w:rsid w:val="00804B92"/>
    <w:rsid w:val="0080795B"/>
    <w:rsid w:val="00810E26"/>
    <w:rsid w:val="0081216A"/>
    <w:rsid w:val="0081440C"/>
    <w:rsid w:val="0081539A"/>
    <w:rsid w:val="008250C1"/>
    <w:rsid w:val="0083512D"/>
    <w:rsid w:val="00835A0E"/>
    <w:rsid w:val="008416E1"/>
    <w:rsid w:val="00847225"/>
    <w:rsid w:val="00855FF2"/>
    <w:rsid w:val="0086600F"/>
    <w:rsid w:val="00866193"/>
    <w:rsid w:val="008818F6"/>
    <w:rsid w:val="008822AF"/>
    <w:rsid w:val="00882E7C"/>
    <w:rsid w:val="0088605F"/>
    <w:rsid w:val="008A33FF"/>
    <w:rsid w:val="008C4D55"/>
    <w:rsid w:val="008C7577"/>
    <w:rsid w:val="008D096C"/>
    <w:rsid w:val="008D1269"/>
    <w:rsid w:val="008D71F3"/>
    <w:rsid w:val="008D7B40"/>
    <w:rsid w:val="008E5251"/>
    <w:rsid w:val="008E7A53"/>
    <w:rsid w:val="008F1224"/>
    <w:rsid w:val="008F20C1"/>
    <w:rsid w:val="008F2586"/>
    <w:rsid w:val="008F7079"/>
    <w:rsid w:val="008F72B3"/>
    <w:rsid w:val="00901844"/>
    <w:rsid w:val="009032CB"/>
    <w:rsid w:val="00904F77"/>
    <w:rsid w:val="00912710"/>
    <w:rsid w:val="009138C6"/>
    <w:rsid w:val="00923ED6"/>
    <w:rsid w:val="0092580A"/>
    <w:rsid w:val="00926156"/>
    <w:rsid w:val="00926ACC"/>
    <w:rsid w:val="00926FB0"/>
    <w:rsid w:val="00927F02"/>
    <w:rsid w:val="00931A32"/>
    <w:rsid w:val="00934D73"/>
    <w:rsid w:val="00940464"/>
    <w:rsid w:val="00941990"/>
    <w:rsid w:val="0094793B"/>
    <w:rsid w:val="00951EBB"/>
    <w:rsid w:val="00970AB2"/>
    <w:rsid w:val="009837A7"/>
    <w:rsid w:val="009970EE"/>
    <w:rsid w:val="009979AE"/>
    <w:rsid w:val="00997A83"/>
    <w:rsid w:val="009A09C7"/>
    <w:rsid w:val="009A6A11"/>
    <w:rsid w:val="009B0BF8"/>
    <w:rsid w:val="009B12E3"/>
    <w:rsid w:val="009B1371"/>
    <w:rsid w:val="009B2180"/>
    <w:rsid w:val="009B5998"/>
    <w:rsid w:val="009C5283"/>
    <w:rsid w:val="009D4617"/>
    <w:rsid w:val="009E1397"/>
    <w:rsid w:val="00A01039"/>
    <w:rsid w:val="00A010F8"/>
    <w:rsid w:val="00A03CAB"/>
    <w:rsid w:val="00A06EF3"/>
    <w:rsid w:val="00A11321"/>
    <w:rsid w:val="00A13DB5"/>
    <w:rsid w:val="00A21A85"/>
    <w:rsid w:val="00A278BA"/>
    <w:rsid w:val="00A602B7"/>
    <w:rsid w:val="00A64700"/>
    <w:rsid w:val="00A65977"/>
    <w:rsid w:val="00A67400"/>
    <w:rsid w:val="00A8477B"/>
    <w:rsid w:val="00A90C01"/>
    <w:rsid w:val="00AA1334"/>
    <w:rsid w:val="00AA199E"/>
    <w:rsid w:val="00AA26DF"/>
    <w:rsid w:val="00AA50FF"/>
    <w:rsid w:val="00AB5456"/>
    <w:rsid w:val="00AC06CC"/>
    <w:rsid w:val="00AC7DC7"/>
    <w:rsid w:val="00AD34AA"/>
    <w:rsid w:val="00AD638A"/>
    <w:rsid w:val="00AD7774"/>
    <w:rsid w:val="00AE4208"/>
    <w:rsid w:val="00AE43C5"/>
    <w:rsid w:val="00AF053F"/>
    <w:rsid w:val="00AF323E"/>
    <w:rsid w:val="00AF6716"/>
    <w:rsid w:val="00B00A8D"/>
    <w:rsid w:val="00B01FB6"/>
    <w:rsid w:val="00B06286"/>
    <w:rsid w:val="00B14E78"/>
    <w:rsid w:val="00B2120B"/>
    <w:rsid w:val="00B21555"/>
    <w:rsid w:val="00B251B2"/>
    <w:rsid w:val="00B275A8"/>
    <w:rsid w:val="00B34898"/>
    <w:rsid w:val="00B37809"/>
    <w:rsid w:val="00B447CF"/>
    <w:rsid w:val="00B52710"/>
    <w:rsid w:val="00B54DB6"/>
    <w:rsid w:val="00B55702"/>
    <w:rsid w:val="00B609C9"/>
    <w:rsid w:val="00B62BBF"/>
    <w:rsid w:val="00B6497C"/>
    <w:rsid w:val="00B6682B"/>
    <w:rsid w:val="00B679D9"/>
    <w:rsid w:val="00B712BA"/>
    <w:rsid w:val="00B72FD2"/>
    <w:rsid w:val="00B75A6A"/>
    <w:rsid w:val="00B8066C"/>
    <w:rsid w:val="00B9109E"/>
    <w:rsid w:val="00B94866"/>
    <w:rsid w:val="00BA0288"/>
    <w:rsid w:val="00BA296D"/>
    <w:rsid w:val="00BA4DEC"/>
    <w:rsid w:val="00BA6654"/>
    <w:rsid w:val="00BB3E52"/>
    <w:rsid w:val="00BC09A0"/>
    <w:rsid w:val="00BC5AAC"/>
    <w:rsid w:val="00BD2FC9"/>
    <w:rsid w:val="00BD6795"/>
    <w:rsid w:val="00BD7E51"/>
    <w:rsid w:val="00BE072F"/>
    <w:rsid w:val="00BE1EAD"/>
    <w:rsid w:val="00BF0D50"/>
    <w:rsid w:val="00BF3821"/>
    <w:rsid w:val="00BF44F2"/>
    <w:rsid w:val="00BF5082"/>
    <w:rsid w:val="00C05D13"/>
    <w:rsid w:val="00C21E50"/>
    <w:rsid w:val="00C35228"/>
    <w:rsid w:val="00C3570C"/>
    <w:rsid w:val="00C376D2"/>
    <w:rsid w:val="00C447EC"/>
    <w:rsid w:val="00C52DA9"/>
    <w:rsid w:val="00C554B8"/>
    <w:rsid w:val="00C62BF0"/>
    <w:rsid w:val="00C64126"/>
    <w:rsid w:val="00C70193"/>
    <w:rsid w:val="00C74D50"/>
    <w:rsid w:val="00C75821"/>
    <w:rsid w:val="00C770E6"/>
    <w:rsid w:val="00C8523D"/>
    <w:rsid w:val="00C92E52"/>
    <w:rsid w:val="00C96B86"/>
    <w:rsid w:val="00CA3283"/>
    <w:rsid w:val="00CA56A3"/>
    <w:rsid w:val="00CB1388"/>
    <w:rsid w:val="00CB5050"/>
    <w:rsid w:val="00CC1591"/>
    <w:rsid w:val="00CC1E42"/>
    <w:rsid w:val="00CC39BE"/>
    <w:rsid w:val="00CD19AD"/>
    <w:rsid w:val="00CD32FF"/>
    <w:rsid w:val="00CF0BD9"/>
    <w:rsid w:val="00CF657D"/>
    <w:rsid w:val="00D02B75"/>
    <w:rsid w:val="00D04A98"/>
    <w:rsid w:val="00D0774E"/>
    <w:rsid w:val="00D1053D"/>
    <w:rsid w:val="00D13A54"/>
    <w:rsid w:val="00D17ED0"/>
    <w:rsid w:val="00D2387D"/>
    <w:rsid w:val="00D25B2B"/>
    <w:rsid w:val="00D37C66"/>
    <w:rsid w:val="00D5433F"/>
    <w:rsid w:val="00D567CF"/>
    <w:rsid w:val="00D7060D"/>
    <w:rsid w:val="00D724AD"/>
    <w:rsid w:val="00D777DF"/>
    <w:rsid w:val="00D8073D"/>
    <w:rsid w:val="00D828F7"/>
    <w:rsid w:val="00DA1266"/>
    <w:rsid w:val="00DA308C"/>
    <w:rsid w:val="00DB4633"/>
    <w:rsid w:val="00DB6DDB"/>
    <w:rsid w:val="00DC0241"/>
    <w:rsid w:val="00DC0394"/>
    <w:rsid w:val="00DD6934"/>
    <w:rsid w:val="00DD725E"/>
    <w:rsid w:val="00DE6384"/>
    <w:rsid w:val="00DE6D3D"/>
    <w:rsid w:val="00E0311E"/>
    <w:rsid w:val="00E03199"/>
    <w:rsid w:val="00E07C5A"/>
    <w:rsid w:val="00E124FC"/>
    <w:rsid w:val="00E12A78"/>
    <w:rsid w:val="00E148CE"/>
    <w:rsid w:val="00E15D30"/>
    <w:rsid w:val="00E17F63"/>
    <w:rsid w:val="00E252FD"/>
    <w:rsid w:val="00E25D19"/>
    <w:rsid w:val="00E270DF"/>
    <w:rsid w:val="00E27B89"/>
    <w:rsid w:val="00E35AD4"/>
    <w:rsid w:val="00E36848"/>
    <w:rsid w:val="00E36893"/>
    <w:rsid w:val="00E40FC9"/>
    <w:rsid w:val="00E411E1"/>
    <w:rsid w:val="00E543CC"/>
    <w:rsid w:val="00E64557"/>
    <w:rsid w:val="00E71629"/>
    <w:rsid w:val="00E730CA"/>
    <w:rsid w:val="00E83A5C"/>
    <w:rsid w:val="00E84976"/>
    <w:rsid w:val="00E96FF6"/>
    <w:rsid w:val="00EA38D7"/>
    <w:rsid w:val="00EA5C36"/>
    <w:rsid w:val="00EC1CE8"/>
    <w:rsid w:val="00EC4F51"/>
    <w:rsid w:val="00EC7FAA"/>
    <w:rsid w:val="00ED275B"/>
    <w:rsid w:val="00ED4151"/>
    <w:rsid w:val="00ED7209"/>
    <w:rsid w:val="00EE078B"/>
    <w:rsid w:val="00EE2F2A"/>
    <w:rsid w:val="00EE6642"/>
    <w:rsid w:val="00EF5D11"/>
    <w:rsid w:val="00F26D7C"/>
    <w:rsid w:val="00F43724"/>
    <w:rsid w:val="00F4416B"/>
    <w:rsid w:val="00F51ED1"/>
    <w:rsid w:val="00F55A47"/>
    <w:rsid w:val="00F63EE2"/>
    <w:rsid w:val="00F65BF2"/>
    <w:rsid w:val="00F66C76"/>
    <w:rsid w:val="00F71FD7"/>
    <w:rsid w:val="00F73C71"/>
    <w:rsid w:val="00F823D5"/>
    <w:rsid w:val="00F845E2"/>
    <w:rsid w:val="00F8528A"/>
    <w:rsid w:val="00F86132"/>
    <w:rsid w:val="00F95B49"/>
    <w:rsid w:val="00F966F1"/>
    <w:rsid w:val="00FA054A"/>
    <w:rsid w:val="00FA1019"/>
    <w:rsid w:val="00FA486C"/>
    <w:rsid w:val="00FB784F"/>
    <w:rsid w:val="00FC4211"/>
    <w:rsid w:val="00FC54C2"/>
    <w:rsid w:val="00FC5DB8"/>
    <w:rsid w:val="00FD0722"/>
    <w:rsid w:val="00FD67AF"/>
    <w:rsid w:val="00FD6E62"/>
    <w:rsid w:val="00FE6177"/>
    <w:rsid w:val="00FE78D5"/>
    <w:rsid w:val="00FF17E9"/>
    <w:rsid w:val="13A2C7E3"/>
    <w:rsid w:val="23FAC606"/>
    <w:rsid w:val="2EA51D17"/>
    <w:rsid w:val="319D8961"/>
    <w:rsid w:val="334A8A01"/>
    <w:rsid w:val="396C4500"/>
    <w:rsid w:val="4F7F02BA"/>
    <w:rsid w:val="5DB75E29"/>
    <w:rsid w:val="61B8F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A8A01"/>
  <w15:chartTrackingRefBased/>
  <w15:docId w15:val="{76392F8B-78F6-456F-86B3-19E239AA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8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2B01EC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2B01EC"/>
    <w:pPr>
      <w:keepNext/>
      <w:spacing w:before="360" w:after="60"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2B01EC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1078C3"/>
    <w:rPr>
      <w:rFonts w:ascii="Arial" w:eastAsia="Times New Roman" w:hAnsi="Arial" w:cs="Arial"/>
      <w:b/>
      <w:bCs/>
      <w:color w:val="000000"/>
      <w:sz w:val="36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1078C3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1078C3"/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2B01EC"/>
    <w:pPr>
      <w:tabs>
        <w:tab w:val="center" w:pos="4680"/>
        <w:tab w:val="right" w:pos="9360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78C3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2B01EC"/>
    <w:pPr>
      <w:tabs>
        <w:tab w:val="center" w:pos="4680"/>
        <w:tab w:val="right" w:pos="9360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78C3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KUtitel">
    <w:name w:val="KU titel"/>
    <w:basedOn w:val="Normal"/>
    <w:uiPriority w:val="99"/>
    <w:semiHidden/>
    <w:rsid w:val="002B01EC"/>
    <w:pPr>
      <w:spacing w:line="560" w:lineRule="exact"/>
    </w:pPr>
    <w:rPr>
      <w:rFonts w:ascii="Arial" w:hAnsi="Arial"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2B01EC"/>
    <w:pPr>
      <w:spacing w:line="560" w:lineRule="exact"/>
    </w:pPr>
    <w:rPr>
      <w:rFonts w:ascii="Arial" w:hAnsi="Arial"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2B01EC"/>
    <w:pPr>
      <w:spacing w:line="300" w:lineRule="exact"/>
    </w:pPr>
    <w:rPr>
      <w:caps/>
      <w:noProof/>
      <w:spacing w:val="42"/>
      <w:lang w:val="en-GB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2B01EC"/>
    <w:pPr>
      <w:spacing w:line="280" w:lineRule="exact"/>
    </w:pPr>
    <w:rPr>
      <w:caps/>
      <w:noProof/>
      <w:spacing w:val="42"/>
      <w:sz w:val="18"/>
      <w:szCs w:val="20"/>
      <w:lang w:val="en-GB"/>
    </w:rPr>
  </w:style>
  <w:style w:type="paragraph" w:styleId="Indholdsfortegnelse1">
    <w:name w:val="toc 1"/>
    <w:basedOn w:val="Normal"/>
    <w:next w:val="Normal"/>
    <w:uiPriority w:val="39"/>
    <w:rsid w:val="002B01EC"/>
    <w:pPr>
      <w:tabs>
        <w:tab w:val="right" w:leader="dot" w:pos="9628"/>
      </w:tabs>
      <w:spacing w:before="360" w:line="240" w:lineRule="atLeast"/>
    </w:pPr>
    <w:rPr>
      <w:rFonts w:ascii="Arial" w:hAnsi="Arial" w:cs="Arial"/>
      <w:b/>
      <w:bCs/>
      <w:caps/>
      <w:szCs w:val="28"/>
    </w:rPr>
  </w:style>
  <w:style w:type="paragraph" w:styleId="Indholdsfortegnelse2">
    <w:name w:val="toc 2"/>
    <w:basedOn w:val="Normal"/>
    <w:next w:val="Normal"/>
    <w:uiPriority w:val="39"/>
    <w:rsid w:val="002B01EC"/>
    <w:pPr>
      <w:spacing w:before="240"/>
    </w:pPr>
    <w:rPr>
      <w:b/>
      <w:bCs/>
      <w:sz w:val="20"/>
    </w:rPr>
  </w:style>
  <w:style w:type="paragraph" w:styleId="Indholdsfortegnelse3">
    <w:name w:val="toc 3"/>
    <w:basedOn w:val="Normal"/>
    <w:next w:val="Normal"/>
    <w:uiPriority w:val="10"/>
    <w:semiHidden/>
    <w:rsid w:val="002B01EC"/>
    <w:pPr>
      <w:ind w:left="240"/>
    </w:pPr>
    <w:rPr>
      <w:sz w:val="20"/>
    </w:rPr>
  </w:style>
  <w:style w:type="character" w:styleId="Hyperlink">
    <w:name w:val="Hyperlink"/>
    <w:uiPriority w:val="99"/>
    <w:rsid w:val="001078C3"/>
    <w:rPr>
      <w:color w:val="0000FF"/>
      <w:u w:val="single"/>
    </w:rPr>
  </w:style>
  <w:style w:type="character" w:styleId="Sidetal">
    <w:name w:val="page number"/>
    <w:basedOn w:val="Standardskrifttypeiafsnit"/>
    <w:uiPriority w:val="99"/>
    <w:semiHidden/>
    <w:rsid w:val="001078C3"/>
  </w:style>
  <w:style w:type="table" w:styleId="Tabel-Gitter">
    <w:name w:val="Table Grid"/>
    <w:basedOn w:val="Tabel-Normal"/>
    <w:uiPriority w:val="99"/>
    <w:rsid w:val="001078C3"/>
    <w:pPr>
      <w:spacing w:after="0" w:line="300" w:lineRule="atLeast"/>
    </w:pPr>
    <w:rPr>
      <w:rFonts w:ascii="Times New Roman" w:eastAsia="Times New Roman" w:hAnsi="Times New Roman" w:cs="Times New Roman"/>
      <w:sz w:val="24"/>
      <w:szCs w:val="24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plinfo">
    <w:name w:val="Suppl. info."/>
    <w:basedOn w:val="KUundertitel"/>
    <w:uiPriority w:val="99"/>
    <w:semiHidden/>
    <w:rsid w:val="001078C3"/>
    <w:rPr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5E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5EB8"/>
    <w:rPr>
      <w:rFonts w:ascii="Segoe UI" w:eastAsia="Times New Roman" w:hAnsi="Segoe UI" w:cs="Segoe UI"/>
      <w:sz w:val="18"/>
      <w:szCs w:val="18"/>
      <w:lang w:eastAsia="da-DK"/>
    </w:rPr>
  </w:style>
  <w:style w:type="paragraph" w:styleId="Listeafsnit">
    <w:name w:val="List Paragraph"/>
    <w:basedOn w:val="Normal"/>
    <w:uiPriority w:val="34"/>
    <w:qFormat/>
    <w:rsid w:val="008818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rmaltextrun">
    <w:name w:val="normaltextrun"/>
    <w:basedOn w:val="Standardskrifttypeiafsnit"/>
    <w:rsid w:val="00E35AD4"/>
  </w:style>
  <w:style w:type="paragraph" w:styleId="Billedtekst">
    <w:name w:val="caption"/>
    <w:basedOn w:val="Normal"/>
    <w:next w:val="Normal"/>
    <w:uiPriority w:val="35"/>
    <w:unhideWhenUsed/>
    <w:qFormat/>
    <w:rsid w:val="00F51E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75A6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75A6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75A6A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75A6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75A6A"/>
    <w:rPr>
      <w:rFonts w:ascii="Times New Roman" w:eastAsia="Times New Roman" w:hAnsi="Times New Roman" w:cs="Times New Roman"/>
      <w:b/>
      <w:bCs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chart" Target="charts/chart4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DawaDupont\Downloads\Sternberg2019_Results%20KUN%20INSTRUKTORE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DawaDupont\Downloads\Sternberg2019_Results%20KUN%20INSTRUKTORE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4e62bf1eb674fb63/Dokumenter/UNI/Kognitionspsykologi/Eksperimenter/7%20Sternberg/Individuel%20data/Sternberg2019_Indtastningsark_FP192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4e62bf1eb674fb63/Dokumenter/UNI/Kognitionspsykologi/Eksperimenter/7%20Sternberg/Individuel%20data/Sternberg2019_Indtastningsark_FP19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a-DK" baseline="0"/>
              <a:t>Average RT, </a:t>
            </a:r>
            <a:r>
              <a:rPr lang="da-DK"/>
              <a:t>Sternberg</a:t>
            </a:r>
            <a:r>
              <a:rPr lang="da-DK" baseline="0"/>
              <a:t> 2019</a:t>
            </a:r>
          </a:p>
          <a:p>
            <a:pPr>
              <a:defRPr/>
            </a:pPr>
            <a:r>
              <a:rPr lang="da-DK" b="0" baseline="0"/>
              <a:t>(</a:t>
            </a:r>
            <a:r>
              <a:rPr lang="da-DK" b="0" i="1" baseline="0"/>
              <a:t>N</a:t>
            </a:r>
            <a:r>
              <a:rPr lang="da-DK" b="0" baseline="0"/>
              <a:t> = 194)</a:t>
            </a:r>
            <a:endParaRPr lang="da-DK" b="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8463389944319"/>
          <c:y val="0.20603949432032301"/>
          <c:w val="0.80187010324852104"/>
          <c:h val="0.59114052488885804"/>
        </c:manualLayout>
      </c:layout>
      <c:scatterChart>
        <c:scatterStyle val="lineMarker"/>
        <c:varyColors val="0"/>
        <c:ser>
          <c:idx val="0"/>
          <c:order val="0"/>
          <c:tx>
            <c:strRef>
              <c:f>'RT plot'!$G$2</c:f>
              <c:strCache>
                <c:ptCount val="1"/>
                <c:pt idx="0">
                  <c:v>Unmasked, present</c:v>
                </c:pt>
              </c:strCache>
            </c:strRef>
          </c:tx>
          <c:spPr>
            <a:ln>
              <a:solidFill>
                <a:schemeClr val="tx2">
                  <a:lumMod val="75000"/>
                </a:schemeClr>
              </a:solidFill>
            </a:ln>
          </c:spPr>
          <c:marker>
            <c:symbol val="circle"/>
            <c:size val="8"/>
            <c:spPr>
              <a:solidFill>
                <a:srgbClr val="000090"/>
              </a:solidFill>
              <a:ln>
                <a:solidFill>
                  <a:schemeClr val="tx2">
                    <a:lumMod val="75000"/>
                  </a:schemeClr>
                </a:solidFill>
              </a:ln>
            </c:spPr>
          </c:marker>
          <c:xVal>
            <c:numRef>
              <c:f>'RT plot'!$H$1:$J$1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'RT plot'!$H$2:$J$2</c:f>
              <c:numCache>
                <c:formatCode>####</c:formatCode>
                <c:ptCount val="3"/>
                <c:pt idx="0">
                  <c:v>631.52</c:v>
                </c:pt>
                <c:pt idx="1">
                  <c:v>693.41</c:v>
                </c:pt>
                <c:pt idx="2">
                  <c:v>787.87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98-452E-B12E-441FCCC78583}"/>
            </c:ext>
          </c:extLst>
        </c:ser>
        <c:ser>
          <c:idx val="1"/>
          <c:order val="1"/>
          <c:tx>
            <c:strRef>
              <c:f>'RT plot'!$G$3</c:f>
              <c:strCache>
                <c:ptCount val="1"/>
                <c:pt idx="0">
                  <c:v>Unmasked, absent</c:v>
                </c:pt>
              </c:strCache>
            </c:strRef>
          </c:tx>
          <c:spPr>
            <a:ln>
              <a:solidFill>
                <a:srgbClr val="C00000"/>
              </a:solidFill>
            </a:ln>
          </c:spPr>
          <c:marker>
            <c:symbol val="circle"/>
            <c:size val="8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xVal>
            <c:numRef>
              <c:f>'RT plot'!$H$1:$J$1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'RT plot'!$H$3:$J$3</c:f>
              <c:numCache>
                <c:formatCode>####</c:formatCode>
                <c:ptCount val="3"/>
                <c:pt idx="0">
                  <c:v>670.48</c:v>
                </c:pt>
                <c:pt idx="1">
                  <c:v>724</c:v>
                </c:pt>
                <c:pt idx="2">
                  <c:v>841.36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98-452E-B12E-441FCCC78583}"/>
            </c:ext>
          </c:extLst>
        </c:ser>
        <c:ser>
          <c:idx val="2"/>
          <c:order val="2"/>
          <c:tx>
            <c:strRef>
              <c:f>'RT plot'!$G$4</c:f>
              <c:strCache>
                <c:ptCount val="1"/>
                <c:pt idx="0">
                  <c:v>Masked, present</c:v>
                </c:pt>
              </c:strCache>
            </c:strRef>
          </c:tx>
          <c:spPr>
            <a:ln>
              <a:solidFill>
                <a:srgbClr val="002060"/>
              </a:solidFill>
              <a:prstDash val="sysDash"/>
            </a:ln>
          </c:spPr>
          <c:marker>
            <c:symbol val="circle"/>
            <c:size val="7"/>
            <c:spPr>
              <a:solidFill>
                <a:srgbClr val="002060"/>
              </a:solidFill>
              <a:ln>
                <a:solidFill>
                  <a:srgbClr val="002060"/>
                </a:solidFill>
              </a:ln>
            </c:spPr>
          </c:marker>
          <c:xVal>
            <c:numRef>
              <c:f>'RT plot'!$H$1:$J$1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'RT plot'!$H$4:$J$4</c:f>
              <c:numCache>
                <c:formatCode>####</c:formatCode>
                <c:ptCount val="3"/>
                <c:pt idx="0">
                  <c:v>723.48</c:v>
                </c:pt>
                <c:pt idx="1">
                  <c:v>776.96</c:v>
                </c:pt>
                <c:pt idx="2">
                  <c:v>892.65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598-452E-B12E-441FCCC78583}"/>
            </c:ext>
          </c:extLst>
        </c:ser>
        <c:ser>
          <c:idx val="3"/>
          <c:order val="3"/>
          <c:tx>
            <c:strRef>
              <c:f>'RT plot'!$G$5</c:f>
              <c:strCache>
                <c:ptCount val="1"/>
                <c:pt idx="0">
                  <c:v>Masked, absent</c:v>
                </c:pt>
              </c:strCache>
            </c:strRef>
          </c:tx>
          <c:spPr>
            <a:ln>
              <a:solidFill>
                <a:srgbClr val="C00000"/>
              </a:solidFill>
              <a:prstDash val="sysDash"/>
            </a:ln>
          </c:spPr>
          <c:marker>
            <c:symbol val="circle"/>
            <c:size val="7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xVal>
            <c:numRef>
              <c:f>'RT plot'!$H$1:$J$1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'RT plot'!$H$5:$J$5</c:f>
              <c:numCache>
                <c:formatCode>####</c:formatCode>
                <c:ptCount val="3"/>
                <c:pt idx="0">
                  <c:v>694.91</c:v>
                </c:pt>
                <c:pt idx="1">
                  <c:v>768.74</c:v>
                </c:pt>
                <c:pt idx="2">
                  <c:v>870.52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598-452E-B12E-441FCCC785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6172320"/>
        <c:axId val="-2061070928"/>
      </c:scatterChart>
      <c:valAx>
        <c:axId val="-2076172320"/>
        <c:scaling>
          <c:orientation val="minMax"/>
          <c:max val="6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 sz="1200" b="0"/>
                </a:pPr>
                <a:r>
                  <a:rPr lang="en-US" sz="1200" b="0"/>
                  <a:t>Size of memory set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a-DK"/>
          </a:p>
        </c:txPr>
        <c:crossAx val="-2061070928"/>
        <c:crosses val="autoZero"/>
        <c:crossBetween val="midCat"/>
        <c:majorUnit val="1"/>
      </c:valAx>
      <c:valAx>
        <c:axId val="-2061070928"/>
        <c:scaling>
          <c:orientation val="minMax"/>
          <c:max val="950"/>
          <c:min val="45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 b="0"/>
                </a:pPr>
                <a:r>
                  <a:rPr lang="en-US" sz="1200" b="0"/>
                  <a:t>RT (ms)</a:t>
                </a:r>
              </a:p>
            </c:rich>
          </c:tx>
          <c:layout>
            <c:manualLayout>
              <c:xMode val="edge"/>
              <c:yMode val="edge"/>
              <c:x val="1.9457447337155102E-2"/>
              <c:y val="0.323603119321623"/>
            </c:manualLayout>
          </c:layout>
          <c:overlay val="0"/>
        </c:title>
        <c:numFmt formatCode="####" sourceLinked="1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da-DK"/>
          </a:p>
        </c:txPr>
        <c:crossAx val="-2076172320"/>
        <c:crosses val="autoZero"/>
        <c:crossBetween val="midCat"/>
        <c:majorUnit val="100"/>
      </c:valAx>
    </c:plotArea>
    <c:legend>
      <c:legendPos val="r"/>
      <c:layout>
        <c:manualLayout>
          <c:xMode val="edge"/>
          <c:yMode val="edge"/>
          <c:x val="0.21489259625679299"/>
          <c:y val="0.65540884312537895"/>
          <c:w val="0.61366112368484105"/>
          <c:h val="0.132952755905512"/>
        </c:manualLayout>
      </c:layout>
      <c:overlay val="0"/>
      <c:txPr>
        <a:bodyPr/>
        <a:lstStyle/>
        <a:p>
          <a:pPr>
            <a:defRPr sz="1100"/>
          </a:pPr>
          <a:endParaRPr lang="da-DK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a-DK" baseline="0"/>
              <a:t>Accuracy, </a:t>
            </a:r>
            <a:r>
              <a:rPr lang="da-DK"/>
              <a:t>Sternberg</a:t>
            </a:r>
            <a:r>
              <a:rPr lang="da-DK" baseline="0"/>
              <a:t> 2019</a:t>
            </a:r>
          </a:p>
          <a:p>
            <a:pPr>
              <a:defRPr/>
            </a:pPr>
            <a:r>
              <a:rPr lang="da-DK" b="0" baseline="0"/>
              <a:t>(</a:t>
            </a:r>
            <a:r>
              <a:rPr lang="da-DK" b="0" i="1" baseline="0"/>
              <a:t>N</a:t>
            </a:r>
            <a:r>
              <a:rPr lang="da-DK" b="0" baseline="0"/>
              <a:t> = 194)</a:t>
            </a:r>
            <a:endParaRPr lang="da-DK" b="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8463389944319"/>
          <c:y val="0.20603949432032301"/>
          <c:w val="0.80187010324852104"/>
          <c:h val="0.59114052488885804"/>
        </c:manualLayout>
      </c:layout>
      <c:scatterChart>
        <c:scatterStyle val="lineMarker"/>
        <c:varyColors val="0"/>
        <c:ser>
          <c:idx val="0"/>
          <c:order val="0"/>
          <c:tx>
            <c:strRef>
              <c:f>'Accuracy plot'!$G$2</c:f>
              <c:strCache>
                <c:ptCount val="1"/>
                <c:pt idx="0">
                  <c:v>Unmasked, present</c:v>
                </c:pt>
              </c:strCache>
            </c:strRef>
          </c:tx>
          <c:spPr>
            <a:ln>
              <a:solidFill>
                <a:schemeClr val="tx2">
                  <a:lumMod val="75000"/>
                </a:schemeClr>
              </a:solidFill>
            </a:ln>
          </c:spPr>
          <c:marker>
            <c:symbol val="circle"/>
            <c:size val="8"/>
            <c:spPr>
              <a:solidFill>
                <a:srgbClr val="002060"/>
              </a:solidFill>
              <a:ln>
                <a:solidFill>
                  <a:schemeClr val="tx2">
                    <a:lumMod val="75000"/>
                  </a:schemeClr>
                </a:solidFill>
              </a:ln>
            </c:spPr>
          </c:marker>
          <c:xVal>
            <c:numRef>
              <c:f>'Accuracy plot'!$H$1:$J$1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'Accuracy plot'!$H$2:$J$2</c:f>
              <c:numCache>
                <c:formatCode>####.0000</c:formatCode>
                <c:ptCount val="3"/>
                <c:pt idx="0">
                  <c:v>0.94899999999999995</c:v>
                </c:pt>
                <c:pt idx="1">
                  <c:v>0.95569999999999999</c:v>
                </c:pt>
                <c:pt idx="2">
                  <c:v>0.95379999999999998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99-4D5E-9B01-1D3FB2F9B305}"/>
            </c:ext>
          </c:extLst>
        </c:ser>
        <c:ser>
          <c:idx val="1"/>
          <c:order val="1"/>
          <c:tx>
            <c:strRef>
              <c:f>'Accuracy plot'!$G$3</c:f>
              <c:strCache>
                <c:ptCount val="1"/>
                <c:pt idx="0">
                  <c:v>Unmasked, absent</c:v>
                </c:pt>
              </c:strCache>
            </c:strRef>
          </c:tx>
          <c:spPr>
            <a:ln>
              <a:solidFill>
                <a:srgbClr val="C00000"/>
              </a:solidFill>
            </a:ln>
          </c:spPr>
          <c:marker>
            <c:symbol val="circle"/>
            <c:size val="8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xVal>
            <c:numRef>
              <c:f>'Accuracy plot'!$H$1:$J$1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'Accuracy plot'!$H$3:$J$3</c:f>
              <c:numCache>
                <c:formatCode>####.0000</c:formatCode>
                <c:ptCount val="3"/>
                <c:pt idx="0">
                  <c:v>0.97570000000000001</c:v>
                </c:pt>
                <c:pt idx="1">
                  <c:v>0.97840000000000005</c:v>
                </c:pt>
                <c:pt idx="2">
                  <c:v>0.95889999999999997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99-4D5E-9B01-1D3FB2F9B305}"/>
            </c:ext>
          </c:extLst>
        </c:ser>
        <c:ser>
          <c:idx val="2"/>
          <c:order val="2"/>
          <c:tx>
            <c:strRef>
              <c:f>'Accuracy plot'!$G$4</c:f>
              <c:strCache>
                <c:ptCount val="1"/>
                <c:pt idx="0">
                  <c:v>Masked, present</c:v>
                </c:pt>
              </c:strCache>
            </c:strRef>
          </c:tx>
          <c:spPr>
            <a:ln>
              <a:solidFill>
                <a:srgbClr val="002060"/>
              </a:solidFill>
              <a:prstDash val="sysDash"/>
            </a:ln>
          </c:spPr>
          <c:marker>
            <c:symbol val="circle"/>
            <c:size val="7"/>
            <c:spPr>
              <a:solidFill>
                <a:srgbClr val="002060"/>
              </a:solidFill>
              <a:ln>
                <a:solidFill>
                  <a:srgbClr val="002060"/>
                </a:solidFill>
              </a:ln>
            </c:spPr>
          </c:marker>
          <c:xVal>
            <c:numRef>
              <c:f>'Accuracy plot'!$H$1:$J$1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'Accuracy plot'!$H$4:$J$4</c:f>
              <c:numCache>
                <c:formatCode>####.0000</c:formatCode>
                <c:ptCount val="3"/>
                <c:pt idx="0">
                  <c:v>0.94530000000000003</c:v>
                </c:pt>
                <c:pt idx="1">
                  <c:v>0.93140000000000001</c:v>
                </c:pt>
                <c:pt idx="2">
                  <c:v>0.90259999999999996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C99-4D5E-9B01-1D3FB2F9B305}"/>
            </c:ext>
          </c:extLst>
        </c:ser>
        <c:ser>
          <c:idx val="3"/>
          <c:order val="3"/>
          <c:tx>
            <c:strRef>
              <c:f>'Accuracy plot'!$G$5</c:f>
              <c:strCache>
                <c:ptCount val="1"/>
                <c:pt idx="0">
                  <c:v>Masked, absent</c:v>
                </c:pt>
              </c:strCache>
            </c:strRef>
          </c:tx>
          <c:spPr>
            <a:ln>
              <a:solidFill>
                <a:srgbClr val="C00000"/>
              </a:solidFill>
              <a:prstDash val="sysDash"/>
            </a:ln>
          </c:spPr>
          <c:marker>
            <c:symbol val="circle"/>
            <c:size val="7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xVal>
            <c:numRef>
              <c:f>'Accuracy plot'!$H$1:$J$1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'Accuracy plot'!$H$5:$J$5</c:f>
              <c:numCache>
                <c:formatCode>####.0000</c:formatCode>
                <c:ptCount val="3"/>
                <c:pt idx="0">
                  <c:v>0.98760000000000003</c:v>
                </c:pt>
                <c:pt idx="1">
                  <c:v>0.98</c:v>
                </c:pt>
                <c:pt idx="2">
                  <c:v>0.96960000000000002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C99-4D5E-9B01-1D3FB2F9B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2862064"/>
        <c:axId val="-2060244608"/>
      </c:scatterChart>
      <c:valAx>
        <c:axId val="-2052862064"/>
        <c:scaling>
          <c:orientation val="minMax"/>
          <c:max val="6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 sz="1200" b="0"/>
                </a:pPr>
                <a:r>
                  <a:rPr lang="en-US" sz="1200" b="0"/>
                  <a:t>Size of memory set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a-DK"/>
          </a:p>
        </c:txPr>
        <c:crossAx val="-2060244608"/>
        <c:crosses val="autoZero"/>
        <c:crossBetween val="midCat"/>
        <c:majorUnit val="1"/>
      </c:valAx>
      <c:valAx>
        <c:axId val="-2060244608"/>
        <c:scaling>
          <c:orientation val="minMax"/>
          <c:max val="1"/>
          <c:min val="0.84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 b="0"/>
                </a:pPr>
                <a:r>
                  <a:rPr lang="da-DK" sz="1200" b="0"/>
                  <a:t>Accuracy</a:t>
                </a:r>
              </a:p>
            </c:rich>
          </c:tx>
          <c:layout>
            <c:manualLayout>
              <c:xMode val="edge"/>
              <c:yMode val="edge"/>
              <c:x val="1.9457447337155102E-2"/>
              <c:y val="0.32360310893341698"/>
            </c:manualLayout>
          </c:layout>
          <c:overlay val="0"/>
        </c:title>
        <c:numFmt formatCode="####.00" sourceLinked="0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da-DK"/>
          </a:p>
        </c:txPr>
        <c:crossAx val="-2052862064"/>
        <c:crosses val="autoZero"/>
        <c:crossBetween val="midCat"/>
        <c:majorUnit val="0.02"/>
      </c:valAx>
    </c:plotArea>
    <c:legend>
      <c:legendPos val="r"/>
      <c:layout>
        <c:manualLayout>
          <c:xMode val="edge"/>
          <c:yMode val="edge"/>
          <c:x val="0.21489259625679299"/>
          <c:y val="0.65540892134245898"/>
          <c:w val="0.61366112368484105"/>
          <c:h val="0.132952787681201"/>
        </c:manualLayout>
      </c:layout>
      <c:overlay val="0"/>
      <c:txPr>
        <a:bodyPr/>
        <a:lstStyle/>
        <a:p>
          <a:pPr>
            <a:defRPr sz="1100"/>
          </a:pPr>
          <a:endParaRPr lang="da-DK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anchorCtr="1"/>
          <a:lstStyle/>
          <a:p>
            <a:pPr>
              <a:defRPr/>
            </a:pPr>
            <a:r>
              <a:rPr lang="da-DK"/>
              <a:t>RT</a:t>
            </a:r>
            <a:br>
              <a:rPr lang="da-DK"/>
            </a:br>
            <a:r>
              <a:rPr lang="da-DK"/>
              <a:t>(FP19201)</a:t>
            </a:r>
          </a:p>
        </c:rich>
      </c:tx>
      <c:layout>
        <c:manualLayout>
          <c:xMode val="edge"/>
          <c:yMode val="edge"/>
          <c:x val="0.4364134494201441"/>
          <c:y val="7.9582784258711362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6083995358935"/>
          <c:y val="0.186046511627907"/>
          <c:w val="0.82797259340348695"/>
          <c:h val="0.58689800761206201"/>
        </c:manualLayout>
      </c:layout>
      <c:scatterChart>
        <c:scatterStyle val="lineMarker"/>
        <c:varyColors val="0"/>
        <c:ser>
          <c:idx val="2"/>
          <c:order val="2"/>
          <c:tx>
            <c:strRef>
              <c:f>[Sternberg2019_Indtastningsark_FP19201.xlsx]Indtastningsark!$A$10</c:f>
              <c:strCache>
                <c:ptCount val="1"/>
                <c:pt idx="0">
                  <c:v>Unmasked Present</c:v>
                </c:pt>
              </c:strCache>
            </c:strRef>
          </c:tx>
          <c:spPr>
            <a:ln w="28575">
              <a:noFill/>
            </a:ln>
          </c:spPr>
          <c:marker>
            <c:symbol val="triangle"/>
            <c:size val="9"/>
            <c:spPr>
              <a:solidFill>
                <a:schemeClr val="tx2"/>
              </a:solidFill>
              <a:ln>
                <a:solidFill>
                  <a:schemeClr val="tx2"/>
                </a:solidFill>
              </a:ln>
            </c:spPr>
          </c:marker>
          <c:trendline>
            <c:spPr>
              <a:ln>
                <a:solidFill>
                  <a:schemeClr val="tx2"/>
                </a:solidFill>
              </a:ln>
            </c:spPr>
            <c:trendlineType val="linear"/>
            <c:dispRSqr val="0"/>
            <c:dispEq val="0"/>
          </c:trendline>
          <c:xVal>
            <c:numRef>
              <c:f>[Sternberg2019_Indtastningsark_FP19201.xlsx]Indtastningsark!$B$9:$D$9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[Sternberg2019_Indtastningsark_FP19201.xlsx]Indtastningsark!$B$10:$D$10</c:f>
              <c:numCache>
                <c:formatCode>0.00</c:formatCode>
                <c:ptCount val="3"/>
                <c:pt idx="0">
                  <c:v>606.4</c:v>
                </c:pt>
                <c:pt idx="1">
                  <c:v>558.6</c:v>
                </c:pt>
                <c:pt idx="2">
                  <c:v>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41-4E82-998C-004A09B50EF5}"/>
            </c:ext>
          </c:extLst>
        </c:ser>
        <c:ser>
          <c:idx val="3"/>
          <c:order val="3"/>
          <c:tx>
            <c:strRef>
              <c:f>[Sternberg2019_Indtastningsark_FP19201.xlsx]Indtastningsark!$A$11</c:f>
              <c:strCache>
                <c:ptCount val="1"/>
                <c:pt idx="0">
                  <c:v>Unmasked Absent</c:v>
                </c:pt>
              </c:strCache>
            </c:strRef>
          </c:tx>
          <c:spPr>
            <a:ln w="28575">
              <a:noFill/>
            </a:ln>
          </c:spPr>
          <c:marker>
            <c:symbol val="triangle"/>
            <c:size val="9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</c:spPr>
          </c:marker>
          <c:trendline>
            <c:spPr>
              <a:ln>
                <a:solidFill>
                  <a:srgbClr val="FF0000"/>
                </a:solidFill>
                <a:prstDash val="solid"/>
              </a:ln>
            </c:spPr>
            <c:trendlineType val="linear"/>
            <c:dispRSqr val="0"/>
            <c:dispEq val="0"/>
          </c:trendline>
          <c:xVal>
            <c:numRef>
              <c:f>[Sternberg2019_Indtastningsark_FP19201.xlsx]Indtastningsark!$B$9:$D$9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[Sternberg2019_Indtastningsark_FP19201.xlsx]Indtastningsark!$B$11:$D$11</c:f>
              <c:numCache>
                <c:formatCode>0.00</c:formatCode>
                <c:ptCount val="3"/>
                <c:pt idx="0">
                  <c:v>721.7</c:v>
                </c:pt>
                <c:pt idx="1">
                  <c:v>698.5</c:v>
                </c:pt>
                <c:pt idx="2">
                  <c:v>723.33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241-4E82-998C-004A09B50EF5}"/>
            </c:ext>
          </c:extLst>
        </c:ser>
        <c:ser>
          <c:idx val="0"/>
          <c:order val="0"/>
          <c:tx>
            <c:strRef>
              <c:f>[Sternberg2019_Indtastningsark_FP19201.xlsx]Indtastningsark!$A$12</c:f>
              <c:strCache>
                <c:ptCount val="1"/>
                <c:pt idx="0">
                  <c:v>Masked Present</c:v>
                </c:pt>
              </c:strCache>
            </c:strRef>
          </c:tx>
          <c:spPr>
            <a:ln>
              <a:noFill/>
            </a:ln>
          </c:spPr>
          <c:marker>
            <c:symbol val="square"/>
            <c:size val="9"/>
            <c:spPr>
              <a:solidFill>
                <a:schemeClr val="tx2"/>
              </a:solidFill>
              <a:ln>
                <a:solidFill>
                  <a:schemeClr val="tx2"/>
                </a:solidFill>
                <a:prstDash val="solid"/>
              </a:ln>
            </c:spPr>
          </c:marker>
          <c:trendline>
            <c:spPr>
              <a:ln w="12700">
                <a:solidFill>
                  <a:schemeClr val="tx2"/>
                </a:solidFill>
                <a:prstDash val="sysDash"/>
              </a:ln>
              <a:effectLst>
                <a:glow>
                  <a:schemeClr val="accent1">
                    <a:alpha val="40000"/>
                  </a:schemeClr>
                </a:glow>
                <a:softEdge rad="0"/>
              </a:effectLst>
            </c:spPr>
            <c:trendlineType val="linear"/>
            <c:dispRSqr val="0"/>
            <c:dispEq val="0"/>
          </c:trendline>
          <c:xVal>
            <c:numRef>
              <c:f>[Sternberg2019_Indtastningsark_FP19201.xlsx]Indtastningsark!$B$9:$D$9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[Sternberg2019_Indtastningsark_FP19201.xlsx]Indtastningsark!$B$12:$D$12</c:f>
              <c:numCache>
                <c:formatCode>0.00</c:formatCode>
                <c:ptCount val="3"/>
                <c:pt idx="0">
                  <c:v>653.4</c:v>
                </c:pt>
                <c:pt idx="1">
                  <c:v>802.33</c:v>
                </c:pt>
                <c:pt idx="2">
                  <c:v>851.9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241-4E82-998C-004A09B50EF5}"/>
            </c:ext>
          </c:extLst>
        </c:ser>
        <c:ser>
          <c:idx val="1"/>
          <c:order val="1"/>
          <c:tx>
            <c:strRef>
              <c:f>[Sternberg2019_Indtastningsark_FP19201.xlsx]Indtastningsark!$A$13</c:f>
              <c:strCache>
                <c:ptCount val="1"/>
                <c:pt idx="0">
                  <c:v>Masked Absent</c:v>
                </c:pt>
              </c:strCache>
            </c:strRef>
          </c:tx>
          <c:spPr>
            <a:ln w="28575">
              <a:noFill/>
            </a:ln>
          </c:spPr>
          <c:marker>
            <c:symbol val="square"/>
            <c:size val="9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trendline>
            <c:spPr>
              <a:ln w="12700">
                <a:solidFill>
                  <a:srgbClr val="FF0000"/>
                </a:solidFill>
                <a:prstDash val="sysDash"/>
              </a:ln>
            </c:spPr>
            <c:trendlineType val="linear"/>
            <c:dispRSqr val="0"/>
            <c:dispEq val="0"/>
          </c:trendline>
          <c:xVal>
            <c:numRef>
              <c:f>[Sternberg2019_Indtastningsark_FP19201.xlsx]Indtastningsark!$B$9:$D$9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[Sternberg2019_Indtastningsark_FP19201.xlsx]Indtastningsark!$B$13:$D$13</c:f>
              <c:numCache>
                <c:formatCode>0.00</c:formatCode>
                <c:ptCount val="3"/>
                <c:pt idx="0">
                  <c:v>700.7</c:v>
                </c:pt>
                <c:pt idx="1">
                  <c:v>722.5</c:v>
                </c:pt>
                <c:pt idx="2">
                  <c:v>794.2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241-4E82-998C-004A09B50E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762432"/>
        <c:axId val="87766144"/>
      </c:scatterChart>
      <c:valAx>
        <c:axId val="87762432"/>
        <c:scaling>
          <c:orientation val="minMax"/>
          <c:max val="7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da-DK" sz="1200"/>
                  <a:t>Size of memory set</a:t>
                </a:r>
              </a:p>
            </c:rich>
          </c:tx>
          <c:layout>
            <c:manualLayout>
              <c:xMode val="edge"/>
              <c:yMode val="edge"/>
              <c:x val="0.34103063415774298"/>
              <c:y val="0.8377843351772810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0"/>
            </a:pPr>
            <a:endParaRPr lang="da-DK"/>
          </a:p>
        </c:txPr>
        <c:crossAx val="87766144"/>
        <c:crosses val="autoZero"/>
        <c:crossBetween val="midCat"/>
      </c:valAx>
      <c:valAx>
        <c:axId val="87766144"/>
        <c:scaling>
          <c:orientation val="minMax"/>
          <c:max val="1100"/>
          <c:min val="50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200"/>
                </a:pPr>
                <a:r>
                  <a:rPr lang="da-DK" sz="1200"/>
                  <a:t>RT (ms)</a:t>
                </a:r>
              </a:p>
            </c:rich>
          </c:tx>
          <c:layout>
            <c:manualLayout>
              <c:xMode val="edge"/>
              <c:yMode val="edge"/>
              <c:x val="1.1188811188811199E-2"/>
              <c:y val="0.389006342494715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0"/>
            </a:pPr>
            <a:endParaRPr lang="da-DK"/>
          </a:p>
        </c:txPr>
        <c:crossAx val="87762432"/>
        <c:crosses val="autoZero"/>
        <c:crossBetween val="midCat"/>
        <c:majorUnit val="100"/>
      </c:valAx>
      <c:spPr>
        <a:gradFill rotWithShape="0">
          <a:gsLst>
            <a:gs pos="0">
              <a:srgbClr val="FFFFFF"/>
            </a:gs>
            <a:gs pos="100000">
              <a:srgbClr val="969696"/>
            </a:gs>
          </a:gsLst>
          <a:lin ang="5400000" scaled="1"/>
        </a:gra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2543515210378439"/>
          <c:y val="0.88527997472705133"/>
          <c:w val="0.68013997764887935"/>
          <c:h val="0.1053240519530739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>
              <a:ln>
                <a:noFill/>
              </a:ln>
            </a:defRPr>
          </a:pPr>
          <a:endParaRPr lang="da-DK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da-DK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a-DK"/>
              <a:t>Accuracy</a:t>
            </a:r>
          </a:p>
          <a:p>
            <a:pPr>
              <a:defRPr/>
            </a:pPr>
            <a:r>
              <a:rPr lang="da-DK"/>
              <a:t>(FP19201)</a:t>
            </a:r>
          </a:p>
        </c:rich>
      </c:tx>
      <c:layout>
        <c:manualLayout>
          <c:xMode val="edge"/>
          <c:yMode val="edge"/>
          <c:x val="0.43337868944114127"/>
          <c:y val="6.197009102569169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3649219172278801"/>
          <c:y val="0.186046511627907"/>
          <c:w val="0.80756446028661999"/>
          <c:h val="0.58689800761206201"/>
        </c:manualLayout>
      </c:layout>
      <c:scatterChart>
        <c:scatterStyle val="lineMarker"/>
        <c:varyColors val="0"/>
        <c:ser>
          <c:idx val="2"/>
          <c:order val="2"/>
          <c:tx>
            <c:strRef>
              <c:f>[Sternberg2019_Indtastningsark_FP19201.xlsx]Indtastningsark!$A$10</c:f>
              <c:strCache>
                <c:ptCount val="1"/>
                <c:pt idx="0">
                  <c:v>Unmasked Present</c:v>
                </c:pt>
              </c:strCache>
            </c:strRef>
          </c:tx>
          <c:spPr>
            <a:ln w="28575">
              <a:noFill/>
            </a:ln>
          </c:spPr>
          <c:marker>
            <c:symbol val="triangle"/>
            <c:size val="17"/>
            <c:spPr>
              <a:noFill/>
              <a:ln>
                <a:solidFill>
                  <a:schemeClr val="tx2"/>
                </a:solidFill>
              </a:ln>
            </c:spPr>
          </c:marker>
          <c:trendline>
            <c:spPr>
              <a:ln w="22225">
                <a:solidFill>
                  <a:schemeClr val="tx2"/>
                </a:solidFill>
              </a:ln>
            </c:spPr>
            <c:trendlineType val="linear"/>
            <c:dispRSqr val="0"/>
            <c:dispEq val="0"/>
          </c:trendline>
          <c:xVal>
            <c:numRef>
              <c:f>[Sternberg2019_Indtastningsark_FP19201.xlsx]Indtastningsark!$B$9:$D$9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[Sternberg2019_Indtastningsark_FP19201.xlsx]Indtastningsark!$G$10:$I$10</c:f>
              <c:numCache>
                <c:formatCode>0.00</c:formatCode>
                <c:ptCount val="3"/>
                <c:pt idx="0">
                  <c:v>1</c:v>
                </c:pt>
                <c:pt idx="1">
                  <c:v>1</c:v>
                </c:pt>
                <c:pt idx="2">
                  <c:v>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55-48B5-855E-2CCBF66B7649}"/>
            </c:ext>
          </c:extLst>
        </c:ser>
        <c:ser>
          <c:idx val="3"/>
          <c:order val="3"/>
          <c:tx>
            <c:strRef>
              <c:f>[Sternberg2019_Indtastningsark_FP19201.xlsx]Indtastningsark!$A$11</c:f>
              <c:strCache>
                <c:ptCount val="1"/>
                <c:pt idx="0">
                  <c:v>Unmasked Absent</c:v>
                </c:pt>
              </c:strCache>
            </c:strRef>
          </c:tx>
          <c:spPr>
            <a:ln w="28575">
              <a:noFill/>
            </a:ln>
          </c:spPr>
          <c:marker>
            <c:symbol val="triangle"/>
            <c:size val="6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</c:spPr>
          </c:marker>
          <c:trendline>
            <c:spPr>
              <a:ln w="9525">
                <a:solidFill>
                  <a:srgbClr val="FF0000"/>
                </a:solidFill>
              </a:ln>
            </c:spPr>
            <c:trendlineType val="linear"/>
            <c:dispRSqr val="0"/>
            <c:dispEq val="0"/>
          </c:trendline>
          <c:xVal>
            <c:numRef>
              <c:f>[Sternberg2019_Indtastningsark_FP19201.xlsx]Indtastningsark!$B$9:$D$9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[Sternberg2019_Indtastningsark_FP19201.xlsx]Indtastningsark!$G$11:$I$11</c:f>
              <c:numCache>
                <c:formatCode>0.00</c:formatCode>
                <c:ptCount val="3"/>
                <c:pt idx="0">
                  <c:v>1</c:v>
                </c:pt>
                <c:pt idx="1">
                  <c:v>1</c:v>
                </c:pt>
                <c:pt idx="2">
                  <c:v>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355-48B5-855E-2CCBF66B7649}"/>
            </c:ext>
          </c:extLst>
        </c:ser>
        <c:ser>
          <c:idx val="0"/>
          <c:order val="0"/>
          <c:tx>
            <c:strRef>
              <c:f>[Sternberg2019_Indtastningsark_FP19201.xlsx]Indtastningsark!$A$12</c:f>
              <c:strCache>
                <c:ptCount val="1"/>
                <c:pt idx="0">
                  <c:v>Masked Present</c:v>
                </c:pt>
              </c:strCache>
            </c:strRef>
          </c:tx>
          <c:spPr>
            <a:ln w="28575">
              <a:noFill/>
            </a:ln>
          </c:spPr>
          <c:marker>
            <c:symbol val="square"/>
            <c:size val="9"/>
            <c:spPr>
              <a:solidFill>
                <a:schemeClr val="tx2"/>
              </a:solidFill>
              <a:ln>
                <a:solidFill>
                  <a:schemeClr val="tx2"/>
                </a:solidFill>
                <a:prstDash val="solid"/>
              </a:ln>
            </c:spPr>
          </c:marker>
          <c:trendline>
            <c:spPr>
              <a:ln>
                <a:solidFill>
                  <a:schemeClr val="tx2"/>
                </a:solidFill>
                <a:prstDash val="sysDash"/>
              </a:ln>
            </c:spPr>
            <c:trendlineType val="linear"/>
            <c:dispRSqr val="0"/>
            <c:dispEq val="0"/>
          </c:trendline>
          <c:xVal>
            <c:numRef>
              <c:f>[Sternberg2019_Indtastningsark_FP19201.xlsx]Indtastningsark!$B$9:$D$9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[Sternberg2019_Indtastningsark_FP19201.xlsx]Indtastningsark!$G$12:$I$12</c:f>
              <c:numCache>
                <c:formatCode>0.00</c:formatCode>
                <c:ptCount val="3"/>
                <c:pt idx="0">
                  <c:v>1</c:v>
                </c:pt>
                <c:pt idx="1">
                  <c:v>0.9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355-48B5-855E-2CCBF66B7649}"/>
            </c:ext>
          </c:extLst>
        </c:ser>
        <c:ser>
          <c:idx val="1"/>
          <c:order val="1"/>
          <c:tx>
            <c:strRef>
              <c:f>[Sternberg2019_Indtastningsark_FP19201.xlsx]Indtastningsark!$A$13</c:f>
              <c:strCache>
                <c:ptCount val="1"/>
                <c:pt idx="0">
                  <c:v>Masked Absent</c:v>
                </c:pt>
              </c:strCache>
            </c:strRef>
          </c:tx>
          <c:spPr>
            <a:ln w="28575">
              <a:noFill/>
            </a:ln>
          </c:spPr>
          <c:marker>
            <c:symbol val="square"/>
            <c:size val="12"/>
            <c:spPr>
              <a:noFill/>
              <a:ln w="12700" cmpd="sng">
                <a:solidFill>
                  <a:srgbClr val="FF0000"/>
                </a:solidFill>
                <a:prstDash val="solid"/>
              </a:ln>
            </c:spPr>
          </c:marker>
          <c:trendline>
            <c:spPr>
              <a:ln w="12700">
                <a:solidFill>
                  <a:srgbClr val="FF0000"/>
                </a:solidFill>
                <a:prstDash val="sysDash"/>
              </a:ln>
            </c:spPr>
            <c:trendlineType val="linear"/>
            <c:dispRSqr val="0"/>
            <c:dispEq val="0"/>
          </c:trendline>
          <c:xVal>
            <c:numRef>
              <c:f>[Sternberg2019_Indtastningsark_FP19201.xlsx]Indtastningsark!$B$9:$D$9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[Sternberg2019_Indtastningsark_FP19201.xlsx]Indtastningsark!$G$13:$I$13</c:f>
              <c:numCache>
                <c:formatCode>0.00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355-48B5-855E-2CCBF66B7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698048"/>
        <c:axId val="106334080"/>
      </c:scatterChart>
      <c:valAx>
        <c:axId val="105698048"/>
        <c:scaling>
          <c:orientation val="minMax"/>
          <c:max val="7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da-DK" sz="1200"/>
                  <a:t>Size of memory set</a:t>
                </a:r>
              </a:p>
            </c:rich>
          </c:tx>
          <c:layout>
            <c:manualLayout>
              <c:xMode val="edge"/>
              <c:yMode val="edge"/>
              <c:x val="0.34103063415774298"/>
              <c:y val="0.8377843351772810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0"/>
            </a:pPr>
            <a:endParaRPr lang="da-DK"/>
          </a:p>
        </c:txPr>
        <c:crossAx val="106334080"/>
        <c:crosses val="autoZero"/>
        <c:crossBetween val="midCat"/>
      </c:valAx>
      <c:valAx>
        <c:axId val="106334080"/>
        <c:scaling>
          <c:orientation val="minMax"/>
          <c:max val="1.04"/>
          <c:min val="0.85000000000000009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minorGridlines/>
        <c:title>
          <c:tx>
            <c:rich>
              <a:bodyPr/>
              <a:lstStyle/>
              <a:p>
                <a:pPr>
                  <a:defRPr sz="1200"/>
                </a:pPr>
                <a:r>
                  <a:rPr lang="da-DK" sz="1200"/>
                  <a:t>Accuracy</a:t>
                </a:r>
              </a:p>
            </c:rich>
          </c:tx>
          <c:layout>
            <c:manualLayout>
              <c:xMode val="edge"/>
              <c:yMode val="edge"/>
              <c:x val="1.1188811188811199E-2"/>
              <c:y val="0.389006342494715"/>
            </c:manualLayout>
          </c:layout>
          <c:overlay val="0"/>
          <c:spPr>
            <a:noFill/>
            <a:ln w="25400">
              <a:noFill/>
            </a:ln>
          </c:spPr>
        </c:title>
        <c:numFmt formatCode="0.0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0"/>
            </a:pPr>
            <a:endParaRPr lang="da-DK"/>
          </a:p>
        </c:txPr>
        <c:crossAx val="105698048"/>
        <c:crosses val="autoZero"/>
        <c:crossBetween val="midCat"/>
        <c:majorUnit val="0.05"/>
        <c:minorUnit val="0.01"/>
      </c:valAx>
      <c:spPr>
        <a:gradFill rotWithShape="0">
          <a:gsLst>
            <a:gs pos="0">
              <a:srgbClr val="FFFFFF"/>
            </a:gs>
            <a:gs pos="100000">
              <a:srgbClr val="969696"/>
            </a:gs>
          </a:gsLst>
          <a:lin ang="5400000" scaled="1"/>
        </a:gra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7050070888406466"/>
          <c:y val="0.87561516864477795"/>
          <c:w val="0.69949503853110495"/>
          <c:h val="0.11553311549619606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/>
          </a:pPr>
          <a:endParaRPr lang="da-DK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da-D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1E711-026D-4BC0-88C5-C2DC205A70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AEE255-C9A0-4A6C-9486-6350F54F4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E95C0-FB19-446B-B872-548D0C09F2CE}"/>
</file>

<file path=customXml/itemProps4.xml><?xml version="1.0" encoding="utf-8"?>
<ds:datastoreItem xmlns:ds="http://schemas.openxmlformats.org/officeDocument/2006/customXml" ds:itemID="{272B722B-BDE1-4EE5-86D3-85D8C623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8</Pages>
  <Words>1185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8398</CharactersWithSpaces>
  <SharedDoc>false</SharedDoc>
  <HLinks>
    <vt:vector size="54" baseType="variant"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_Toc287972097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_Toc287972096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_Toc287972095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_Toc287972094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_Toc287972093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_Toc287972092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_Toc287972091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_Toc287972090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_Toc287972089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Misfeldt Beck</dc:creator>
  <cp:keywords/>
  <dc:description/>
  <cp:lastModifiedBy>Frederik Bredgaard</cp:lastModifiedBy>
  <cp:revision>482</cp:revision>
  <dcterms:created xsi:type="dcterms:W3CDTF">2019-09-19T10:34:00Z</dcterms:created>
  <dcterms:modified xsi:type="dcterms:W3CDTF">2019-12-03T15:38:00Z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abfc7c20-72e8-3a17-9c4f-3e1e21a8d8dc</vt:lpwstr>
  </property>
  <property fmtid="{D5CDD505-2E9C-101B-9397-08002B2CF9AE}" pid="25" name="Mendeley Citation Style_1">
    <vt:lpwstr>http://www.zotero.org/styles/apa</vt:lpwstr>
  </property>
</Properties>
</file>