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pPr w:leftFromText="181" w:rightFromText="181" w:vertAnchor="page" w:horzAnchor="page" w:tblpX="1277" w:tblpY="50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214"/>
      </w:tblGrid>
      <w:tr w:rsidR="001078C3" w:rsidRPr="009A6A11" w14:paraId="3B22A7B8" w14:textId="77777777" w:rsidTr="00C770E6">
        <w:trPr>
          <w:trHeight w:hRule="exact" w:val="1134"/>
        </w:trPr>
        <w:tc>
          <w:tcPr>
            <w:tcW w:w="9214" w:type="dxa"/>
            <w:shd w:val="clear" w:color="auto" w:fill="auto"/>
          </w:tcPr>
          <w:p w14:paraId="67D6EBD8" w14:textId="2CB1FC7E" w:rsidR="001078C3" w:rsidRPr="009A6A11" w:rsidRDefault="00264C9D" w:rsidP="00B816DC">
            <w:pPr>
              <w:pStyle w:val="KUtitel"/>
              <w:rPr>
                <w:lang w:val="en-GB"/>
              </w:rPr>
            </w:pPr>
            <w:proofErr w:type="spellStart"/>
            <w:r w:rsidRPr="009A6A11">
              <w:rPr>
                <w:lang w:val="en-GB"/>
              </w:rPr>
              <w:t>Øvelsesrapport</w:t>
            </w:r>
            <w:proofErr w:type="spellEnd"/>
            <w:r w:rsidRPr="009A6A11">
              <w:rPr>
                <w:lang w:val="en-GB"/>
              </w:rPr>
              <w:t xml:space="preserve">: </w:t>
            </w:r>
            <w:r w:rsidR="0053347D">
              <w:rPr>
                <w:lang w:val="en-GB"/>
              </w:rPr>
              <w:t>TVA</w:t>
            </w:r>
          </w:p>
        </w:tc>
      </w:tr>
      <w:tr w:rsidR="001078C3" w:rsidRPr="009A6A11" w14:paraId="12E042F6" w14:textId="77777777" w:rsidTr="00C770E6">
        <w:trPr>
          <w:trHeight w:hRule="exact" w:val="3423"/>
        </w:trPr>
        <w:tc>
          <w:tcPr>
            <w:tcW w:w="9214" w:type="dxa"/>
            <w:shd w:val="clear" w:color="auto" w:fill="auto"/>
          </w:tcPr>
          <w:p w14:paraId="2A042B68" w14:textId="77777777" w:rsidR="00A010F8" w:rsidRPr="00326453" w:rsidRDefault="00D86D0B" w:rsidP="00B816DC">
            <w:pPr>
              <w:pStyle w:val="KUundertitel"/>
            </w:pPr>
            <w:r w:rsidRPr="00326453">
              <w:t>Sebastian Beck</w:t>
            </w:r>
          </w:p>
          <w:p w14:paraId="3B89070D" w14:textId="1C341B4E" w:rsidR="00D86D0B" w:rsidRPr="00E270DF" w:rsidRDefault="00D86D0B" w:rsidP="00B816DC">
            <w:pPr>
              <w:pStyle w:val="KUundertitel"/>
            </w:pPr>
            <w:r w:rsidRPr="00326453">
              <w:t>PJG511</w:t>
            </w:r>
          </w:p>
        </w:tc>
      </w:tr>
      <w:tr w:rsidR="001078C3" w:rsidRPr="009A6A11" w14:paraId="3FAC94B9" w14:textId="77777777" w:rsidTr="00C770E6">
        <w:trPr>
          <w:trHeight w:val="5493"/>
        </w:trPr>
        <w:tc>
          <w:tcPr>
            <w:tcW w:w="9214" w:type="dxa"/>
            <w:shd w:val="clear" w:color="auto" w:fill="auto"/>
          </w:tcPr>
          <w:p w14:paraId="4178E272" w14:textId="77777777" w:rsidR="00547BA1" w:rsidRPr="00E270DF" w:rsidRDefault="00547BA1" w:rsidP="00B816DC">
            <w:pPr>
              <w:pStyle w:val="Supplinfo"/>
            </w:pPr>
            <w:r w:rsidRPr="00E270DF">
              <w:br/>
            </w:r>
          </w:p>
          <w:p w14:paraId="2CA98379" w14:textId="77777777" w:rsidR="00547BA1" w:rsidRPr="00E270DF" w:rsidRDefault="00547BA1" w:rsidP="00B816DC">
            <w:pPr>
              <w:pStyle w:val="Supplinfo"/>
            </w:pPr>
          </w:p>
          <w:p w14:paraId="029FEC3C" w14:textId="77777777" w:rsidR="00547BA1" w:rsidRPr="00E270DF" w:rsidRDefault="00547BA1" w:rsidP="00B816DC">
            <w:pPr>
              <w:pStyle w:val="Supplinfo"/>
            </w:pPr>
          </w:p>
          <w:p w14:paraId="5D55FBC3" w14:textId="77777777" w:rsidR="00547BA1" w:rsidRPr="00E270DF" w:rsidRDefault="00547BA1" w:rsidP="00B816DC">
            <w:pPr>
              <w:pStyle w:val="Supplinfo"/>
            </w:pPr>
          </w:p>
          <w:p w14:paraId="3F70E772" w14:textId="77777777" w:rsidR="00547BA1" w:rsidRPr="00E270DF" w:rsidRDefault="00547BA1" w:rsidP="00B816DC">
            <w:pPr>
              <w:pStyle w:val="Supplinfo"/>
            </w:pPr>
          </w:p>
          <w:p w14:paraId="675EFB47" w14:textId="77777777" w:rsidR="00547BA1" w:rsidRPr="00E270DF" w:rsidRDefault="00547BA1" w:rsidP="00B816DC">
            <w:pPr>
              <w:pStyle w:val="Supplinfo"/>
            </w:pPr>
          </w:p>
          <w:p w14:paraId="00734E1E" w14:textId="77777777" w:rsidR="00547BA1" w:rsidRPr="00E270DF" w:rsidRDefault="00547BA1" w:rsidP="00B816DC">
            <w:pPr>
              <w:pStyle w:val="Supplinfo"/>
            </w:pPr>
          </w:p>
          <w:p w14:paraId="6563C5EA" w14:textId="2B5EAB9D" w:rsidR="001078C3" w:rsidRPr="009A6A11" w:rsidRDefault="00EC41DE" w:rsidP="00B816DC">
            <w:pPr>
              <w:pStyle w:val="Supplinfo"/>
              <w:rPr>
                <w:lang w:val="en-GB"/>
              </w:rPr>
            </w:pPr>
            <w:r>
              <w:rPr>
                <w:lang w:val="en-GB"/>
              </w:rPr>
              <w:t>4/12-2019</w:t>
            </w:r>
          </w:p>
        </w:tc>
      </w:tr>
    </w:tbl>
    <w:p w14:paraId="5AD25A91" w14:textId="77777777" w:rsidR="001078C3" w:rsidRPr="009A6A11" w:rsidRDefault="001078C3" w:rsidP="001078C3">
      <w:pPr>
        <w:rPr>
          <w:lang w:val="en-GB"/>
        </w:rPr>
      </w:pPr>
    </w:p>
    <w:p w14:paraId="52E952F4" w14:textId="011BD0B1" w:rsidR="001078C3" w:rsidRPr="009A6A11" w:rsidRDefault="009A6A11" w:rsidP="001078C3">
      <w:pPr>
        <w:pStyle w:val="KUtitel"/>
        <w:pageBreakBefore/>
        <w:rPr>
          <w:lang w:val="en-GB"/>
        </w:rPr>
      </w:pPr>
      <w:r>
        <w:rPr>
          <w:lang w:val="en-GB"/>
        </w:rPr>
        <w:lastRenderedPageBreak/>
        <w:t>Index</w:t>
      </w:r>
    </w:p>
    <w:p w14:paraId="3B48F1C0" w14:textId="4FF4005B" w:rsidR="004A17EF" w:rsidRDefault="001078C3">
      <w:pPr>
        <w:pStyle w:val="Indholdsfortegnelse1"/>
        <w:rPr>
          <w:rFonts w:asciiTheme="minorHAnsi" w:eastAsiaTheme="minorEastAsia" w:hAnsiTheme="minorHAnsi" w:cstheme="minorBidi"/>
          <w:b w:val="0"/>
          <w:bCs w:val="0"/>
          <w:caps w:val="0"/>
          <w:noProof/>
          <w:sz w:val="22"/>
          <w:szCs w:val="22"/>
        </w:rPr>
      </w:pPr>
      <w:r w:rsidRPr="009A6A11">
        <w:rPr>
          <w:rFonts w:ascii="Times New Roman" w:hAnsi="Times New Roman" w:cs="Times New Roman"/>
          <w:sz w:val="36"/>
          <w:u w:val="single"/>
          <w:lang w:val="en-GB"/>
        </w:rPr>
        <w:fldChar w:fldCharType="begin"/>
      </w:r>
      <w:r w:rsidRPr="00DB6DDB">
        <w:rPr>
          <w:rFonts w:ascii="Times New Roman" w:hAnsi="Times New Roman" w:cs="Times New Roman"/>
          <w:sz w:val="36"/>
          <w:u w:val="single"/>
          <w:lang w:val="en-GB"/>
        </w:rPr>
        <w:instrText xml:space="preserve"> TOC \o "1-3" \h \z \u </w:instrText>
      </w:r>
      <w:r w:rsidRPr="009A6A11">
        <w:rPr>
          <w:rFonts w:ascii="Times New Roman" w:hAnsi="Times New Roman" w:cs="Times New Roman"/>
          <w:sz w:val="36"/>
          <w:u w:val="single"/>
          <w:lang w:val="en-GB"/>
        </w:rPr>
        <w:fldChar w:fldCharType="separate"/>
      </w:r>
      <w:hyperlink w:anchor="_Toc26292286" w:history="1">
        <w:r w:rsidR="004A17EF" w:rsidRPr="00BC4A1C">
          <w:rPr>
            <w:rStyle w:val="Hyperlink"/>
            <w:noProof/>
            <w:lang w:val="en-GB"/>
          </w:rPr>
          <w:t>Introduction</w:t>
        </w:r>
        <w:r w:rsidR="004A17EF">
          <w:rPr>
            <w:noProof/>
            <w:webHidden/>
          </w:rPr>
          <w:tab/>
        </w:r>
        <w:r w:rsidR="004A17EF">
          <w:rPr>
            <w:noProof/>
            <w:webHidden/>
          </w:rPr>
          <w:fldChar w:fldCharType="begin"/>
        </w:r>
        <w:r w:rsidR="004A17EF">
          <w:rPr>
            <w:noProof/>
            <w:webHidden/>
          </w:rPr>
          <w:instrText xml:space="preserve"> PAGEREF _Toc26292286 \h </w:instrText>
        </w:r>
        <w:r w:rsidR="004A17EF">
          <w:rPr>
            <w:noProof/>
            <w:webHidden/>
          </w:rPr>
        </w:r>
        <w:r w:rsidR="004A17EF">
          <w:rPr>
            <w:noProof/>
            <w:webHidden/>
          </w:rPr>
          <w:fldChar w:fldCharType="separate"/>
        </w:r>
        <w:r w:rsidR="004A17EF">
          <w:rPr>
            <w:noProof/>
            <w:webHidden/>
          </w:rPr>
          <w:t>3</w:t>
        </w:r>
        <w:r w:rsidR="004A17EF">
          <w:rPr>
            <w:noProof/>
            <w:webHidden/>
          </w:rPr>
          <w:fldChar w:fldCharType="end"/>
        </w:r>
      </w:hyperlink>
    </w:p>
    <w:p w14:paraId="786F331B" w14:textId="3388BC9A" w:rsidR="004A17EF" w:rsidRDefault="004A17EF">
      <w:pPr>
        <w:pStyle w:val="Indholdsfortegnelse1"/>
        <w:rPr>
          <w:rFonts w:asciiTheme="minorHAnsi" w:eastAsiaTheme="minorEastAsia" w:hAnsiTheme="minorHAnsi" w:cstheme="minorBidi"/>
          <w:b w:val="0"/>
          <w:bCs w:val="0"/>
          <w:caps w:val="0"/>
          <w:noProof/>
          <w:sz w:val="22"/>
          <w:szCs w:val="22"/>
        </w:rPr>
      </w:pPr>
      <w:hyperlink w:anchor="_Toc26292287" w:history="1">
        <w:r w:rsidRPr="00BC4A1C">
          <w:rPr>
            <w:rStyle w:val="Hyperlink"/>
            <w:noProof/>
            <w:lang w:val="en-GB"/>
          </w:rPr>
          <w:t>Method</w:t>
        </w:r>
        <w:r>
          <w:rPr>
            <w:noProof/>
            <w:webHidden/>
          </w:rPr>
          <w:tab/>
        </w:r>
        <w:r>
          <w:rPr>
            <w:noProof/>
            <w:webHidden/>
          </w:rPr>
          <w:fldChar w:fldCharType="begin"/>
        </w:r>
        <w:r>
          <w:rPr>
            <w:noProof/>
            <w:webHidden/>
          </w:rPr>
          <w:instrText xml:space="preserve"> PAGEREF _Toc26292287 \h </w:instrText>
        </w:r>
        <w:r>
          <w:rPr>
            <w:noProof/>
            <w:webHidden/>
          </w:rPr>
        </w:r>
        <w:r>
          <w:rPr>
            <w:noProof/>
            <w:webHidden/>
          </w:rPr>
          <w:fldChar w:fldCharType="separate"/>
        </w:r>
        <w:r>
          <w:rPr>
            <w:noProof/>
            <w:webHidden/>
          </w:rPr>
          <w:t>5</w:t>
        </w:r>
        <w:r>
          <w:rPr>
            <w:noProof/>
            <w:webHidden/>
          </w:rPr>
          <w:fldChar w:fldCharType="end"/>
        </w:r>
      </w:hyperlink>
    </w:p>
    <w:p w14:paraId="5D088346" w14:textId="6946BC5D" w:rsidR="004A17EF" w:rsidRDefault="004A17EF">
      <w:pPr>
        <w:pStyle w:val="Indholdsfortegnelse2"/>
        <w:tabs>
          <w:tab w:val="right" w:leader="dot" w:pos="9628"/>
        </w:tabs>
        <w:rPr>
          <w:rFonts w:asciiTheme="minorHAnsi" w:eastAsiaTheme="minorEastAsia" w:hAnsiTheme="minorHAnsi" w:cstheme="minorBidi"/>
          <w:b w:val="0"/>
          <w:bCs w:val="0"/>
          <w:noProof/>
          <w:sz w:val="22"/>
          <w:szCs w:val="22"/>
        </w:rPr>
      </w:pPr>
      <w:hyperlink w:anchor="_Toc26292288" w:history="1">
        <w:r w:rsidRPr="00BC4A1C">
          <w:rPr>
            <w:rStyle w:val="Hyperlink"/>
            <w:noProof/>
            <w:lang w:val="en-GB"/>
          </w:rPr>
          <w:t>Materials</w:t>
        </w:r>
        <w:r>
          <w:rPr>
            <w:noProof/>
            <w:webHidden/>
          </w:rPr>
          <w:tab/>
        </w:r>
        <w:r>
          <w:rPr>
            <w:noProof/>
            <w:webHidden/>
          </w:rPr>
          <w:fldChar w:fldCharType="begin"/>
        </w:r>
        <w:r>
          <w:rPr>
            <w:noProof/>
            <w:webHidden/>
          </w:rPr>
          <w:instrText xml:space="preserve"> PAGEREF _Toc26292288 \h </w:instrText>
        </w:r>
        <w:r>
          <w:rPr>
            <w:noProof/>
            <w:webHidden/>
          </w:rPr>
        </w:r>
        <w:r>
          <w:rPr>
            <w:noProof/>
            <w:webHidden/>
          </w:rPr>
          <w:fldChar w:fldCharType="separate"/>
        </w:r>
        <w:r>
          <w:rPr>
            <w:noProof/>
            <w:webHidden/>
          </w:rPr>
          <w:t>5</w:t>
        </w:r>
        <w:r>
          <w:rPr>
            <w:noProof/>
            <w:webHidden/>
          </w:rPr>
          <w:fldChar w:fldCharType="end"/>
        </w:r>
      </w:hyperlink>
    </w:p>
    <w:p w14:paraId="2AA106FF" w14:textId="52F4D583" w:rsidR="004A17EF" w:rsidRDefault="004A17EF">
      <w:pPr>
        <w:pStyle w:val="Indholdsfortegnelse2"/>
        <w:tabs>
          <w:tab w:val="right" w:leader="dot" w:pos="9628"/>
        </w:tabs>
        <w:rPr>
          <w:rFonts w:asciiTheme="minorHAnsi" w:eastAsiaTheme="minorEastAsia" w:hAnsiTheme="minorHAnsi" w:cstheme="minorBidi"/>
          <w:b w:val="0"/>
          <w:bCs w:val="0"/>
          <w:noProof/>
          <w:sz w:val="22"/>
          <w:szCs w:val="22"/>
        </w:rPr>
      </w:pPr>
      <w:hyperlink w:anchor="_Toc26292289" w:history="1">
        <w:r w:rsidRPr="00BC4A1C">
          <w:rPr>
            <w:rStyle w:val="Hyperlink"/>
            <w:noProof/>
            <w:lang w:val="en-GB"/>
          </w:rPr>
          <w:t>Test procedure</w:t>
        </w:r>
        <w:r>
          <w:rPr>
            <w:noProof/>
            <w:webHidden/>
          </w:rPr>
          <w:tab/>
        </w:r>
        <w:r>
          <w:rPr>
            <w:noProof/>
            <w:webHidden/>
          </w:rPr>
          <w:fldChar w:fldCharType="begin"/>
        </w:r>
        <w:r>
          <w:rPr>
            <w:noProof/>
            <w:webHidden/>
          </w:rPr>
          <w:instrText xml:space="preserve"> PAGEREF _Toc26292289 \h </w:instrText>
        </w:r>
        <w:r>
          <w:rPr>
            <w:noProof/>
            <w:webHidden/>
          </w:rPr>
        </w:r>
        <w:r>
          <w:rPr>
            <w:noProof/>
            <w:webHidden/>
          </w:rPr>
          <w:fldChar w:fldCharType="separate"/>
        </w:r>
        <w:r>
          <w:rPr>
            <w:noProof/>
            <w:webHidden/>
          </w:rPr>
          <w:t>5</w:t>
        </w:r>
        <w:r>
          <w:rPr>
            <w:noProof/>
            <w:webHidden/>
          </w:rPr>
          <w:fldChar w:fldCharType="end"/>
        </w:r>
      </w:hyperlink>
    </w:p>
    <w:p w14:paraId="7E96340F" w14:textId="19382E15" w:rsidR="004A17EF" w:rsidRDefault="004A17EF">
      <w:pPr>
        <w:pStyle w:val="Indholdsfortegnelse1"/>
        <w:rPr>
          <w:rFonts w:asciiTheme="minorHAnsi" w:eastAsiaTheme="minorEastAsia" w:hAnsiTheme="minorHAnsi" w:cstheme="minorBidi"/>
          <w:b w:val="0"/>
          <w:bCs w:val="0"/>
          <w:caps w:val="0"/>
          <w:noProof/>
          <w:sz w:val="22"/>
          <w:szCs w:val="22"/>
        </w:rPr>
      </w:pPr>
      <w:hyperlink w:anchor="_Toc26292290" w:history="1">
        <w:r w:rsidRPr="00BC4A1C">
          <w:rPr>
            <w:rStyle w:val="Hyperlink"/>
            <w:noProof/>
          </w:rPr>
          <w:t>Results</w:t>
        </w:r>
        <w:r>
          <w:rPr>
            <w:noProof/>
            <w:webHidden/>
          </w:rPr>
          <w:tab/>
        </w:r>
        <w:r>
          <w:rPr>
            <w:noProof/>
            <w:webHidden/>
          </w:rPr>
          <w:fldChar w:fldCharType="begin"/>
        </w:r>
        <w:r>
          <w:rPr>
            <w:noProof/>
            <w:webHidden/>
          </w:rPr>
          <w:instrText xml:space="preserve"> PAGEREF _Toc26292290 \h </w:instrText>
        </w:r>
        <w:r>
          <w:rPr>
            <w:noProof/>
            <w:webHidden/>
          </w:rPr>
        </w:r>
        <w:r>
          <w:rPr>
            <w:noProof/>
            <w:webHidden/>
          </w:rPr>
          <w:fldChar w:fldCharType="separate"/>
        </w:r>
        <w:r>
          <w:rPr>
            <w:noProof/>
            <w:webHidden/>
          </w:rPr>
          <w:t>6</w:t>
        </w:r>
        <w:r>
          <w:rPr>
            <w:noProof/>
            <w:webHidden/>
          </w:rPr>
          <w:fldChar w:fldCharType="end"/>
        </w:r>
      </w:hyperlink>
    </w:p>
    <w:p w14:paraId="635811F7" w14:textId="5BBD4988" w:rsidR="004A17EF" w:rsidRDefault="004A17EF">
      <w:pPr>
        <w:pStyle w:val="Indholdsfortegnelse2"/>
        <w:tabs>
          <w:tab w:val="right" w:leader="dot" w:pos="9628"/>
        </w:tabs>
        <w:rPr>
          <w:rFonts w:asciiTheme="minorHAnsi" w:eastAsiaTheme="minorEastAsia" w:hAnsiTheme="minorHAnsi" w:cstheme="minorBidi"/>
          <w:b w:val="0"/>
          <w:bCs w:val="0"/>
          <w:noProof/>
          <w:sz w:val="22"/>
          <w:szCs w:val="22"/>
        </w:rPr>
      </w:pPr>
      <w:hyperlink w:anchor="_Toc26292291" w:history="1">
        <w:r w:rsidRPr="00BC4A1C">
          <w:rPr>
            <w:rStyle w:val="Hyperlink"/>
            <w:noProof/>
            <w:lang w:val="en-US"/>
          </w:rPr>
          <w:t>Longer display times increases accuracy</w:t>
        </w:r>
        <w:r>
          <w:rPr>
            <w:noProof/>
            <w:webHidden/>
          </w:rPr>
          <w:tab/>
        </w:r>
        <w:r>
          <w:rPr>
            <w:noProof/>
            <w:webHidden/>
          </w:rPr>
          <w:fldChar w:fldCharType="begin"/>
        </w:r>
        <w:r>
          <w:rPr>
            <w:noProof/>
            <w:webHidden/>
          </w:rPr>
          <w:instrText xml:space="preserve"> PAGEREF _Toc26292291 \h </w:instrText>
        </w:r>
        <w:r>
          <w:rPr>
            <w:noProof/>
            <w:webHidden/>
          </w:rPr>
        </w:r>
        <w:r>
          <w:rPr>
            <w:noProof/>
            <w:webHidden/>
          </w:rPr>
          <w:fldChar w:fldCharType="separate"/>
        </w:r>
        <w:r>
          <w:rPr>
            <w:noProof/>
            <w:webHidden/>
          </w:rPr>
          <w:t>6</w:t>
        </w:r>
        <w:r>
          <w:rPr>
            <w:noProof/>
            <w:webHidden/>
          </w:rPr>
          <w:fldChar w:fldCharType="end"/>
        </w:r>
      </w:hyperlink>
    </w:p>
    <w:p w14:paraId="44B62DF0" w14:textId="599B5A12" w:rsidR="004A17EF" w:rsidRDefault="004A17EF">
      <w:pPr>
        <w:pStyle w:val="Indholdsfortegnelse2"/>
        <w:tabs>
          <w:tab w:val="right" w:leader="dot" w:pos="9628"/>
        </w:tabs>
        <w:rPr>
          <w:rFonts w:asciiTheme="minorHAnsi" w:eastAsiaTheme="minorEastAsia" w:hAnsiTheme="minorHAnsi" w:cstheme="minorBidi"/>
          <w:b w:val="0"/>
          <w:bCs w:val="0"/>
          <w:noProof/>
          <w:sz w:val="22"/>
          <w:szCs w:val="22"/>
        </w:rPr>
      </w:pPr>
      <w:hyperlink w:anchor="_Toc26292292" w:history="1">
        <w:r w:rsidRPr="00BC4A1C">
          <w:rPr>
            <w:rStyle w:val="Hyperlink"/>
            <w:noProof/>
            <w:lang w:val="en-US"/>
          </w:rPr>
          <w:t>C and K correlates, and age correlates with alpha</w:t>
        </w:r>
        <w:r>
          <w:rPr>
            <w:noProof/>
            <w:webHidden/>
          </w:rPr>
          <w:tab/>
        </w:r>
        <w:r>
          <w:rPr>
            <w:noProof/>
            <w:webHidden/>
          </w:rPr>
          <w:fldChar w:fldCharType="begin"/>
        </w:r>
        <w:r>
          <w:rPr>
            <w:noProof/>
            <w:webHidden/>
          </w:rPr>
          <w:instrText xml:space="preserve"> PAGEREF _Toc26292292 \h </w:instrText>
        </w:r>
        <w:r>
          <w:rPr>
            <w:noProof/>
            <w:webHidden/>
          </w:rPr>
        </w:r>
        <w:r>
          <w:rPr>
            <w:noProof/>
            <w:webHidden/>
          </w:rPr>
          <w:fldChar w:fldCharType="separate"/>
        </w:r>
        <w:r>
          <w:rPr>
            <w:noProof/>
            <w:webHidden/>
          </w:rPr>
          <w:t>6</w:t>
        </w:r>
        <w:r>
          <w:rPr>
            <w:noProof/>
            <w:webHidden/>
          </w:rPr>
          <w:fldChar w:fldCharType="end"/>
        </w:r>
      </w:hyperlink>
    </w:p>
    <w:p w14:paraId="1C0D17AC" w14:textId="44F9B214" w:rsidR="004A17EF" w:rsidRDefault="004A17EF">
      <w:pPr>
        <w:pStyle w:val="Indholdsfortegnelse2"/>
        <w:tabs>
          <w:tab w:val="right" w:leader="dot" w:pos="9628"/>
        </w:tabs>
        <w:rPr>
          <w:rFonts w:asciiTheme="minorHAnsi" w:eastAsiaTheme="minorEastAsia" w:hAnsiTheme="minorHAnsi" w:cstheme="minorBidi"/>
          <w:b w:val="0"/>
          <w:bCs w:val="0"/>
          <w:noProof/>
          <w:sz w:val="22"/>
          <w:szCs w:val="22"/>
        </w:rPr>
      </w:pPr>
      <w:hyperlink w:anchor="_Toc26292293" w:history="1">
        <w:r w:rsidRPr="00BC4A1C">
          <w:rPr>
            <w:rStyle w:val="Hyperlink"/>
            <w:noProof/>
            <w:lang w:val="en-US"/>
          </w:rPr>
          <w:t>Sex is not important</w:t>
        </w:r>
        <w:r>
          <w:rPr>
            <w:noProof/>
            <w:webHidden/>
          </w:rPr>
          <w:tab/>
        </w:r>
        <w:r>
          <w:rPr>
            <w:noProof/>
            <w:webHidden/>
          </w:rPr>
          <w:fldChar w:fldCharType="begin"/>
        </w:r>
        <w:r>
          <w:rPr>
            <w:noProof/>
            <w:webHidden/>
          </w:rPr>
          <w:instrText xml:space="preserve"> PAGEREF _Toc26292293 \h </w:instrText>
        </w:r>
        <w:r>
          <w:rPr>
            <w:noProof/>
            <w:webHidden/>
          </w:rPr>
        </w:r>
        <w:r>
          <w:rPr>
            <w:noProof/>
            <w:webHidden/>
          </w:rPr>
          <w:fldChar w:fldCharType="separate"/>
        </w:r>
        <w:r>
          <w:rPr>
            <w:noProof/>
            <w:webHidden/>
          </w:rPr>
          <w:t>7</w:t>
        </w:r>
        <w:r>
          <w:rPr>
            <w:noProof/>
            <w:webHidden/>
          </w:rPr>
          <w:fldChar w:fldCharType="end"/>
        </w:r>
      </w:hyperlink>
    </w:p>
    <w:p w14:paraId="3D51DFE6" w14:textId="649CC74E" w:rsidR="004A17EF" w:rsidRDefault="004A17EF">
      <w:pPr>
        <w:pStyle w:val="Indholdsfortegnelse2"/>
        <w:tabs>
          <w:tab w:val="right" w:leader="dot" w:pos="9628"/>
        </w:tabs>
        <w:rPr>
          <w:rFonts w:asciiTheme="minorHAnsi" w:eastAsiaTheme="minorEastAsia" w:hAnsiTheme="minorHAnsi" w:cstheme="minorBidi"/>
          <w:b w:val="0"/>
          <w:bCs w:val="0"/>
          <w:noProof/>
          <w:sz w:val="22"/>
          <w:szCs w:val="22"/>
        </w:rPr>
      </w:pPr>
      <w:hyperlink w:anchor="_Toc26292294" w:history="1">
        <w:r w:rsidRPr="00BC4A1C">
          <w:rPr>
            <w:rStyle w:val="Hyperlink"/>
            <w:noProof/>
            <w:lang w:val="en-US"/>
          </w:rPr>
          <w:t>Selectivity isn’t perfect</w:t>
        </w:r>
        <w:r>
          <w:rPr>
            <w:noProof/>
            <w:webHidden/>
          </w:rPr>
          <w:tab/>
        </w:r>
        <w:r>
          <w:rPr>
            <w:noProof/>
            <w:webHidden/>
          </w:rPr>
          <w:fldChar w:fldCharType="begin"/>
        </w:r>
        <w:r>
          <w:rPr>
            <w:noProof/>
            <w:webHidden/>
          </w:rPr>
          <w:instrText xml:space="preserve"> PAGEREF _Toc26292294 \h </w:instrText>
        </w:r>
        <w:r>
          <w:rPr>
            <w:noProof/>
            <w:webHidden/>
          </w:rPr>
        </w:r>
        <w:r>
          <w:rPr>
            <w:noProof/>
            <w:webHidden/>
          </w:rPr>
          <w:fldChar w:fldCharType="separate"/>
        </w:r>
        <w:r>
          <w:rPr>
            <w:noProof/>
            <w:webHidden/>
          </w:rPr>
          <w:t>8</w:t>
        </w:r>
        <w:r>
          <w:rPr>
            <w:noProof/>
            <w:webHidden/>
          </w:rPr>
          <w:fldChar w:fldCharType="end"/>
        </w:r>
      </w:hyperlink>
    </w:p>
    <w:p w14:paraId="09076029" w14:textId="7BA44CFA" w:rsidR="004A17EF" w:rsidRDefault="004A17EF">
      <w:pPr>
        <w:pStyle w:val="Indholdsfortegnelse1"/>
        <w:rPr>
          <w:rFonts w:asciiTheme="minorHAnsi" w:eastAsiaTheme="minorEastAsia" w:hAnsiTheme="minorHAnsi" w:cstheme="minorBidi"/>
          <w:b w:val="0"/>
          <w:bCs w:val="0"/>
          <w:caps w:val="0"/>
          <w:noProof/>
          <w:sz w:val="22"/>
          <w:szCs w:val="22"/>
        </w:rPr>
      </w:pPr>
      <w:hyperlink w:anchor="_Toc26292295" w:history="1">
        <w:r w:rsidRPr="00BC4A1C">
          <w:rPr>
            <w:rStyle w:val="Hyperlink"/>
            <w:noProof/>
            <w:lang w:val="en-US"/>
          </w:rPr>
          <w:t>Conclusion</w:t>
        </w:r>
        <w:r>
          <w:rPr>
            <w:noProof/>
            <w:webHidden/>
          </w:rPr>
          <w:tab/>
        </w:r>
        <w:r>
          <w:rPr>
            <w:noProof/>
            <w:webHidden/>
          </w:rPr>
          <w:fldChar w:fldCharType="begin"/>
        </w:r>
        <w:r>
          <w:rPr>
            <w:noProof/>
            <w:webHidden/>
          </w:rPr>
          <w:instrText xml:space="preserve"> PAGEREF _Toc26292295 \h </w:instrText>
        </w:r>
        <w:r>
          <w:rPr>
            <w:noProof/>
            <w:webHidden/>
          </w:rPr>
        </w:r>
        <w:r>
          <w:rPr>
            <w:noProof/>
            <w:webHidden/>
          </w:rPr>
          <w:fldChar w:fldCharType="separate"/>
        </w:r>
        <w:r>
          <w:rPr>
            <w:noProof/>
            <w:webHidden/>
          </w:rPr>
          <w:t>8</w:t>
        </w:r>
        <w:r>
          <w:rPr>
            <w:noProof/>
            <w:webHidden/>
          </w:rPr>
          <w:fldChar w:fldCharType="end"/>
        </w:r>
      </w:hyperlink>
    </w:p>
    <w:p w14:paraId="7B00C40E" w14:textId="6BFE6F20" w:rsidR="004A17EF" w:rsidRDefault="004A17EF">
      <w:pPr>
        <w:pStyle w:val="Indholdsfortegnelse1"/>
        <w:rPr>
          <w:rFonts w:asciiTheme="minorHAnsi" w:eastAsiaTheme="minorEastAsia" w:hAnsiTheme="minorHAnsi" w:cstheme="minorBidi"/>
          <w:b w:val="0"/>
          <w:bCs w:val="0"/>
          <w:caps w:val="0"/>
          <w:noProof/>
          <w:sz w:val="22"/>
          <w:szCs w:val="22"/>
        </w:rPr>
      </w:pPr>
      <w:hyperlink w:anchor="_Toc26292296" w:history="1">
        <w:r w:rsidRPr="00BC4A1C">
          <w:rPr>
            <w:rStyle w:val="Hyperlink"/>
            <w:noProof/>
          </w:rPr>
          <w:t>References</w:t>
        </w:r>
        <w:r>
          <w:rPr>
            <w:noProof/>
            <w:webHidden/>
          </w:rPr>
          <w:tab/>
        </w:r>
        <w:r>
          <w:rPr>
            <w:noProof/>
            <w:webHidden/>
          </w:rPr>
          <w:fldChar w:fldCharType="begin"/>
        </w:r>
        <w:r>
          <w:rPr>
            <w:noProof/>
            <w:webHidden/>
          </w:rPr>
          <w:instrText xml:space="preserve"> PAGEREF _Toc26292296 \h </w:instrText>
        </w:r>
        <w:r>
          <w:rPr>
            <w:noProof/>
            <w:webHidden/>
          </w:rPr>
        </w:r>
        <w:r>
          <w:rPr>
            <w:noProof/>
            <w:webHidden/>
          </w:rPr>
          <w:fldChar w:fldCharType="separate"/>
        </w:r>
        <w:r>
          <w:rPr>
            <w:noProof/>
            <w:webHidden/>
          </w:rPr>
          <w:t>8</w:t>
        </w:r>
        <w:r>
          <w:rPr>
            <w:noProof/>
            <w:webHidden/>
          </w:rPr>
          <w:fldChar w:fldCharType="end"/>
        </w:r>
      </w:hyperlink>
    </w:p>
    <w:p w14:paraId="4E790DC7" w14:textId="676E5202" w:rsidR="001078C3" w:rsidRPr="009A6A11" w:rsidRDefault="001078C3" w:rsidP="001078C3">
      <w:pPr>
        <w:rPr>
          <w:lang w:val="en-GB"/>
        </w:rPr>
      </w:pPr>
      <w:r w:rsidRPr="009A6A11">
        <w:rPr>
          <w:caps/>
          <w:sz w:val="36"/>
          <w:szCs w:val="28"/>
          <w:u w:val="single"/>
          <w:lang w:val="en-GB"/>
        </w:rPr>
        <w:fldChar w:fldCharType="end"/>
      </w:r>
    </w:p>
    <w:p w14:paraId="15126B81" w14:textId="77777777" w:rsidR="001078C3" w:rsidRPr="009A6A11" w:rsidRDefault="001078C3" w:rsidP="001078C3">
      <w:pPr>
        <w:rPr>
          <w:lang w:val="en-GB"/>
        </w:rPr>
      </w:pPr>
    </w:p>
    <w:p w14:paraId="4801CB14" w14:textId="77777777" w:rsidR="00D86D0B" w:rsidRDefault="00D86D0B">
      <w:pPr>
        <w:spacing w:after="160" w:line="259" w:lineRule="auto"/>
        <w:rPr>
          <w:rFonts w:ascii="Arial" w:hAnsi="Arial" w:cs="Arial"/>
          <w:b/>
          <w:bCs/>
          <w:color w:val="000000"/>
          <w:sz w:val="36"/>
          <w:lang w:val="en-GB"/>
        </w:rPr>
      </w:pPr>
      <w:r>
        <w:rPr>
          <w:lang w:val="en-GB"/>
        </w:rPr>
        <w:br w:type="page"/>
      </w:r>
    </w:p>
    <w:p w14:paraId="7EB2F007" w14:textId="4D9E2BC4" w:rsidR="001078C3" w:rsidRPr="009A6A11" w:rsidRDefault="006F034F" w:rsidP="001078C3">
      <w:pPr>
        <w:pStyle w:val="Overskrift1"/>
        <w:rPr>
          <w:lang w:val="en-GB"/>
        </w:rPr>
      </w:pPr>
      <w:bookmarkStart w:id="0" w:name="_Toc26292286"/>
      <w:r w:rsidRPr="009A6A11">
        <w:rPr>
          <w:lang w:val="en-GB"/>
        </w:rPr>
        <w:lastRenderedPageBreak/>
        <w:t>Introduction</w:t>
      </w:r>
      <w:bookmarkEnd w:id="0"/>
    </w:p>
    <w:p w14:paraId="581AC9AD" w14:textId="2A219DC6" w:rsidR="00B403E5" w:rsidRDefault="00B403E5" w:rsidP="00FA01A1">
      <w:pPr>
        <w:jc w:val="both"/>
        <w:rPr>
          <w:lang w:val="en-GB"/>
        </w:rPr>
      </w:pPr>
      <w:r>
        <w:rPr>
          <w:lang w:val="en-GB"/>
        </w:rPr>
        <w:t xml:space="preserve">According to </w:t>
      </w:r>
      <w:r w:rsidR="008C2588">
        <w:rPr>
          <w:lang w:val="en-GB"/>
        </w:rPr>
        <w:t>Theory of Visual attention (</w:t>
      </w:r>
      <w:r>
        <w:rPr>
          <w:lang w:val="en-GB"/>
        </w:rPr>
        <w:t>TVA</w:t>
      </w:r>
      <w:r w:rsidR="008C2588">
        <w:rPr>
          <w:lang w:val="en-GB"/>
        </w:rPr>
        <w:t>)</w:t>
      </w:r>
      <w:r w:rsidR="00257B67">
        <w:rPr>
          <w:lang w:val="en-GB"/>
        </w:rPr>
        <w:t>, conscious recognition of a visual object corresponds to encoding one or more of the object’s properties into a visual shot-term memory</w:t>
      </w:r>
      <w:r w:rsidR="00416878">
        <w:rPr>
          <w:lang w:val="en-GB"/>
        </w:rPr>
        <w:t xml:space="preserve"> </w:t>
      </w:r>
      <w:r w:rsidR="00137BE5">
        <w:rPr>
          <w:lang w:val="en-GB"/>
        </w:rPr>
        <w:t>storage</w:t>
      </w:r>
      <w:r w:rsidR="00416878">
        <w:rPr>
          <w:lang w:val="en-GB"/>
        </w:rPr>
        <w:t xml:space="preserve"> </w:t>
      </w:r>
      <w:r w:rsidR="00416878">
        <w:rPr>
          <w:lang w:val="en-GB"/>
        </w:rPr>
        <w:fldChar w:fldCharType="begin" w:fldLock="1"/>
      </w:r>
      <w:r w:rsidR="00ED693E">
        <w:rPr>
          <w:lang w:val="en-GB"/>
        </w:rPr>
        <w:instrText>ADDIN CSL_CITATION {"citationItems":[{"id":"ITEM-1","itemData":{"ISSN":"1664-1078","abstract":"In combination with whole report and partial report tasks, the Theory of Visual Attention (TVA) can be used to estimate individual differences in five basic attentional parameters: The visual processing speed, the storage capacity of visual short-term memory, the perceptual threshold, the efficiency of top-down selectivity, and the spatial bias of attentional weighting. TVA-based assessment has been used in about 30 studies to investigate attentional deficits in a range of neurological and psychiatric conditions: (a) neglect and simultanagnosia, (b) reading disturbances, (c) aging and neurodegenerative diseases, and most recently (d) neurodevelopmental disorders. The article introduces TVA based assessment, discusses its methodology and psychometric properties, and reviews the progress made in each of the four research fields. The empirical results demonstrate the general usefulness of TVA-based assessment for many types of clinical neuropsychological research. The method’s most important qualities are cognitive specificity and theoretical grounding, but it is also characterized by good reliability and sensitivity to minor deficits. The review concludes by pointing to promising new areas for clinical TVA-based research.","author":[{"dropping-particle":"","family":"Habekost","given":"Thomas","non-dropping-particle":"","parse-names":false,"suffix":""}],"container-title":"Frontiers in Psychology","id":"ITEM-1","issued":{"date-parts":[["2015"]]},"page":"1-18","title":"Clinical TVA-based studies: a general review","type":"article-journal","volume":"6:290"},"uris":["http://www.mendeley.com/documents/?uuid=6389b675-9dd2-48fb-90f4-d19368208796"]}],"mendeley":{"formattedCitation":"(Habekost, 2015)","plainTextFormattedCitation":"(Habekost, 2015)","previouslyFormattedCitation":"(Habekost, 2015)"},"properties":{"noteIndex":0},"schema":"https://github.com/citation-style-language/schema/raw/master/csl-citation.json"}</w:instrText>
      </w:r>
      <w:r w:rsidR="00416878">
        <w:rPr>
          <w:lang w:val="en-GB"/>
        </w:rPr>
        <w:fldChar w:fldCharType="separate"/>
      </w:r>
      <w:r w:rsidR="00416878" w:rsidRPr="00416878">
        <w:rPr>
          <w:noProof/>
          <w:lang w:val="en-GB"/>
        </w:rPr>
        <w:t>(Habekost, 2015)</w:t>
      </w:r>
      <w:r w:rsidR="00416878">
        <w:rPr>
          <w:lang w:val="en-GB"/>
        </w:rPr>
        <w:fldChar w:fldCharType="end"/>
      </w:r>
      <w:r w:rsidR="00416878">
        <w:rPr>
          <w:lang w:val="en-GB"/>
        </w:rPr>
        <w:t>.</w:t>
      </w:r>
      <w:r w:rsidR="00471595">
        <w:rPr>
          <w:lang w:val="en-GB"/>
        </w:rPr>
        <w:t xml:space="preserve"> The storage has</w:t>
      </w:r>
      <w:r w:rsidR="00E80D62">
        <w:rPr>
          <w:lang w:val="en-GB"/>
        </w:rPr>
        <w:t xml:space="preserve"> individual variations, but typically has the capaci</w:t>
      </w:r>
      <w:r w:rsidR="000803B1">
        <w:rPr>
          <w:lang w:val="en-GB"/>
        </w:rPr>
        <w:t xml:space="preserve">ty to hold 3-4 objects. </w:t>
      </w:r>
      <w:r w:rsidR="00793519">
        <w:rPr>
          <w:lang w:val="en-GB"/>
        </w:rPr>
        <w:t xml:space="preserve">TVA assumes that </w:t>
      </w:r>
      <w:r w:rsidR="00DA0935">
        <w:rPr>
          <w:lang w:val="en-GB"/>
        </w:rPr>
        <w:t>the visual system automatically processes all objects in our visual field</w:t>
      </w:r>
      <w:r w:rsidR="00896269">
        <w:rPr>
          <w:lang w:val="en-GB"/>
        </w:rPr>
        <w:t xml:space="preserve"> independently and in parallel </w:t>
      </w:r>
      <w:r w:rsidR="00896269">
        <w:rPr>
          <w:lang w:val="en-GB"/>
        </w:rPr>
        <w:fldChar w:fldCharType="begin" w:fldLock="1"/>
      </w:r>
      <w:r w:rsidR="00ED693E">
        <w:rPr>
          <w:lang w:val="en-GB"/>
        </w:rPr>
        <w:instrText>ADDIN CSL_CITATION {"citationItems":[{"id":"ITEM-1","itemData":{"ISSN":"1664-1078","abstract":"In combination with whole report and partial report tasks, the Theory of Visual Attention (TVA) can be used to estimate individual differences in five basic attentional parameters: The visual processing speed, the storage capacity of visual short-term memory, the perceptual threshold, the efficiency of top-down selectivity, and the spatial bias of attentional weighting. TVA-based assessment has been used in about 30 studies to investigate attentional deficits in a range of neurological and psychiatric conditions: (a) neglect and simultanagnosia, (b) reading disturbances, (c) aging and neurodegenerative diseases, and most recently (d) neurodevelopmental disorders. The article introduces TVA based assessment, discusses its methodology and psychometric properties, and reviews the progress made in each of the four research fields. The empirical results demonstrate the general usefulness of TVA-based assessment for many types of clinical neuropsychological research. The method’s most important qualities are cognitive specificity and theoretical grounding, but it is also characterized by good reliability and sensitivity to minor deficits. The review concludes by pointing to promising new areas for clinical TVA-based research.","author":[{"dropping-particle":"","family":"Habekost","given":"Thomas","non-dropping-particle":"","parse-names":false,"suffix":""}],"container-title":"Frontiers in Psychology","id":"ITEM-1","issued":{"date-parts":[["2015"]]},"page":"1-18","title":"Clinical TVA-based studies: a general review","type":"article-journal","volume":"6:290"},"uris":["http://www.mendeley.com/documents/?uuid=6389b675-9dd2-48fb-90f4-d19368208796"]}],"mendeley":{"formattedCitation":"(Habekost, 2015)","plainTextFormattedCitation":"(Habekost, 2015)","previouslyFormattedCitation":"(Habekost, 2015)"},"properties":{"noteIndex":0},"schema":"https://github.com/citation-style-language/schema/raw/master/csl-citation.json"}</w:instrText>
      </w:r>
      <w:r w:rsidR="00896269">
        <w:rPr>
          <w:lang w:val="en-GB"/>
        </w:rPr>
        <w:fldChar w:fldCharType="separate"/>
      </w:r>
      <w:r w:rsidR="00896269" w:rsidRPr="00896269">
        <w:rPr>
          <w:noProof/>
          <w:lang w:val="en-GB"/>
        </w:rPr>
        <w:t>(Habekost, 2015)</w:t>
      </w:r>
      <w:r w:rsidR="00896269">
        <w:rPr>
          <w:lang w:val="en-GB"/>
        </w:rPr>
        <w:fldChar w:fldCharType="end"/>
      </w:r>
      <w:r w:rsidR="00896269">
        <w:rPr>
          <w:lang w:val="en-GB"/>
        </w:rPr>
        <w:t xml:space="preserve">. Not all </w:t>
      </w:r>
      <w:r w:rsidR="00367A0C">
        <w:rPr>
          <w:lang w:val="en-GB"/>
        </w:rPr>
        <w:t>objects are processed at an equal speed</w:t>
      </w:r>
      <w:r w:rsidR="00F06FD9">
        <w:rPr>
          <w:lang w:val="en-GB"/>
        </w:rPr>
        <w:t xml:space="preserve">. Through top-down processes each object </w:t>
      </w:r>
      <w:r w:rsidR="00EC20D1">
        <w:rPr>
          <w:lang w:val="en-GB"/>
        </w:rPr>
        <w:t>is</w:t>
      </w:r>
      <w:r w:rsidR="00F06FD9">
        <w:rPr>
          <w:lang w:val="en-GB"/>
        </w:rPr>
        <w:t xml:space="preserve"> assigned </w:t>
      </w:r>
      <w:r w:rsidR="00B36227">
        <w:rPr>
          <w:lang w:val="en-GB"/>
        </w:rPr>
        <w:t xml:space="preserve">an </w:t>
      </w:r>
      <w:r w:rsidR="00B36227">
        <w:rPr>
          <w:i/>
          <w:lang w:val="en-GB"/>
        </w:rPr>
        <w:t>attentional weight,</w:t>
      </w:r>
      <w:r w:rsidR="00B36227">
        <w:rPr>
          <w:lang w:val="en-GB"/>
        </w:rPr>
        <w:t xml:space="preserve"> </w:t>
      </w:r>
      <w:r w:rsidR="00140311">
        <w:rPr>
          <w:lang w:val="en-GB"/>
        </w:rPr>
        <w:t>which</w:t>
      </w:r>
      <w:r w:rsidR="003754B8">
        <w:rPr>
          <w:lang w:val="en-GB"/>
        </w:rPr>
        <w:t xml:space="preserve"> either</w:t>
      </w:r>
      <w:r w:rsidR="005F4B9C">
        <w:rPr>
          <w:lang w:val="en-GB"/>
        </w:rPr>
        <w:t xml:space="preserve"> stimulate or inhibit the processing speed for that </w:t>
      </w:r>
      <w:r w:rsidR="00EC20D1">
        <w:rPr>
          <w:lang w:val="en-GB"/>
        </w:rPr>
        <w:t>object</w:t>
      </w:r>
      <w:r w:rsidR="005F4B9C">
        <w:rPr>
          <w:lang w:val="en-GB"/>
        </w:rPr>
        <w:t>.</w:t>
      </w:r>
      <w:r w:rsidR="00EC20D1">
        <w:rPr>
          <w:lang w:val="en-GB"/>
        </w:rPr>
        <w:t xml:space="preserve"> Since the capacity is limited, </w:t>
      </w:r>
      <w:r w:rsidR="00660E24">
        <w:rPr>
          <w:lang w:val="en-GB"/>
        </w:rPr>
        <w:t>the encoding</w:t>
      </w:r>
      <w:r w:rsidR="00A948FE">
        <w:rPr>
          <w:lang w:val="en-GB"/>
        </w:rPr>
        <w:t xml:space="preserve"> </w:t>
      </w:r>
      <w:r w:rsidR="00660E24">
        <w:rPr>
          <w:lang w:val="en-GB"/>
        </w:rPr>
        <w:t>can be explained as a race, where the objects that are weighted the highest are the fastest, and therefore make</w:t>
      </w:r>
      <w:r w:rsidR="00185C77">
        <w:rPr>
          <w:lang w:val="en-GB"/>
        </w:rPr>
        <w:t>s</w:t>
      </w:r>
      <w:r w:rsidR="00660E24">
        <w:rPr>
          <w:lang w:val="en-GB"/>
        </w:rPr>
        <w:t xml:space="preserve"> it into the short-term memory storage. </w:t>
      </w:r>
    </w:p>
    <w:p w14:paraId="47FE38ED" w14:textId="52A46424" w:rsidR="00660E24" w:rsidRDefault="00660E24" w:rsidP="00FA01A1">
      <w:pPr>
        <w:ind w:firstLine="567"/>
        <w:jc w:val="both"/>
        <w:rPr>
          <w:lang w:val="en-GB"/>
        </w:rPr>
      </w:pPr>
      <w:r>
        <w:rPr>
          <w:lang w:val="en-GB"/>
        </w:rPr>
        <w:t xml:space="preserve">TVA is </w:t>
      </w:r>
      <w:r w:rsidR="00CA6E5E">
        <w:rPr>
          <w:lang w:val="en-GB"/>
        </w:rPr>
        <w:t>mathematically</w:t>
      </w:r>
      <w:r w:rsidR="002715DB">
        <w:rPr>
          <w:lang w:val="en-GB"/>
        </w:rPr>
        <w:t xml:space="preserve"> model</w:t>
      </w:r>
      <w:r w:rsidR="00810528">
        <w:rPr>
          <w:lang w:val="en-GB"/>
        </w:rPr>
        <w:t xml:space="preserve">, and </w:t>
      </w:r>
      <w:r w:rsidR="007C09B1">
        <w:rPr>
          <w:lang w:val="en-GB"/>
        </w:rPr>
        <w:t xml:space="preserve">is able to measure </w:t>
      </w:r>
      <w:r w:rsidR="009F1A67">
        <w:rPr>
          <w:lang w:val="en-GB"/>
        </w:rPr>
        <w:t xml:space="preserve">the following </w:t>
      </w:r>
      <w:r w:rsidR="006A569A">
        <w:rPr>
          <w:lang w:val="en-GB"/>
        </w:rPr>
        <w:t xml:space="preserve">parameters </w:t>
      </w:r>
      <w:r w:rsidR="00600A42">
        <w:rPr>
          <w:lang w:val="en-GB"/>
        </w:rPr>
        <w:fldChar w:fldCharType="begin" w:fldLock="1"/>
      </w:r>
      <w:r w:rsidR="00ED693E">
        <w:rPr>
          <w:lang w:val="en-GB"/>
        </w:rPr>
        <w:instrText>ADDIN CSL_CITATION {"citationItems":[{"id":"ITEM-1","itemData":{"ISSN":"1664-1078","abstract":"In combination with whole report and partial report tasks, the Theory of Visual Attention (TVA) can be used to estimate individual differences in five basic attentional parameters: The visual processing speed, the storage capacity of visual short-term memory, the perceptual threshold, the efficiency of top-down selectivity, and the spatial bias of attentional weighting. TVA-based assessment has been used in about 30 studies to investigate attentional deficits in a range of neurological and psychiatric conditions: (a) neglect and simultanagnosia, (b) reading disturbances, (c) aging and neurodegenerative diseases, and most recently (d) neurodevelopmental disorders. The article introduces TVA based assessment, discusses its methodology and psychometric properties, and reviews the progress made in each of the four research fields. The empirical results demonstrate the general usefulness of TVA-based assessment for many types of clinical neuropsychological research. The method’s most important qualities are cognitive specificity and theoretical grounding, but it is also characterized by good reliability and sensitivity to minor deficits. The review concludes by pointing to promising new areas for clinical TVA-based research.","author":[{"dropping-particle":"","family":"Habekost","given":"Thomas","non-dropping-particle":"","parse-names":false,"suffix":""}],"container-title":"Frontiers in Psychology","id":"ITEM-1","issued":{"date-parts":[["2015"]]},"page":"1-18","title":"Clinical TVA-based studies: a general review","type":"article-journal","volume":"6:290"},"uris":["http://www.mendeley.com/documents/?uuid=6389b675-9dd2-48fb-90f4-d19368208796"]}],"mendeley":{"formattedCitation":"(Habekost, 2015)","plainTextFormattedCitation":"(Habekost, 2015)","previouslyFormattedCitation":"(Habekost, 2015)"},"properties":{"noteIndex":0},"schema":"https://github.com/citation-style-language/schema/raw/master/csl-citation.json"}</w:instrText>
      </w:r>
      <w:r w:rsidR="00600A42">
        <w:rPr>
          <w:lang w:val="en-GB"/>
        </w:rPr>
        <w:fldChar w:fldCharType="separate"/>
      </w:r>
      <w:r w:rsidR="00600A42" w:rsidRPr="00600A42">
        <w:rPr>
          <w:noProof/>
          <w:lang w:val="en-GB"/>
        </w:rPr>
        <w:t>(Habekost, 2015)</w:t>
      </w:r>
      <w:r w:rsidR="00600A42">
        <w:rPr>
          <w:lang w:val="en-GB"/>
        </w:rPr>
        <w:fldChar w:fldCharType="end"/>
      </w:r>
      <w:r w:rsidR="009F1A67">
        <w:rPr>
          <w:lang w:val="en-GB"/>
        </w:rPr>
        <w:t>:</w:t>
      </w:r>
    </w:p>
    <w:p w14:paraId="102CE4A8" w14:textId="3716E96B" w:rsidR="009F1A67" w:rsidRPr="004B074F" w:rsidRDefault="00CF0058" w:rsidP="00FA01A1">
      <w:pPr>
        <w:pStyle w:val="Listeafsnit"/>
        <w:numPr>
          <w:ilvl w:val="0"/>
          <w:numId w:val="4"/>
        </w:numPr>
        <w:spacing w:line="360" w:lineRule="auto"/>
        <w:jc w:val="both"/>
        <w:rPr>
          <w:rFonts w:ascii="Times New Roman" w:hAnsi="Times New Roman" w:cs="Times New Roman"/>
          <w:sz w:val="24"/>
          <w:lang w:val="en-GB"/>
        </w:rPr>
      </w:pPr>
      <m:oMath>
        <m:r>
          <w:rPr>
            <w:rFonts w:ascii="Cambria Math" w:hAnsi="Cambria Math" w:cs="Times New Roman"/>
            <w:sz w:val="24"/>
            <w:lang w:val="en-GB"/>
          </w:rPr>
          <m:t>K</m:t>
        </m:r>
      </m:oMath>
      <w:r w:rsidR="003D35B1" w:rsidRPr="004B074F">
        <w:rPr>
          <w:rFonts w:ascii="Times New Roman" w:eastAsiaTheme="minorEastAsia" w:hAnsi="Times New Roman" w:cs="Times New Roman"/>
          <w:sz w:val="24"/>
          <w:lang w:val="en-GB"/>
        </w:rPr>
        <w:t xml:space="preserve">: </w:t>
      </w:r>
      <w:r w:rsidR="00C83359" w:rsidRPr="004B074F">
        <w:rPr>
          <w:rFonts w:ascii="Times New Roman" w:eastAsiaTheme="minorEastAsia" w:hAnsi="Times New Roman" w:cs="Times New Roman"/>
          <w:sz w:val="24"/>
          <w:lang w:val="en-GB"/>
        </w:rPr>
        <w:t xml:space="preserve">Capacity of the shot-term memory storage </w:t>
      </w:r>
    </w:p>
    <w:p w14:paraId="5BAD32F3" w14:textId="7BE8BBEE" w:rsidR="00CF0058" w:rsidRPr="004B074F" w:rsidRDefault="00CF0058" w:rsidP="00FA01A1">
      <w:pPr>
        <w:pStyle w:val="Listeafsnit"/>
        <w:numPr>
          <w:ilvl w:val="0"/>
          <w:numId w:val="4"/>
        </w:numPr>
        <w:spacing w:line="360" w:lineRule="auto"/>
        <w:jc w:val="both"/>
        <w:rPr>
          <w:rFonts w:ascii="Times New Roman" w:eastAsiaTheme="minorEastAsia" w:hAnsi="Times New Roman" w:cs="Times New Roman"/>
          <w:sz w:val="24"/>
          <w:lang w:val="en-GB"/>
        </w:rPr>
      </w:pPr>
      <m:oMath>
        <m:r>
          <w:rPr>
            <w:rFonts w:ascii="Cambria Math" w:hAnsi="Cambria Math" w:cs="Times New Roman"/>
            <w:sz w:val="24"/>
            <w:lang w:val="en-GB"/>
          </w:rPr>
          <m:t>α</m:t>
        </m:r>
      </m:oMath>
      <w:r w:rsidR="003D35B1" w:rsidRPr="004B074F">
        <w:rPr>
          <w:rFonts w:ascii="Times New Roman" w:eastAsiaTheme="minorEastAsia" w:hAnsi="Times New Roman" w:cs="Times New Roman"/>
          <w:sz w:val="24"/>
          <w:lang w:val="en-GB"/>
        </w:rPr>
        <w:t>:</w:t>
      </w:r>
      <w:r w:rsidR="00BE487F">
        <w:rPr>
          <w:rFonts w:ascii="Times New Roman" w:eastAsiaTheme="minorEastAsia" w:hAnsi="Times New Roman" w:cs="Times New Roman"/>
          <w:sz w:val="24"/>
          <w:lang w:val="en-GB"/>
        </w:rPr>
        <w:t xml:space="preserve"> </w:t>
      </w:r>
      <w:r w:rsidR="003E5DCC">
        <w:rPr>
          <w:rFonts w:ascii="Times New Roman" w:eastAsiaTheme="minorEastAsia" w:hAnsi="Times New Roman" w:cs="Times New Roman"/>
          <w:sz w:val="24"/>
          <w:lang w:val="en-GB"/>
        </w:rPr>
        <w:t>R</w:t>
      </w:r>
      <w:r w:rsidR="00BE487F">
        <w:rPr>
          <w:rFonts w:ascii="Times New Roman" w:eastAsiaTheme="minorEastAsia" w:hAnsi="Times New Roman" w:cs="Times New Roman"/>
          <w:sz w:val="24"/>
          <w:lang w:val="en-GB"/>
        </w:rPr>
        <w:t xml:space="preserve">atio between </w:t>
      </w:r>
      <w:r w:rsidR="000D3B4B">
        <w:rPr>
          <w:rFonts w:ascii="Times New Roman" w:eastAsiaTheme="minorEastAsia" w:hAnsi="Times New Roman" w:cs="Times New Roman"/>
          <w:sz w:val="24"/>
          <w:lang w:val="en-GB"/>
        </w:rPr>
        <w:t xml:space="preserve">target and </w:t>
      </w:r>
      <w:r w:rsidR="00BE487F">
        <w:rPr>
          <w:rFonts w:ascii="Times New Roman" w:eastAsiaTheme="minorEastAsia" w:hAnsi="Times New Roman" w:cs="Times New Roman"/>
          <w:sz w:val="24"/>
          <w:lang w:val="en-GB"/>
        </w:rPr>
        <w:t xml:space="preserve">distractor </w:t>
      </w:r>
      <w:r w:rsidR="000D3B4B">
        <w:rPr>
          <w:rFonts w:ascii="Times New Roman" w:eastAsiaTheme="minorEastAsia" w:hAnsi="Times New Roman" w:cs="Times New Roman"/>
          <w:sz w:val="24"/>
          <w:lang w:val="en-GB"/>
        </w:rPr>
        <w:t>objects reported. A measure for efficiency of the top-down processes</w:t>
      </w:r>
    </w:p>
    <w:p w14:paraId="12140F93" w14:textId="610E6941" w:rsidR="00AF23E9" w:rsidRPr="004B074F" w:rsidRDefault="00606F75" w:rsidP="00FA01A1">
      <w:pPr>
        <w:pStyle w:val="Listeafsnit"/>
        <w:numPr>
          <w:ilvl w:val="0"/>
          <w:numId w:val="4"/>
        </w:numPr>
        <w:spacing w:line="360" w:lineRule="auto"/>
        <w:jc w:val="both"/>
        <w:rPr>
          <w:rFonts w:ascii="Times New Roman" w:eastAsiaTheme="minorEastAsia" w:hAnsi="Times New Roman" w:cs="Times New Roman"/>
          <w:sz w:val="24"/>
          <w:lang w:val="en-GB"/>
        </w:rPr>
      </w:pPr>
      <m:oMath>
        <m:sSub>
          <m:sSubPr>
            <m:ctrlPr>
              <w:rPr>
                <w:rFonts w:ascii="Cambria Math" w:eastAsiaTheme="minorEastAsia" w:hAnsi="Cambria Math" w:cs="Times New Roman"/>
                <w:i/>
                <w:sz w:val="24"/>
                <w:lang w:val="en-GB"/>
              </w:rPr>
            </m:ctrlPr>
          </m:sSubPr>
          <m:e>
            <m:r>
              <w:rPr>
                <w:rFonts w:ascii="Cambria Math" w:eastAsiaTheme="minorEastAsia" w:hAnsi="Cambria Math" w:cs="Times New Roman"/>
                <w:sz w:val="24"/>
                <w:lang w:val="en-GB"/>
              </w:rPr>
              <m:t>W</m:t>
            </m:r>
          </m:e>
          <m:sub>
            <m:r>
              <w:rPr>
                <w:rFonts w:ascii="Cambria Math" w:eastAsiaTheme="minorEastAsia" w:hAnsi="Cambria Math" w:cs="Times New Roman"/>
                <w:sz w:val="24"/>
                <w:lang w:val="en-GB"/>
              </w:rPr>
              <m:t>index</m:t>
            </m:r>
          </m:sub>
        </m:sSub>
      </m:oMath>
      <w:r w:rsidR="003D35B1" w:rsidRPr="004B074F">
        <w:rPr>
          <w:rFonts w:ascii="Times New Roman" w:eastAsiaTheme="minorEastAsia" w:hAnsi="Times New Roman" w:cs="Times New Roman"/>
          <w:sz w:val="24"/>
          <w:lang w:val="en-GB"/>
        </w:rPr>
        <w:t>:</w:t>
      </w:r>
      <w:r w:rsidR="003E5DCC">
        <w:rPr>
          <w:rFonts w:ascii="Times New Roman" w:eastAsiaTheme="minorEastAsia" w:hAnsi="Times New Roman" w:cs="Times New Roman"/>
          <w:sz w:val="24"/>
          <w:lang w:val="en-GB"/>
        </w:rPr>
        <w:t xml:space="preserve"> Measure of spatial bias, left vs right.</w:t>
      </w:r>
    </w:p>
    <w:p w14:paraId="448F97E2" w14:textId="5480FB90" w:rsidR="00AF23E9" w:rsidRPr="004B074F" w:rsidRDefault="00AF23E9" w:rsidP="00FA01A1">
      <w:pPr>
        <w:pStyle w:val="Listeafsnit"/>
        <w:numPr>
          <w:ilvl w:val="0"/>
          <w:numId w:val="4"/>
        </w:numPr>
        <w:spacing w:line="360" w:lineRule="auto"/>
        <w:jc w:val="both"/>
        <w:rPr>
          <w:rFonts w:ascii="Times New Roman" w:eastAsiaTheme="minorEastAsia" w:hAnsi="Times New Roman" w:cs="Times New Roman"/>
          <w:sz w:val="24"/>
          <w:lang w:val="en-GB"/>
        </w:rPr>
      </w:pPr>
      <m:oMath>
        <m:r>
          <w:rPr>
            <w:rFonts w:ascii="Cambria Math" w:eastAsiaTheme="minorEastAsia" w:hAnsi="Cambria Math" w:cs="Times New Roman"/>
            <w:sz w:val="24"/>
            <w:lang w:val="en-GB"/>
          </w:rPr>
          <m:t>C</m:t>
        </m:r>
      </m:oMath>
      <w:r w:rsidR="003D35B1" w:rsidRPr="004B074F">
        <w:rPr>
          <w:rFonts w:ascii="Times New Roman" w:eastAsiaTheme="minorEastAsia" w:hAnsi="Times New Roman" w:cs="Times New Roman"/>
          <w:sz w:val="24"/>
          <w:lang w:val="en-GB"/>
        </w:rPr>
        <w:t>:</w:t>
      </w:r>
      <w:r w:rsidR="004B074F" w:rsidRPr="004B074F">
        <w:rPr>
          <w:rFonts w:ascii="Times New Roman" w:eastAsiaTheme="minorEastAsia" w:hAnsi="Times New Roman" w:cs="Times New Roman"/>
          <w:sz w:val="24"/>
          <w:lang w:val="en-GB"/>
        </w:rPr>
        <w:t xml:space="preserve"> </w:t>
      </w:r>
      <w:r w:rsidR="003E5DCC">
        <w:rPr>
          <w:rFonts w:ascii="Times New Roman" w:eastAsiaTheme="minorEastAsia" w:hAnsi="Times New Roman" w:cs="Times New Roman"/>
          <w:sz w:val="24"/>
          <w:lang w:val="en-GB"/>
        </w:rPr>
        <w:t>T</w:t>
      </w:r>
      <w:r w:rsidR="004B074F" w:rsidRPr="004B074F">
        <w:rPr>
          <w:rFonts w:ascii="Times New Roman" w:eastAsiaTheme="minorEastAsia" w:hAnsi="Times New Roman" w:cs="Times New Roman"/>
          <w:sz w:val="24"/>
          <w:lang w:val="en-GB"/>
        </w:rPr>
        <w:t>otal processing speed of the visual system</w:t>
      </w:r>
    </w:p>
    <w:p w14:paraId="43306FA8" w14:textId="119FAC15" w:rsidR="00AF23E9" w:rsidRDefault="00606F75" w:rsidP="00FA01A1">
      <w:pPr>
        <w:pStyle w:val="Listeafsnit"/>
        <w:numPr>
          <w:ilvl w:val="0"/>
          <w:numId w:val="4"/>
        </w:numPr>
        <w:spacing w:line="360" w:lineRule="auto"/>
        <w:jc w:val="both"/>
        <w:rPr>
          <w:rFonts w:ascii="Times New Roman" w:eastAsiaTheme="minorEastAsia" w:hAnsi="Times New Roman" w:cs="Times New Roman"/>
          <w:sz w:val="24"/>
          <w:lang w:val="en-GB"/>
        </w:rPr>
      </w:pPr>
      <m:oMath>
        <m:sSub>
          <m:sSubPr>
            <m:ctrlPr>
              <w:rPr>
                <w:rFonts w:ascii="Cambria Math" w:eastAsiaTheme="minorEastAsia" w:hAnsi="Cambria Math" w:cs="Times New Roman"/>
                <w:i/>
                <w:sz w:val="24"/>
                <w:lang w:val="en-GB"/>
              </w:rPr>
            </m:ctrlPr>
          </m:sSubPr>
          <m:e>
            <m:r>
              <w:rPr>
                <w:rFonts w:ascii="Cambria Math" w:eastAsiaTheme="minorEastAsia" w:hAnsi="Cambria Math" w:cs="Times New Roman"/>
                <w:sz w:val="24"/>
                <w:lang w:val="en-GB"/>
              </w:rPr>
              <m:t>t</m:t>
            </m:r>
          </m:e>
          <m:sub>
            <m:r>
              <w:rPr>
                <w:rFonts w:ascii="Cambria Math" w:eastAsiaTheme="minorEastAsia" w:hAnsi="Cambria Math" w:cs="Times New Roman"/>
                <w:sz w:val="24"/>
                <w:lang w:val="en-GB"/>
              </w:rPr>
              <m:t>0</m:t>
            </m:r>
          </m:sub>
        </m:sSub>
      </m:oMath>
      <w:r w:rsidR="003D35B1" w:rsidRPr="004B074F">
        <w:rPr>
          <w:rFonts w:ascii="Times New Roman" w:eastAsiaTheme="minorEastAsia" w:hAnsi="Times New Roman" w:cs="Times New Roman"/>
          <w:sz w:val="24"/>
          <w:lang w:val="en-GB"/>
        </w:rPr>
        <w:t>:</w:t>
      </w:r>
      <w:r w:rsidR="00C83359" w:rsidRPr="004B074F">
        <w:rPr>
          <w:rFonts w:ascii="Times New Roman" w:eastAsiaTheme="minorEastAsia" w:hAnsi="Times New Roman" w:cs="Times New Roman"/>
          <w:sz w:val="24"/>
          <w:lang w:val="en-GB"/>
        </w:rPr>
        <w:t xml:space="preserve"> Lower threshold for visual perception</w:t>
      </w:r>
    </w:p>
    <w:p w14:paraId="35995CF9" w14:textId="2162ED64" w:rsidR="00282DAD" w:rsidRDefault="00282DAD" w:rsidP="00FA01A1">
      <w:pPr>
        <w:ind w:left="360"/>
        <w:jc w:val="both"/>
        <w:rPr>
          <w:rFonts w:eastAsiaTheme="minorEastAsia"/>
          <w:lang w:val="en-GB"/>
        </w:rPr>
      </w:pPr>
      <w:r>
        <w:rPr>
          <w:rFonts w:eastAsiaTheme="minorEastAsia"/>
          <w:lang w:val="en-GB"/>
        </w:rPr>
        <w:t xml:space="preserve">Figure 1 </w:t>
      </w:r>
      <w:r w:rsidR="00EF6018">
        <w:rPr>
          <w:rFonts w:eastAsiaTheme="minorEastAsia"/>
          <w:lang w:val="en-GB"/>
        </w:rPr>
        <w:t xml:space="preserve">shows an example of </w:t>
      </w:r>
      <w:r w:rsidR="00910FF0">
        <w:rPr>
          <w:rFonts w:eastAsiaTheme="minorEastAsia"/>
          <w:lang w:val="en-GB"/>
        </w:rPr>
        <w:t>the parameters for one participant.</w:t>
      </w:r>
    </w:p>
    <w:p w14:paraId="1816D9E8" w14:textId="77777777" w:rsidR="000B0538" w:rsidRDefault="000B0538" w:rsidP="00227D76">
      <w:pPr>
        <w:keepNext/>
        <w:jc w:val="center"/>
      </w:pPr>
      <w:r>
        <w:rPr>
          <w:noProof/>
        </w:rPr>
        <w:lastRenderedPageBreak/>
        <w:drawing>
          <wp:inline distT="0" distB="0" distL="0" distR="0" wp14:anchorId="1C3ADD9F" wp14:editId="0912D52A">
            <wp:extent cx="6120130" cy="3455670"/>
            <wp:effectExtent l="0" t="0" r="0" b="0"/>
            <wp:docPr id="23" name="Billede 23" descr="Et billede, der indeholder indendørs, mør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1.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455670"/>
                    </a:xfrm>
                    <a:prstGeom prst="rect">
                      <a:avLst/>
                    </a:prstGeom>
                  </pic:spPr>
                </pic:pic>
              </a:graphicData>
            </a:graphic>
          </wp:inline>
        </w:drawing>
      </w:r>
    </w:p>
    <w:p w14:paraId="0B5E0615" w14:textId="4115A836" w:rsidR="000B0538" w:rsidRPr="000B0538" w:rsidRDefault="000B0538" w:rsidP="000B0538">
      <w:pPr>
        <w:pStyle w:val="Billedtekst"/>
        <w:jc w:val="center"/>
        <w:rPr>
          <w:rFonts w:eastAsiaTheme="minorEastAsia"/>
          <w:sz w:val="24"/>
          <w:lang w:val="en-US"/>
        </w:rPr>
      </w:pPr>
      <w:r w:rsidRPr="000B0538">
        <w:rPr>
          <w:lang w:val="en-US"/>
        </w:rPr>
        <w:t xml:space="preserve">Figure </w:t>
      </w:r>
      <w:r>
        <w:fldChar w:fldCharType="begin"/>
      </w:r>
      <w:r w:rsidRPr="000B0538">
        <w:rPr>
          <w:lang w:val="en-US"/>
        </w:rPr>
        <w:instrText xml:space="preserve"> SEQ Figure \* ARABIC </w:instrText>
      </w:r>
      <w:r>
        <w:fldChar w:fldCharType="separate"/>
      </w:r>
      <w:r w:rsidRPr="000B0538">
        <w:rPr>
          <w:noProof/>
          <w:lang w:val="en-US"/>
        </w:rPr>
        <w:t>1</w:t>
      </w:r>
      <w:r>
        <w:fldChar w:fldCharType="end"/>
      </w:r>
      <w:r w:rsidRPr="000B0538">
        <w:rPr>
          <w:lang w:val="en-US"/>
        </w:rPr>
        <w:t>: Example showing t</w:t>
      </w:r>
      <w:r w:rsidRPr="000B0538">
        <w:rPr>
          <w:vertAlign w:val="subscript"/>
          <w:lang w:val="en-US"/>
        </w:rPr>
        <w:t>0</w:t>
      </w:r>
      <w:r w:rsidRPr="000B0538">
        <w:rPr>
          <w:lang w:val="en-US"/>
        </w:rPr>
        <w:t xml:space="preserve">, C and K for a specific </w:t>
      </w:r>
      <w:r w:rsidR="00D511B1">
        <w:rPr>
          <w:lang w:val="en-US"/>
        </w:rPr>
        <w:t>participant</w:t>
      </w:r>
      <w:r w:rsidRPr="000B0538">
        <w:rPr>
          <w:lang w:val="en-US"/>
        </w:rPr>
        <w:t xml:space="preserve"> (FP19203)</w:t>
      </w:r>
    </w:p>
    <w:p w14:paraId="5518A91F" w14:textId="56185A3B" w:rsidR="00072EF7" w:rsidRDefault="005C5126" w:rsidP="00FA01A1">
      <w:pPr>
        <w:ind w:firstLine="567"/>
        <w:jc w:val="both"/>
        <w:rPr>
          <w:lang w:val="en-GB"/>
        </w:rPr>
      </w:pPr>
      <w:r>
        <w:rPr>
          <w:lang w:val="en-GB"/>
        </w:rPr>
        <w:t xml:space="preserve">These </w:t>
      </w:r>
      <w:r w:rsidR="004F2BE5">
        <w:rPr>
          <w:lang w:val="en-GB"/>
        </w:rPr>
        <w:t xml:space="preserve">variables are useful when investigating </w:t>
      </w:r>
      <w:r w:rsidR="00387EFF">
        <w:rPr>
          <w:lang w:val="en-GB"/>
        </w:rPr>
        <w:t>things like; neglect, neurodegenerative diseases</w:t>
      </w:r>
      <w:r w:rsidR="00744A58">
        <w:rPr>
          <w:lang w:val="en-GB"/>
        </w:rPr>
        <w:t xml:space="preserve">, simultanagnosia </w:t>
      </w:r>
      <w:r w:rsidR="00072EF7">
        <w:rPr>
          <w:lang w:val="en-GB"/>
        </w:rPr>
        <w:t xml:space="preserve">etc. </w:t>
      </w:r>
      <w:r w:rsidR="00072EF7">
        <w:rPr>
          <w:lang w:val="en-GB"/>
        </w:rPr>
        <w:fldChar w:fldCharType="begin" w:fldLock="1"/>
      </w:r>
      <w:r w:rsidR="00ED693E">
        <w:rPr>
          <w:lang w:val="en-GB"/>
        </w:rPr>
        <w:instrText>ADDIN CSL_CITATION {"citationItems":[{"id":"ITEM-1","itemData":{"ISSN":"1664-1078","abstract":"In combination with whole report and partial report tasks, the Theory of Visual Attention (TVA) can be used to estimate individual differences in five basic attentional parameters: The visual processing speed, the storage capacity of visual short-term memory, the perceptual threshold, the efficiency of top-down selectivity, and the spatial bias of attentional weighting. TVA-based assessment has been used in about 30 studies to investigate attentional deficits in a range of neurological and psychiatric conditions: (a) neglect and simultanagnosia, (b) reading disturbances, (c) aging and neurodegenerative diseases, and most recently (d) neurodevelopmental disorders. The article introduces TVA based assessment, discusses its methodology and psychometric properties, and reviews the progress made in each of the four research fields. The empirical results demonstrate the general usefulness of TVA-based assessment for many types of clinical neuropsychological research. The method’s most important qualities are cognitive specificity and theoretical grounding, but it is also characterized by good reliability and sensitivity to minor deficits. The review concludes by pointing to promising new areas for clinical TVA-based research.","author":[{"dropping-particle":"","family":"Habekost","given":"Thomas","non-dropping-particle":"","parse-names":false,"suffix":""}],"container-title":"Frontiers in Psychology","id":"ITEM-1","issued":{"date-parts":[["2015"]]},"page":"1-18","title":"Clinical TVA-based studies: a general review","type":"article-journal","volume":"6:290"},"uris":["http://www.mendeley.com/documents/?uuid=6389b675-9dd2-48fb-90f4-d19368208796"]}],"mendeley":{"formattedCitation":"(Habekost, 2015)","plainTextFormattedCitation":"(Habekost, 2015)","previouslyFormattedCitation":"(Habekost, 2015)"},"properties":{"noteIndex":0},"schema":"https://github.com/citation-style-language/schema/raw/master/csl-citation.json"}</w:instrText>
      </w:r>
      <w:r w:rsidR="00072EF7">
        <w:rPr>
          <w:lang w:val="en-GB"/>
        </w:rPr>
        <w:fldChar w:fldCharType="separate"/>
      </w:r>
      <w:r w:rsidR="00072EF7" w:rsidRPr="00072EF7">
        <w:rPr>
          <w:noProof/>
          <w:lang w:val="en-GB"/>
        </w:rPr>
        <w:t>(Habekost, 2015)</w:t>
      </w:r>
      <w:r w:rsidR="00072EF7">
        <w:rPr>
          <w:lang w:val="en-GB"/>
        </w:rPr>
        <w:fldChar w:fldCharType="end"/>
      </w:r>
      <w:r w:rsidR="00072EF7">
        <w:rPr>
          <w:lang w:val="en-GB"/>
        </w:rPr>
        <w:t>.</w:t>
      </w:r>
    </w:p>
    <w:p w14:paraId="7F4A7DF2" w14:textId="77777777" w:rsidR="005012EA" w:rsidRDefault="005012EA" w:rsidP="00FA01A1">
      <w:pPr>
        <w:ind w:firstLine="567"/>
        <w:jc w:val="both"/>
        <w:rPr>
          <w:lang w:val="en-GB"/>
        </w:rPr>
      </w:pPr>
    </w:p>
    <w:p w14:paraId="3EDE95E2" w14:textId="3EA5132A" w:rsidR="00072EF7" w:rsidRPr="006F323B" w:rsidRDefault="00C37632" w:rsidP="00FA01A1">
      <w:pPr>
        <w:ind w:firstLine="567"/>
        <w:jc w:val="both"/>
        <w:rPr>
          <w:lang w:val="en-GB"/>
        </w:rPr>
      </w:pPr>
      <w:r w:rsidRPr="006F323B">
        <w:rPr>
          <w:lang w:val="en-GB"/>
        </w:rPr>
        <w:t xml:space="preserve">In our experiment, the following hypothesises </w:t>
      </w:r>
      <w:r w:rsidR="00CF1684" w:rsidRPr="006F323B">
        <w:rPr>
          <w:lang w:val="en-GB"/>
        </w:rPr>
        <w:t>were investigated:</w:t>
      </w:r>
    </w:p>
    <w:p w14:paraId="5DDD1563" w14:textId="5BADBDFC" w:rsidR="00CF1684" w:rsidRPr="006F323B" w:rsidRDefault="00CF1684" w:rsidP="00FA01A1">
      <w:pPr>
        <w:pStyle w:val="Listeafsnit"/>
        <w:numPr>
          <w:ilvl w:val="0"/>
          <w:numId w:val="6"/>
        </w:numPr>
        <w:spacing w:line="360" w:lineRule="auto"/>
        <w:jc w:val="both"/>
        <w:rPr>
          <w:rFonts w:ascii="Times New Roman" w:hAnsi="Times New Roman" w:cs="Times New Roman"/>
          <w:sz w:val="24"/>
          <w:szCs w:val="24"/>
          <w:lang w:val="en-GB"/>
        </w:rPr>
      </w:pPr>
      <w:r w:rsidRPr="006F323B">
        <w:rPr>
          <w:rFonts w:ascii="Times New Roman" w:hAnsi="Times New Roman" w:cs="Times New Roman"/>
          <w:sz w:val="24"/>
          <w:szCs w:val="24"/>
          <w:lang w:val="en-GB"/>
        </w:rPr>
        <w:t xml:space="preserve">Accuracy increases with </w:t>
      </w:r>
      <w:r w:rsidR="006A045E">
        <w:rPr>
          <w:rFonts w:ascii="Times New Roman" w:hAnsi="Times New Roman" w:cs="Times New Roman"/>
          <w:sz w:val="24"/>
          <w:szCs w:val="24"/>
          <w:lang w:val="en-GB"/>
        </w:rPr>
        <w:t>display</w:t>
      </w:r>
      <w:r w:rsidR="008B71AE" w:rsidRPr="006F323B">
        <w:rPr>
          <w:rFonts w:ascii="Times New Roman" w:hAnsi="Times New Roman" w:cs="Times New Roman"/>
          <w:sz w:val="24"/>
          <w:szCs w:val="24"/>
          <w:lang w:val="en-GB"/>
        </w:rPr>
        <w:t xml:space="preserve"> time</w:t>
      </w:r>
    </w:p>
    <w:p w14:paraId="59B3B870" w14:textId="2E01E525" w:rsidR="008B71AE" w:rsidRPr="006F323B" w:rsidRDefault="006A569A" w:rsidP="00FA01A1">
      <w:pPr>
        <w:pStyle w:val="Listeafsnit"/>
        <w:numPr>
          <w:ilvl w:val="0"/>
          <w:numId w:val="6"/>
        </w:numPr>
        <w:spacing w:line="360" w:lineRule="auto"/>
        <w:jc w:val="both"/>
        <w:rPr>
          <w:rFonts w:ascii="Times New Roman" w:hAnsi="Times New Roman" w:cs="Times New Roman"/>
          <w:sz w:val="24"/>
          <w:szCs w:val="24"/>
          <w:lang w:val="en-GB"/>
        </w:rPr>
      </w:pPr>
      <w:r w:rsidRPr="006F323B">
        <w:rPr>
          <w:rFonts w:ascii="Times New Roman" w:hAnsi="Times New Roman" w:cs="Times New Roman"/>
          <w:sz w:val="24"/>
          <w:szCs w:val="24"/>
          <w:lang w:val="en-GB"/>
        </w:rPr>
        <w:t xml:space="preserve">There is a correlation between K and C parameters </w:t>
      </w:r>
    </w:p>
    <w:p w14:paraId="19C092D6" w14:textId="7AA29C88" w:rsidR="006A569A" w:rsidRPr="006F323B" w:rsidRDefault="00BF5025" w:rsidP="00FA01A1">
      <w:pPr>
        <w:pStyle w:val="Listeafsnit"/>
        <w:numPr>
          <w:ilvl w:val="0"/>
          <w:numId w:val="6"/>
        </w:numPr>
        <w:spacing w:line="360" w:lineRule="auto"/>
        <w:jc w:val="both"/>
        <w:rPr>
          <w:rFonts w:ascii="Times New Roman" w:hAnsi="Times New Roman" w:cs="Times New Roman"/>
          <w:sz w:val="24"/>
          <w:szCs w:val="24"/>
          <w:lang w:val="en-GB"/>
        </w:rPr>
      </w:pPr>
      <w:r w:rsidRPr="006F323B">
        <w:rPr>
          <w:rFonts w:ascii="Times New Roman" w:hAnsi="Times New Roman" w:cs="Times New Roman"/>
          <w:sz w:val="24"/>
          <w:szCs w:val="24"/>
          <w:lang w:val="en-GB"/>
        </w:rPr>
        <w:t>TVA-parameters are correlated with age</w:t>
      </w:r>
    </w:p>
    <w:p w14:paraId="4B5BF5DB" w14:textId="6427EC1B" w:rsidR="00BF5025" w:rsidRPr="006F323B" w:rsidRDefault="00527E5C" w:rsidP="00FA01A1">
      <w:pPr>
        <w:pStyle w:val="Listeafsnit"/>
        <w:numPr>
          <w:ilvl w:val="0"/>
          <w:numId w:val="6"/>
        </w:numPr>
        <w:spacing w:line="360" w:lineRule="auto"/>
        <w:jc w:val="both"/>
        <w:rPr>
          <w:rFonts w:ascii="Times New Roman" w:hAnsi="Times New Roman" w:cs="Times New Roman"/>
          <w:sz w:val="24"/>
          <w:szCs w:val="24"/>
          <w:lang w:val="en-GB"/>
        </w:rPr>
      </w:pPr>
      <w:r w:rsidRPr="006F323B">
        <w:rPr>
          <w:rFonts w:ascii="Times New Roman" w:hAnsi="Times New Roman" w:cs="Times New Roman"/>
          <w:sz w:val="24"/>
          <w:szCs w:val="24"/>
          <w:lang w:val="en-GB"/>
        </w:rPr>
        <w:t>TVA-parameters are unaffected by sex</w:t>
      </w:r>
    </w:p>
    <w:p w14:paraId="6A99B846" w14:textId="7F0FC6DA" w:rsidR="00527E5C" w:rsidRPr="006F323B" w:rsidRDefault="00527E5C" w:rsidP="00FA01A1">
      <w:pPr>
        <w:pStyle w:val="Listeafsnit"/>
        <w:numPr>
          <w:ilvl w:val="0"/>
          <w:numId w:val="6"/>
        </w:numPr>
        <w:spacing w:line="360" w:lineRule="auto"/>
        <w:jc w:val="both"/>
        <w:rPr>
          <w:rFonts w:ascii="Times New Roman" w:hAnsi="Times New Roman" w:cs="Times New Roman"/>
          <w:sz w:val="24"/>
          <w:szCs w:val="24"/>
          <w:lang w:val="en-GB"/>
        </w:rPr>
      </w:pPr>
      <w:r w:rsidRPr="006F323B">
        <w:rPr>
          <w:rFonts w:ascii="Times New Roman" w:hAnsi="Times New Roman" w:cs="Times New Roman"/>
          <w:sz w:val="24"/>
          <w:szCs w:val="24"/>
          <w:lang w:val="en-GB"/>
        </w:rPr>
        <w:t xml:space="preserve">Distractors inhibits accuracy </w:t>
      </w:r>
    </w:p>
    <w:p w14:paraId="1B4CA444" w14:textId="4B769E6A" w:rsidR="00993D89" w:rsidRPr="006F323B" w:rsidRDefault="00993D89" w:rsidP="00FA01A1">
      <w:pPr>
        <w:pStyle w:val="Listeafsnit"/>
        <w:numPr>
          <w:ilvl w:val="0"/>
          <w:numId w:val="6"/>
        </w:numPr>
        <w:spacing w:line="360" w:lineRule="auto"/>
        <w:jc w:val="both"/>
        <w:rPr>
          <w:rFonts w:ascii="Times New Roman" w:hAnsi="Times New Roman" w:cs="Times New Roman"/>
          <w:sz w:val="24"/>
          <w:szCs w:val="24"/>
          <w:lang w:val="en-GB"/>
        </w:rPr>
      </w:pPr>
      <w:r w:rsidRPr="006F323B">
        <w:rPr>
          <w:rFonts w:ascii="Times New Roman" w:hAnsi="Times New Roman" w:cs="Times New Roman"/>
          <w:sz w:val="24"/>
          <w:szCs w:val="24"/>
          <w:lang w:val="en-GB"/>
        </w:rPr>
        <w:t xml:space="preserve">Attentional weights are not biased to </w:t>
      </w:r>
      <w:r w:rsidR="006F323B" w:rsidRPr="006F323B">
        <w:rPr>
          <w:rFonts w:ascii="Times New Roman" w:hAnsi="Times New Roman" w:cs="Times New Roman"/>
          <w:sz w:val="24"/>
          <w:szCs w:val="24"/>
          <w:lang w:val="en-GB"/>
        </w:rPr>
        <w:t>one side</w:t>
      </w:r>
    </w:p>
    <w:p w14:paraId="1D66BD6E" w14:textId="77777777" w:rsidR="00D86D0B" w:rsidRDefault="00D86D0B">
      <w:pPr>
        <w:spacing w:after="160" w:line="259" w:lineRule="auto"/>
        <w:rPr>
          <w:rFonts w:ascii="Arial" w:hAnsi="Arial" w:cs="Arial"/>
          <w:b/>
          <w:bCs/>
          <w:color w:val="000000"/>
          <w:sz w:val="36"/>
          <w:lang w:val="en-GB"/>
        </w:rPr>
      </w:pPr>
      <w:r>
        <w:rPr>
          <w:lang w:val="en-GB"/>
        </w:rPr>
        <w:br w:type="page"/>
      </w:r>
    </w:p>
    <w:p w14:paraId="33F0F61A" w14:textId="07D8A60C" w:rsidR="001078C3" w:rsidRPr="009A6A11" w:rsidRDefault="006F034F" w:rsidP="001078C3">
      <w:pPr>
        <w:pStyle w:val="Overskrift1"/>
        <w:rPr>
          <w:lang w:val="en-GB"/>
        </w:rPr>
      </w:pPr>
      <w:bookmarkStart w:id="1" w:name="_Toc26292287"/>
      <w:r w:rsidRPr="009A6A11">
        <w:rPr>
          <w:lang w:val="en-GB"/>
        </w:rPr>
        <w:lastRenderedPageBreak/>
        <w:t>Method</w:t>
      </w:r>
      <w:bookmarkEnd w:id="1"/>
    </w:p>
    <w:p w14:paraId="084B8E51" w14:textId="5C94B7BE" w:rsidR="00A224BB" w:rsidRDefault="00A224BB" w:rsidP="00A224BB">
      <w:pPr>
        <w:rPr>
          <w:lang w:val="en-GB"/>
        </w:rPr>
      </w:pPr>
      <w:r w:rsidRPr="00421A56">
        <w:rPr>
          <w:lang w:val="en-GB"/>
        </w:rPr>
        <w:t xml:space="preserve">This experiment </w:t>
      </w:r>
      <w:r>
        <w:rPr>
          <w:lang w:val="en-GB"/>
        </w:rPr>
        <w:t>included</w:t>
      </w:r>
      <w:r w:rsidRPr="00421A56">
        <w:rPr>
          <w:lang w:val="en-GB"/>
        </w:rPr>
        <w:t xml:space="preserve"> </w:t>
      </w:r>
      <w:r w:rsidRPr="00421A56">
        <w:rPr>
          <w:i/>
          <w:iCs/>
          <w:lang w:val="en-GB"/>
        </w:rPr>
        <w:t>N</w:t>
      </w:r>
      <w:r w:rsidRPr="00421A56">
        <w:rPr>
          <w:lang w:val="en-GB"/>
        </w:rPr>
        <w:t xml:space="preserve"> = </w:t>
      </w:r>
      <w:r>
        <w:rPr>
          <w:lang w:val="en-GB"/>
        </w:rPr>
        <w:t>207</w:t>
      </w:r>
      <w:r w:rsidRPr="00421A56">
        <w:rPr>
          <w:lang w:val="en-GB"/>
        </w:rPr>
        <w:t xml:space="preserve"> participants</w:t>
      </w:r>
      <w:r>
        <w:rPr>
          <w:lang w:val="en-GB"/>
        </w:rPr>
        <w:t xml:space="preserve">, </w:t>
      </w:r>
      <w:r w:rsidRPr="00421A56">
        <w:rPr>
          <w:lang w:val="en-GB"/>
        </w:rPr>
        <w:t xml:space="preserve">all psychology students </w:t>
      </w:r>
      <w:r>
        <w:rPr>
          <w:lang w:val="en-GB"/>
        </w:rPr>
        <w:t>at UCPH.</w:t>
      </w:r>
    </w:p>
    <w:p w14:paraId="16071BF7" w14:textId="497ADE70" w:rsidR="00D94E88" w:rsidRDefault="00D94E88" w:rsidP="00D94E88">
      <w:pPr>
        <w:pStyle w:val="Overskrift2"/>
        <w:rPr>
          <w:lang w:val="en-GB"/>
        </w:rPr>
      </w:pPr>
      <w:bookmarkStart w:id="2" w:name="_Toc26292288"/>
      <w:r>
        <w:rPr>
          <w:lang w:val="en-GB"/>
        </w:rPr>
        <w:t>Materials</w:t>
      </w:r>
      <w:bookmarkEnd w:id="2"/>
    </w:p>
    <w:p w14:paraId="7052CD88" w14:textId="77AC6F18" w:rsidR="003A0574" w:rsidRPr="003A0574" w:rsidRDefault="003A0574" w:rsidP="003A0574">
      <w:pPr>
        <w:pStyle w:val="Listeafsnit"/>
        <w:numPr>
          <w:ilvl w:val="0"/>
          <w:numId w:val="7"/>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E-Prime</w:t>
      </w:r>
      <w:r w:rsidRPr="003A0574">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3A0574">
        <w:rPr>
          <w:rFonts w:ascii="Times New Roman" w:hAnsi="Times New Roman" w:cs="Times New Roman"/>
          <w:sz w:val="24"/>
          <w:szCs w:val="24"/>
          <w:lang w:val="en-GB"/>
        </w:rPr>
        <w:t>experiment file containing TVA experiment</w:t>
      </w:r>
    </w:p>
    <w:p w14:paraId="33A3DF68" w14:textId="2C12AF2E" w:rsidR="003A0574" w:rsidRPr="003A0574" w:rsidRDefault="003A0574" w:rsidP="003A0574">
      <w:pPr>
        <w:pStyle w:val="Listeafsnit"/>
        <w:numPr>
          <w:ilvl w:val="0"/>
          <w:numId w:val="7"/>
        </w:numPr>
        <w:spacing w:line="360" w:lineRule="auto"/>
        <w:rPr>
          <w:lang w:val="en-GB"/>
        </w:rPr>
      </w:pPr>
      <w:r>
        <w:rPr>
          <w:rFonts w:ascii="Times New Roman" w:hAnsi="Times New Roman" w:cs="Times New Roman"/>
          <w:sz w:val="24"/>
          <w:szCs w:val="24"/>
          <w:lang w:val="en-GB"/>
        </w:rPr>
        <w:t>PC</w:t>
      </w:r>
    </w:p>
    <w:p w14:paraId="6790B1C6" w14:textId="19402E2F" w:rsidR="00D94E88" w:rsidRDefault="00D94E88" w:rsidP="00D94E88">
      <w:pPr>
        <w:pStyle w:val="Overskrift2"/>
        <w:rPr>
          <w:lang w:val="en-GB"/>
        </w:rPr>
      </w:pPr>
      <w:bookmarkStart w:id="3" w:name="_Toc26292289"/>
      <w:r>
        <w:rPr>
          <w:lang w:val="en-GB"/>
        </w:rPr>
        <w:t>Test procedure</w:t>
      </w:r>
      <w:bookmarkEnd w:id="3"/>
    </w:p>
    <w:p w14:paraId="0D81D22C" w14:textId="2EDEE007" w:rsidR="00D94E88" w:rsidRPr="00D94E88" w:rsidRDefault="00391E4C" w:rsidP="00FA01A1">
      <w:pPr>
        <w:jc w:val="both"/>
        <w:rPr>
          <w:lang w:val="en-GB"/>
        </w:rPr>
      </w:pPr>
      <w:r>
        <w:rPr>
          <w:lang w:val="en-GB"/>
        </w:rPr>
        <w:t xml:space="preserve">Prior to </w:t>
      </w:r>
      <w:r w:rsidR="002A0394">
        <w:rPr>
          <w:lang w:val="en-GB"/>
        </w:rPr>
        <w:t>starting the experiment, it was verified that the testing monitor had a</w:t>
      </w:r>
      <w:r w:rsidR="002568E6">
        <w:rPr>
          <w:lang w:val="en-GB"/>
        </w:rPr>
        <w:t xml:space="preserve"> 60hz</w:t>
      </w:r>
      <w:r w:rsidR="002A0394">
        <w:rPr>
          <w:lang w:val="en-GB"/>
        </w:rPr>
        <w:t xml:space="preserve"> </w:t>
      </w:r>
      <w:r w:rsidR="002568E6">
        <w:rPr>
          <w:lang w:val="en-GB"/>
        </w:rPr>
        <w:t>refresh rate.</w:t>
      </w:r>
      <w:r w:rsidR="00FA7C51">
        <w:rPr>
          <w:lang w:val="en-GB"/>
        </w:rPr>
        <w:t xml:space="preserve"> </w:t>
      </w:r>
      <w:r w:rsidR="00E74168">
        <w:rPr>
          <w:lang w:val="en-GB"/>
        </w:rPr>
        <w:t>Present during the experiment was only the participant (P).</w:t>
      </w:r>
      <w:r w:rsidR="002B533D">
        <w:rPr>
          <w:lang w:val="en-GB"/>
        </w:rPr>
        <w:t xml:space="preserve"> </w:t>
      </w:r>
      <w:r w:rsidR="00AD687B">
        <w:rPr>
          <w:lang w:val="en-GB"/>
        </w:rPr>
        <w:t xml:space="preserve">The test starts by presenting the instructions. </w:t>
      </w:r>
      <w:r w:rsidR="00E869F3">
        <w:rPr>
          <w:lang w:val="en-GB"/>
        </w:rPr>
        <w:t xml:space="preserve">Each P is </w:t>
      </w:r>
      <w:r w:rsidR="00884576">
        <w:rPr>
          <w:lang w:val="en-GB"/>
        </w:rPr>
        <w:t xml:space="preserve">from the beginning </w:t>
      </w:r>
      <w:r w:rsidR="00E869F3">
        <w:rPr>
          <w:lang w:val="en-GB"/>
        </w:rPr>
        <w:t>assigned a target colour</w:t>
      </w:r>
      <w:r w:rsidR="00264035">
        <w:rPr>
          <w:lang w:val="en-GB"/>
        </w:rPr>
        <w:t xml:space="preserve"> at random</w:t>
      </w:r>
      <w:r w:rsidR="00E869F3">
        <w:rPr>
          <w:lang w:val="en-GB"/>
        </w:rPr>
        <w:t>, which can be either red or blue</w:t>
      </w:r>
      <w:r w:rsidR="00264035">
        <w:rPr>
          <w:lang w:val="en-GB"/>
        </w:rPr>
        <w:t xml:space="preserve">. </w:t>
      </w:r>
      <w:r w:rsidR="00DC4374">
        <w:rPr>
          <w:lang w:val="en-GB"/>
        </w:rPr>
        <w:t>The target colour is</w:t>
      </w:r>
      <w:r w:rsidR="00C83A86">
        <w:rPr>
          <w:lang w:val="en-GB"/>
        </w:rPr>
        <w:t xml:space="preserve">n’t changed throughout the experiment. </w:t>
      </w:r>
      <w:r w:rsidR="00264035">
        <w:rPr>
          <w:lang w:val="en-GB"/>
        </w:rPr>
        <w:t>The test starts by a fixation cross</w:t>
      </w:r>
      <w:r w:rsidR="00395619">
        <w:rPr>
          <w:lang w:val="en-GB"/>
        </w:rPr>
        <w:t xml:space="preserve"> </w:t>
      </w:r>
      <w:r w:rsidR="00884576">
        <w:rPr>
          <w:lang w:val="en-GB"/>
        </w:rPr>
        <w:t xml:space="preserve">in the target </w:t>
      </w:r>
      <w:r w:rsidR="00395619">
        <w:rPr>
          <w:lang w:val="en-GB"/>
        </w:rPr>
        <w:t xml:space="preserve">colour appearing for 1000ms. </w:t>
      </w:r>
      <w:r w:rsidR="00285919">
        <w:rPr>
          <w:lang w:val="en-GB"/>
        </w:rPr>
        <w:t>This is replaced by either 2 or 6 letters</w:t>
      </w:r>
      <w:r w:rsidR="008E1D00">
        <w:rPr>
          <w:lang w:val="en-GB"/>
        </w:rPr>
        <w:t xml:space="preserve"> presented in a circular manner. The letters are </w:t>
      </w:r>
      <w:r w:rsidR="00814A19">
        <w:rPr>
          <w:lang w:val="en-GB"/>
        </w:rPr>
        <w:t>displayed</w:t>
      </w:r>
      <w:r w:rsidR="008E1D00">
        <w:rPr>
          <w:lang w:val="en-GB"/>
        </w:rPr>
        <w:t xml:space="preserve"> in either 16, 33, 50, 100, 150 or 200ms</w:t>
      </w:r>
      <w:r w:rsidR="00635B47">
        <w:rPr>
          <w:lang w:val="en-GB"/>
        </w:rPr>
        <w:t xml:space="preserve"> and</w:t>
      </w:r>
      <w:r w:rsidR="00A576B6">
        <w:rPr>
          <w:lang w:val="en-GB"/>
        </w:rPr>
        <w:t xml:space="preserve"> coloured either red or blue at random.</w:t>
      </w:r>
      <w:r w:rsidR="00DF1851">
        <w:rPr>
          <w:lang w:val="en-GB"/>
        </w:rPr>
        <w:t xml:space="preserve"> The letters are masked (by a random colour </w:t>
      </w:r>
      <w:r w:rsidR="00AC7A22">
        <w:rPr>
          <w:lang w:val="en-GB"/>
        </w:rPr>
        <w:t xml:space="preserve">pattern in red and blue) for 500ms, hereafter </w:t>
      </w:r>
      <w:r w:rsidR="005D77B2">
        <w:rPr>
          <w:lang w:val="en-GB"/>
        </w:rPr>
        <w:t xml:space="preserve">the screen is blank. </w:t>
      </w:r>
      <w:r w:rsidR="00AC7A22">
        <w:rPr>
          <w:lang w:val="en-GB"/>
        </w:rPr>
        <w:t>P</w:t>
      </w:r>
      <w:r w:rsidR="005D77B2">
        <w:rPr>
          <w:lang w:val="en-GB"/>
        </w:rPr>
        <w:t xml:space="preserve"> now</w:t>
      </w:r>
      <w:r w:rsidR="00AC7A22">
        <w:rPr>
          <w:lang w:val="en-GB"/>
        </w:rPr>
        <w:t xml:space="preserve"> </w:t>
      </w:r>
      <w:proofErr w:type="gramStart"/>
      <w:r w:rsidR="00AC7A22">
        <w:rPr>
          <w:lang w:val="en-GB"/>
        </w:rPr>
        <w:t>has to</w:t>
      </w:r>
      <w:proofErr w:type="gramEnd"/>
      <w:r w:rsidR="00AC7A22">
        <w:rPr>
          <w:lang w:val="en-GB"/>
        </w:rPr>
        <w:t xml:space="preserve"> write all letters </w:t>
      </w:r>
      <w:r w:rsidR="00BF750E">
        <w:rPr>
          <w:lang w:val="en-GB"/>
        </w:rPr>
        <w:t>of</w:t>
      </w:r>
      <w:r w:rsidR="005D77B2">
        <w:rPr>
          <w:lang w:val="en-GB"/>
        </w:rPr>
        <w:t xml:space="preserve"> the target colour that can be remembered and </w:t>
      </w:r>
      <w:r w:rsidR="00B27A97">
        <w:rPr>
          <w:lang w:val="en-GB"/>
        </w:rPr>
        <w:t>end by pressing the space key</w:t>
      </w:r>
      <w:r w:rsidR="005D77B2">
        <w:rPr>
          <w:lang w:val="en-GB"/>
        </w:rPr>
        <w:t>.</w:t>
      </w:r>
      <w:r w:rsidR="00B27A97">
        <w:rPr>
          <w:lang w:val="en-GB"/>
        </w:rPr>
        <w:t xml:space="preserve"> This starts the next trail. </w:t>
      </w:r>
      <w:r w:rsidR="00BB61CC">
        <w:rPr>
          <w:lang w:val="en-GB"/>
        </w:rPr>
        <w:t xml:space="preserve">The letters can be presented as all target colour </w:t>
      </w:r>
      <w:r w:rsidR="00DE0BDA">
        <w:rPr>
          <w:lang w:val="en-GB"/>
        </w:rPr>
        <w:t xml:space="preserve">(whole report) </w:t>
      </w:r>
      <w:r w:rsidR="00BB61CC">
        <w:rPr>
          <w:lang w:val="en-GB"/>
        </w:rPr>
        <w:t>or in a 2:4, 3:3 or 4:2 ratio of target and distractors</w:t>
      </w:r>
      <w:r w:rsidR="00DC3170">
        <w:rPr>
          <w:lang w:val="en-GB"/>
        </w:rPr>
        <w:t xml:space="preserve"> (partial report)</w:t>
      </w:r>
      <w:r w:rsidR="00BB61CC">
        <w:rPr>
          <w:lang w:val="en-GB"/>
        </w:rPr>
        <w:t>.</w:t>
      </w:r>
      <w:r w:rsidR="00DC3170">
        <w:rPr>
          <w:lang w:val="en-GB"/>
        </w:rPr>
        <w:t xml:space="preserve"> The experiment consists of </w:t>
      </w:r>
      <w:r w:rsidR="004733A3">
        <w:rPr>
          <w:lang w:val="en-GB"/>
        </w:rPr>
        <w:t>11</w:t>
      </w:r>
      <w:r w:rsidR="00DC3170">
        <w:rPr>
          <w:lang w:val="en-GB"/>
        </w:rPr>
        <w:t xml:space="preserve"> </w:t>
      </w:r>
      <w:r w:rsidR="00CB54A1">
        <w:rPr>
          <w:lang w:val="en-GB"/>
        </w:rPr>
        <w:t xml:space="preserve">blocks </w:t>
      </w:r>
      <w:r w:rsidR="004733A3">
        <w:rPr>
          <w:lang w:val="en-GB"/>
        </w:rPr>
        <w:t xml:space="preserve">(2 practice) </w:t>
      </w:r>
      <w:r w:rsidR="00CB54A1">
        <w:rPr>
          <w:lang w:val="en-GB"/>
        </w:rPr>
        <w:t>with 27 trails in each</w:t>
      </w:r>
      <w:r w:rsidR="0095557D">
        <w:rPr>
          <w:lang w:val="en-GB"/>
        </w:rPr>
        <w:t>.</w:t>
      </w:r>
      <w:r w:rsidR="006A5415">
        <w:rPr>
          <w:lang w:val="en-GB"/>
        </w:rPr>
        <w:t xml:space="preserve"> After each block P is presented with an accuracy indication. P </w:t>
      </w:r>
      <w:proofErr w:type="gramStart"/>
      <w:r w:rsidR="006A5415">
        <w:rPr>
          <w:lang w:val="en-GB"/>
        </w:rPr>
        <w:t>has to</w:t>
      </w:r>
      <w:proofErr w:type="gramEnd"/>
      <w:r w:rsidR="006A5415">
        <w:rPr>
          <w:lang w:val="en-GB"/>
        </w:rPr>
        <w:t xml:space="preserve"> aim for 80-90% accuracy. If the accuracy is lower than this</w:t>
      </w:r>
      <w:r w:rsidR="00BF2502">
        <w:rPr>
          <w:lang w:val="en-GB"/>
        </w:rPr>
        <w:t xml:space="preserve">, more care </w:t>
      </w:r>
      <w:r w:rsidR="004F5CBC">
        <w:rPr>
          <w:lang w:val="en-GB"/>
        </w:rPr>
        <w:t>must</w:t>
      </w:r>
      <w:r w:rsidR="00BF2502">
        <w:rPr>
          <w:lang w:val="en-GB"/>
        </w:rPr>
        <w:t xml:space="preserve"> be taken in only reporting </w:t>
      </w:r>
      <w:r w:rsidR="004F5CBC">
        <w:rPr>
          <w:lang w:val="en-GB"/>
        </w:rPr>
        <w:t>only letters that are clearly remembered</w:t>
      </w:r>
      <w:r w:rsidR="001D0AB7">
        <w:rPr>
          <w:lang w:val="en-GB"/>
        </w:rPr>
        <w:t>. If accuracy is higher, P must push harder and report letters that the</w:t>
      </w:r>
      <w:r w:rsidR="00AD1954">
        <w:rPr>
          <w:lang w:val="en-GB"/>
        </w:rPr>
        <w:t>y might have seen. It is important that P isn’t guessing.</w:t>
      </w:r>
      <w:r w:rsidR="004F5CBC">
        <w:rPr>
          <w:lang w:val="en-GB"/>
        </w:rPr>
        <w:t xml:space="preserve"> Breaks can be taken </w:t>
      </w:r>
      <w:r w:rsidR="00493A95">
        <w:rPr>
          <w:lang w:val="en-GB"/>
        </w:rPr>
        <w:t>after each trail</w:t>
      </w:r>
      <w:r w:rsidR="00151FE9">
        <w:rPr>
          <w:lang w:val="en-GB"/>
        </w:rPr>
        <w:t>.</w:t>
      </w:r>
      <w:bookmarkStart w:id="4" w:name="_GoBack"/>
      <w:bookmarkEnd w:id="4"/>
    </w:p>
    <w:p w14:paraId="4D0C6EEB" w14:textId="20F32282" w:rsidR="001078C3" w:rsidRPr="00804C48" w:rsidRDefault="00734925" w:rsidP="001078C3">
      <w:pPr>
        <w:pStyle w:val="Overskrift1"/>
      </w:pPr>
      <w:bookmarkStart w:id="5" w:name="_Toc26292290"/>
      <w:proofErr w:type="spellStart"/>
      <w:r w:rsidRPr="00804C48">
        <w:lastRenderedPageBreak/>
        <w:t>Results</w:t>
      </w:r>
      <w:bookmarkEnd w:id="5"/>
      <w:proofErr w:type="spellEnd"/>
    </w:p>
    <w:p w14:paraId="65C4D349" w14:textId="749D24A0" w:rsidR="23FAC606" w:rsidRPr="005E1C17" w:rsidRDefault="00804C48" w:rsidP="00B96910">
      <w:pPr>
        <w:pStyle w:val="Overskrift2"/>
        <w:rPr>
          <w:lang w:val="en-US"/>
        </w:rPr>
      </w:pPr>
      <w:bookmarkStart w:id="6" w:name="_Toc26292291"/>
      <w:r w:rsidRPr="005E1C17">
        <w:rPr>
          <w:lang w:val="en-US"/>
        </w:rPr>
        <w:t xml:space="preserve">Longer display times </w:t>
      </w:r>
      <w:r w:rsidR="005E1C17" w:rsidRPr="005E1C17">
        <w:rPr>
          <w:lang w:val="en-US"/>
        </w:rPr>
        <w:t>in</w:t>
      </w:r>
      <w:r w:rsidR="005E1C17">
        <w:rPr>
          <w:lang w:val="en-US"/>
        </w:rPr>
        <w:t xml:space="preserve">creases </w:t>
      </w:r>
      <w:r w:rsidR="00790DF6">
        <w:rPr>
          <w:lang w:val="en-US"/>
        </w:rPr>
        <w:t>accurac</w:t>
      </w:r>
      <w:r w:rsidR="00416E20">
        <w:rPr>
          <w:lang w:val="en-US"/>
        </w:rPr>
        <w:t>y</w:t>
      </w:r>
      <w:bookmarkEnd w:id="6"/>
    </w:p>
    <w:p w14:paraId="27758682" w14:textId="77777777" w:rsidR="00C73ADB" w:rsidRDefault="0000415E" w:rsidP="00C73ADB">
      <w:pPr>
        <w:keepNext/>
      </w:pPr>
      <w:r w:rsidRPr="00773C98">
        <w:rPr>
          <w:noProof/>
        </w:rPr>
        <w:drawing>
          <wp:inline distT="0" distB="0" distL="0" distR="0" wp14:anchorId="319992BD" wp14:editId="02902B96">
            <wp:extent cx="6120130" cy="375666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56660"/>
                    </a:xfrm>
                    <a:prstGeom prst="rect">
                      <a:avLst/>
                    </a:prstGeom>
                  </pic:spPr>
                </pic:pic>
              </a:graphicData>
            </a:graphic>
          </wp:inline>
        </w:drawing>
      </w:r>
    </w:p>
    <w:p w14:paraId="036B4B9D" w14:textId="5974C083" w:rsidR="0000415E" w:rsidRDefault="00C73ADB" w:rsidP="00C73ADB">
      <w:pPr>
        <w:pStyle w:val="Billedtekst"/>
        <w:jc w:val="center"/>
        <w:rPr>
          <w:lang w:val="en-US"/>
        </w:rPr>
      </w:pPr>
      <w:r w:rsidRPr="00C73ADB">
        <w:rPr>
          <w:lang w:val="en-US"/>
        </w:rPr>
        <w:t xml:space="preserve">Figure </w:t>
      </w:r>
      <w:r>
        <w:fldChar w:fldCharType="begin"/>
      </w:r>
      <w:r w:rsidRPr="00C73ADB">
        <w:rPr>
          <w:lang w:val="en-US"/>
        </w:rPr>
        <w:instrText xml:space="preserve"> SEQ Figure \* ARABIC </w:instrText>
      </w:r>
      <w:r>
        <w:fldChar w:fldCharType="separate"/>
      </w:r>
      <w:r w:rsidR="000B0538">
        <w:rPr>
          <w:noProof/>
          <w:lang w:val="en-US"/>
        </w:rPr>
        <w:t>2</w:t>
      </w:r>
      <w:r>
        <w:fldChar w:fldCharType="end"/>
      </w:r>
      <w:r w:rsidRPr="00C73ADB">
        <w:rPr>
          <w:lang w:val="en-US"/>
        </w:rPr>
        <w:t>: Mean number of correctly reported letters for all displays</w:t>
      </w:r>
    </w:p>
    <w:p w14:paraId="67E3E264" w14:textId="63C939BE" w:rsidR="00CA5065" w:rsidRPr="002A5554" w:rsidRDefault="00790DF6" w:rsidP="00C80A74">
      <w:pPr>
        <w:jc w:val="both"/>
        <w:rPr>
          <w:rFonts w:eastAsiaTheme="minorEastAsia"/>
          <w:lang w:val="en-US"/>
        </w:rPr>
      </w:pPr>
      <w:r w:rsidRPr="00FE0FFE">
        <w:rPr>
          <w:lang w:val="en-US"/>
        </w:rPr>
        <w:t xml:space="preserve">Figure </w:t>
      </w:r>
      <w:r w:rsidR="00683345">
        <w:rPr>
          <w:lang w:val="en-US"/>
        </w:rPr>
        <w:t>2</w:t>
      </w:r>
      <w:r w:rsidRPr="00FE0FFE">
        <w:rPr>
          <w:lang w:val="en-US"/>
        </w:rPr>
        <w:t xml:space="preserve"> suggests that </w:t>
      </w:r>
      <w:r w:rsidR="00FE0FFE" w:rsidRPr="00FE0FFE">
        <w:rPr>
          <w:lang w:val="en-US"/>
        </w:rPr>
        <w:t>a lo</w:t>
      </w:r>
      <w:r w:rsidR="00FE0FFE">
        <w:rPr>
          <w:lang w:val="en-US"/>
        </w:rPr>
        <w:t xml:space="preserve">nger display time, leads to more correctly reported letters. </w:t>
      </w:r>
      <w:r w:rsidR="005E4378" w:rsidRPr="00EC68D1">
        <w:rPr>
          <w:lang w:val="en-US"/>
        </w:rPr>
        <w:t>To test this</w:t>
      </w:r>
      <w:r w:rsidR="00EC68D1" w:rsidRPr="00EC68D1">
        <w:rPr>
          <w:lang w:val="en-US"/>
        </w:rPr>
        <w:t xml:space="preserve"> a repeated measures ANOVA was conducted. </w:t>
      </w:r>
      <w:r w:rsidR="000F5CC3" w:rsidRPr="000F5CC3">
        <w:rPr>
          <w:lang w:val="en-US"/>
        </w:rPr>
        <w:t xml:space="preserve">It </w:t>
      </w:r>
      <w:r w:rsidR="00EC58A9" w:rsidRPr="000F5CC3">
        <w:rPr>
          <w:lang w:val="en-US"/>
        </w:rPr>
        <w:t xml:space="preserve">showed </w:t>
      </w:r>
      <w:r w:rsidR="00EC58A9">
        <w:rPr>
          <w:lang w:val="en-US"/>
        </w:rPr>
        <w:t>a</w:t>
      </w:r>
      <w:r w:rsidR="00CA5065">
        <w:rPr>
          <w:lang w:val="en-US"/>
        </w:rPr>
        <w:t xml:space="preserve"> significant main effect of display time on number of correctly identified letters, </w:t>
      </w:r>
      <w:proofErr w:type="gramStart"/>
      <w:r w:rsidR="00CA5065">
        <w:rPr>
          <w:i/>
          <w:iCs/>
          <w:lang w:val="en-US"/>
        </w:rPr>
        <w:t>F</w:t>
      </w:r>
      <w:r w:rsidR="00CA5065">
        <w:rPr>
          <w:lang w:val="en-US"/>
        </w:rPr>
        <w:t>(</w:t>
      </w:r>
      <w:proofErr w:type="gramEnd"/>
      <w:r w:rsidR="00CA5065">
        <w:rPr>
          <w:lang w:val="en-US"/>
        </w:rPr>
        <w:t xml:space="preserve">2.00, 411.36) = 3018.09, </w:t>
      </w:r>
      <w:r w:rsidR="00CA5065">
        <w:rPr>
          <w:i/>
          <w:iCs/>
          <w:lang w:val="en-US"/>
        </w:rPr>
        <w:t>p</w:t>
      </w:r>
      <w:r w:rsidR="00CA5065">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CA5065">
        <w:rPr>
          <w:rFonts w:eastAsiaTheme="minorEastAsia"/>
          <w:lang w:val="en-US"/>
        </w:rPr>
        <w:t xml:space="preserve"> = .94 (Huyhn-Feldt corrected). </w:t>
      </w:r>
      <w:r w:rsidR="0059073B">
        <w:rPr>
          <w:rFonts w:eastAsiaTheme="minorEastAsia"/>
          <w:lang w:val="en-US"/>
        </w:rPr>
        <w:t xml:space="preserve"> </w:t>
      </w:r>
      <w:r w:rsidR="0059073B" w:rsidRPr="00897D29">
        <w:rPr>
          <w:rFonts w:eastAsiaTheme="minorEastAsia"/>
          <w:lang w:val="en-US"/>
        </w:rPr>
        <w:t xml:space="preserve">The main effect </w:t>
      </w:r>
      <w:r w:rsidR="00F71098" w:rsidRPr="00897D29">
        <w:rPr>
          <w:rFonts w:eastAsiaTheme="minorEastAsia"/>
          <w:lang w:val="en-US"/>
        </w:rPr>
        <w:t xml:space="preserve">of display time on </w:t>
      </w:r>
      <w:r w:rsidR="00FC2FDD" w:rsidRPr="00897D29">
        <w:rPr>
          <w:rFonts w:eastAsiaTheme="minorEastAsia"/>
          <w:lang w:val="en-US"/>
        </w:rPr>
        <w:t>correct</w:t>
      </w:r>
      <w:r w:rsidR="00897D29" w:rsidRPr="00897D29">
        <w:rPr>
          <w:rFonts w:eastAsiaTheme="minorEastAsia"/>
          <w:lang w:val="en-US"/>
        </w:rPr>
        <w:t>ly reported l</w:t>
      </w:r>
      <w:r w:rsidR="00897D29">
        <w:rPr>
          <w:rFonts w:eastAsiaTheme="minorEastAsia"/>
          <w:lang w:val="en-US"/>
        </w:rPr>
        <w:t xml:space="preserve">etters </w:t>
      </w:r>
      <w:r w:rsidR="002A5554">
        <w:rPr>
          <w:rFonts w:eastAsiaTheme="minorEastAsia"/>
          <w:lang w:val="en-US"/>
        </w:rPr>
        <w:t>supports our hypothesis</w:t>
      </w:r>
      <w:r w:rsidR="00993848">
        <w:rPr>
          <w:rFonts w:eastAsiaTheme="minorEastAsia"/>
          <w:lang w:val="en-US"/>
        </w:rPr>
        <w:t xml:space="preserve"> and </w:t>
      </w:r>
      <w:r w:rsidR="00DC11BC">
        <w:rPr>
          <w:rFonts w:eastAsiaTheme="minorEastAsia"/>
          <w:lang w:val="en-US"/>
        </w:rPr>
        <w:t xml:space="preserve">confirms what figure </w:t>
      </w:r>
      <w:r w:rsidR="00683345">
        <w:rPr>
          <w:rFonts w:eastAsiaTheme="minorEastAsia"/>
          <w:lang w:val="en-US"/>
        </w:rPr>
        <w:t>2</w:t>
      </w:r>
      <w:r w:rsidR="00DC11BC">
        <w:rPr>
          <w:rFonts w:eastAsiaTheme="minorEastAsia"/>
          <w:lang w:val="en-US"/>
        </w:rPr>
        <w:t xml:space="preserve"> suggests</w:t>
      </w:r>
      <w:r w:rsidR="00EC58A9">
        <w:rPr>
          <w:rFonts w:eastAsiaTheme="minorEastAsia"/>
          <w:lang w:val="en-US"/>
        </w:rPr>
        <w:t>, that longer display times increases the number of correct responses.</w:t>
      </w:r>
    </w:p>
    <w:p w14:paraId="63EF8303" w14:textId="58B647B4" w:rsidR="00B42255" w:rsidRDefault="00725B10" w:rsidP="00B42255">
      <w:pPr>
        <w:pStyle w:val="Overskrift2"/>
        <w:rPr>
          <w:lang w:val="en-US"/>
        </w:rPr>
      </w:pPr>
      <w:bookmarkStart w:id="7" w:name="_Toc26292292"/>
      <w:r>
        <w:rPr>
          <w:lang w:val="en-US"/>
        </w:rPr>
        <w:t>C and K correlates</w:t>
      </w:r>
      <w:r w:rsidR="001361F0">
        <w:rPr>
          <w:lang w:val="en-US"/>
        </w:rPr>
        <w:t xml:space="preserve">, and age correlates with </w:t>
      </w:r>
      <w:r w:rsidR="00FC7EBF">
        <w:rPr>
          <w:lang w:val="en-US"/>
        </w:rPr>
        <w:t>alpha</w:t>
      </w:r>
      <w:bookmarkEnd w:id="7"/>
    </w:p>
    <w:p w14:paraId="3F659B17" w14:textId="337AD1F9" w:rsidR="00B42255" w:rsidRPr="005A5175" w:rsidRDefault="00D15F2E" w:rsidP="003E3F0C">
      <w:pPr>
        <w:jc w:val="both"/>
        <w:rPr>
          <w:lang w:val="en-US"/>
        </w:rPr>
      </w:pPr>
      <w:r>
        <w:rPr>
          <w:lang w:val="en-US"/>
        </w:rPr>
        <w:t xml:space="preserve">It could be assumed that </w:t>
      </w:r>
      <w:r w:rsidR="00024257">
        <w:rPr>
          <w:lang w:val="en-US"/>
        </w:rPr>
        <w:t xml:space="preserve">a higher </w:t>
      </w:r>
      <w:r w:rsidR="00724440">
        <w:rPr>
          <w:lang w:val="en-US"/>
        </w:rPr>
        <w:t xml:space="preserve">processing speed (C) would </w:t>
      </w:r>
      <w:r w:rsidR="00617C52">
        <w:rPr>
          <w:lang w:val="en-US"/>
        </w:rPr>
        <w:t xml:space="preserve">lead to more objects making it into the </w:t>
      </w:r>
      <w:r w:rsidR="006F646A">
        <w:rPr>
          <w:lang w:val="en-US"/>
        </w:rPr>
        <w:t>shot-term memory storage</w:t>
      </w:r>
      <w:r w:rsidR="00B31220">
        <w:rPr>
          <w:lang w:val="en-US"/>
        </w:rPr>
        <w:t xml:space="preserve"> </w:t>
      </w:r>
      <w:r w:rsidR="003F1798">
        <w:rPr>
          <w:lang w:val="en-US"/>
        </w:rPr>
        <w:t>and thereby increasing the capacity (K)</w:t>
      </w:r>
      <w:r w:rsidR="001067B3">
        <w:rPr>
          <w:lang w:val="en-US"/>
        </w:rPr>
        <w:t xml:space="preserve">. Furthermore, previous studies has shown </w:t>
      </w:r>
      <w:r w:rsidR="00B64610">
        <w:rPr>
          <w:lang w:val="en-US"/>
        </w:rPr>
        <w:t xml:space="preserve">age to </w:t>
      </w:r>
      <w:r w:rsidR="002B106D">
        <w:rPr>
          <w:lang w:val="en-US"/>
        </w:rPr>
        <w:t xml:space="preserve">correlate with most other </w:t>
      </w:r>
      <w:r w:rsidR="003572B2">
        <w:rPr>
          <w:lang w:val="en-US"/>
        </w:rPr>
        <w:t xml:space="preserve">TVA parameters </w:t>
      </w:r>
      <w:r w:rsidR="003572B2">
        <w:rPr>
          <w:lang w:val="en-US"/>
        </w:rPr>
        <w:fldChar w:fldCharType="begin" w:fldLock="1"/>
      </w:r>
      <w:r w:rsidR="00ED693E">
        <w:rPr>
          <w:lang w:val="en-US"/>
        </w:rPr>
        <w:instrText>ADDIN CSL_CITATION {"citationItems":[{"id":"ITEM-1","itemData":{"ISSN":"1664-1078","abstract":"In combination with whole report and partial report tasks, the Theory of Visual Attention (TVA) can be used to estimate individual differences in five basic attentional parameters: The visual processing speed, the storage capacity of visual short-term memory, the perceptual threshold, the efficiency of top-down selectivity, and the spatial bias of attentional weighting. TVA-based assessment has been used in about 30 studies to investigate attentional deficits in a range of neurological and psychiatric conditions: (a) neglect and simultanagnosia, (b) reading disturbances, (c) aging and neurodegenerative diseases, and most recently (d) neurodevelopmental disorders. The article introduces TVA based assessment, discusses its methodology and psychometric properties, and reviews the progress made in each of the four research fields. The empirical results demonstrate the general usefulness of TVA-based assessment for many types of clinical neuropsychological research. The method’s most important qualities are cognitive specificity and theoretical grounding, but it is also characterized by good reliability and sensitivity to minor deficits. The review concludes by pointing to promising new areas for clinical TVA-based research.","author":[{"dropping-particle":"","family":"Habekost","given":"Thomas","non-dropping-particle":"","parse-names":false,"suffix":""}],"container-title":"Frontiers in Psychology","id":"ITEM-1","issued":{"date-parts":[["2015"]]},"page":"1-18","title":"Clinical TVA-based studies: a general review","type":"article-journal","volume":"6:290"},"uris":["http://www.mendeley.com/documents/?uuid=6389b675-9dd2-48fb-90f4-d19368208796"]}],"mendeley":{"formattedCitation":"(Habekost, 2015)","plainTextFormattedCitation":"(Habekost, 2015)","previouslyFormattedCitation":"(Habekost, 2015)"},"properties":{"noteIndex":0},"schema":"https://github.com/citation-style-language/schema/raw/master/csl-citation.json"}</w:instrText>
      </w:r>
      <w:r w:rsidR="003572B2">
        <w:rPr>
          <w:lang w:val="en-US"/>
        </w:rPr>
        <w:fldChar w:fldCharType="separate"/>
      </w:r>
      <w:r w:rsidR="003572B2" w:rsidRPr="003572B2">
        <w:rPr>
          <w:noProof/>
          <w:lang w:val="en-US"/>
        </w:rPr>
        <w:t>(Habekost, 2015)</w:t>
      </w:r>
      <w:r w:rsidR="003572B2">
        <w:rPr>
          <w:lang w:val="en-US"/>
        </w:rPr>
        <w:fldChar w:fldCharType="end"/>
      </w:r>
      <w:r w:rsidR="006C3ADE">
        <w:rPr>
          <w:lang w:val="en-US"/>
        </w:rPr>
        <w:t xml:space="preserve">. To test </w:t>
      </w:r>
      <w:r w:rsidR="00C20A2D">
        <w:rPr>
          <w:lang w:val="en-US"/>
        </w:rPr>
        <w:t xml:space="preserve">both, a </w:t>
      </w:r>
      <w:r w:rsidR="00A67F36">
        <w:rPr>
          <w:lang w:val="en-US"/>
        </w:rPr>
        <w:t>t</w:t>
      </w:r>
      <w:r w:rsidR="00B42255">
        <w:rPr>
          <w:lang w:val="en-US"/>
        </w:rPr>
        <w:t xml:space="preserve">wo-tailed Pearson’s correlations </w:t>
      </w:r>
      <w:r w:rsidR="00A67F36">
        <w:rPr>
          <w:lang w:val="en-US"/>
        </w:rPr>
        <w:t xml:space="preserve">was conducted. This </w:t>
      </w:r>
      <w:r w:rsidR="00B42255">
        <w:rPr>
          <w:lang w:val="en-US"/>
        </w:rPr>
        <w:t xml:space="preserve">showed a significant positive correlation between </w:t>
      </w:r>
      <w:r w:rsidR="00E70233">
        <w:rPr>
          <w:lang w:val="en-US"/>
        </w:rPr>
        <w:t>parameters</w:t>
      </w:r>
      <w:r w:rsidR="00B42255">
        <w:rPr>
          <w:lang w:val="en-US"/>
        </w:rPr>
        <w:t xml:space="preserve"> </w:t>
      </w:r>
      <w:r w:rsidR="00B42255">
        <w:rPr>
          <w:i/>
          <w:iCs/>
          <w:lang w:val="en-US"/>
        </w:rPr>
        <w:t>K</w:t>
      </w:r>
      <w:r w:rsidR="00B42255">
        <w:rPr>
          <w:lang w:val="en-US"/>
        </w:rPr>
        <w:t xml:space="preserve"> and </w:t>
      </w:r>
      <w:r w:rsidR="00B42255">
        <w:rPr>
          <w:i/>
          <w:iCs/>
          <w:lang w:val="en-US"/>
        </w:rPr>
        <w:t>C</w:t>
      </w:r>
      <w:r w:rsidR="00B42255">
        <w:rPr>
          <w:lang w:val="en-US"/>
        </w:rPr>
        <w:t xml:space="preserve">, </w:t>
      </w:r>
      <w:proofErr w:type="gramStart"/>
      <w:r w:rsidR="00B42255">
        <w:rPr>
          <w:i/>
          <w:iCs/>
          <w:lang w:val="en-US"/>
        </w:rPr>
        <w:t>r</w:t>
      </w:r>
      <w:r w:rsidR="00B42255">
        <w:rPr>
          <w:lang w:val="en-US"/>
        </w:rPr>
        <w:t>(</w:t>
      </w:r>
      <w:proofErr w:type="gramEnd"/>
      <w:r w:rsidR="00B42255">
        <w:rPr>
          <w:lang w:val="en-US"/>
        </w:rPr>
        <w:t xml:space="preserve">205) = .47, </w:t>
      </w:r>
      <w:r w:rsidR="00B42255">
        <w:rPr>
          <w:i/>
          <w:iCs/>
          <w:lang w:val="en-US"/>
        </w:rPr>
        <w:t>p</w:t>
      </w:r>
      <w:r w:rsidR="00B42255">
        <w:rPr>
          <w:lang w:val="en-US"/>
        </w:rPr>
        <w:t xml:space="preserve"> &lt; .001. Age was positively correlated with </w:t>
      </w:r>
      <w:r w:rsidR="00B42255" w:rsidRPr="00715E37">
        <w:rPr>
          <w:lang w:val="en-US"/>
        </w:rPr>
        <w:t xml:space="preserve">parameter alpha, </w:t>
      </w:r>
      <w:proofErr w:type="gramStart"/>
      <w:r w:rsidR="00B42255" w:rsidRPr="00715E37">
        <w:rPr>
          <w:i/>
          <w:iCs/>
          <w:lang w:val="en-US"/>
        </w:rPr>
        <w:t>r</w:t>
      </w:r>
      <w:r w:rsidR="00B42255" w:rsidRPr="00715E37">
        <w:rPr>
          <w:lang w:val="en-US"/>
        </w:rPr>
        <w:t>(</w:t>
      </w:r>
      <w:proofErr w:type="gramEnd"/>
      <w:r w:rsidR="00B42255">
        <w:rPr>
          <w:lang w:val="en-US"/>
        </w:rPr>
        <w:t xml:space="preserve">205) = .18, </w:t>
      </w:r>
      <w:r w:rsidR="00B42255">
        <w:rPr>
          <w:i/>
          <w:iCs/>
          <w:lang w:val="en-US"/>
        </w:rPr>
        <w:t>p</w:t>
      </w:r>
      <w:r w:rsidR="00B42255">
        <w:rPr>
          <w:lang w:val="en-US"/>
        </w:rPr>
        <w:t xml:space="preserve"> = .01. However, age did not correlate with any of the other TVA </w:t>
      </w:r>
      <w:r w:rsidR="00B42255" w:rsidRPr="00B52D46">
        <w:rPr>
          <w:lang w:val="en-GB"/>
        </w:rPr>
        <w:t>parameters</w:t>
      </w:r>
      <w:r w:rsidR="00B42255">
        <w:rPr>
          <w:lang w:val="en-US"/>
        </w:rPr>
        <w:t xml:space="preserve">, </w:t>
      </w:r>
      <w:proofErr w:type="spellStart"/>
      <w:r w:rsidR="00B42255">
        <w:rPr>
          <w:i/>
          <w:iCs/>
          <w:lang w:val="en-US"/>
        </w:rPr>
        <w:t>r</w:t>
      </w:r>
      <w:r w:rsidR="00B42255">
        <w:rPr>
          <w:lang w:val="en-US"/>
        </w:rPr>
        <w:t>s</w:t>
      </w:r>
      <w:proofErr w:type="spellEnd"/>
      <w:r w:rsidR="00B42255">
        <w:rPr>
          <w:lang w:val="en-US"/>
        </w:rPr>
        <w:t xml:space="preserve"> ≤ .13, </w:t>
      </w:r>
      <w:proofErr w:type="spellStart"/>
      <w:r w:rsidR="00B42255">
        <w:rPr>
          <w:lang w:val="en-US"/>
        </w:rPr>
        <w:t>dfs</w:t>
      </w:r>
      <w:proofErr w:type="spellEnd"/>
      <w:r w:rsidR="00B42255">
        <w:rPr>
          <w:lang w:val="en-US"/>
        </w:rPr>
        <w:t xml:space="preserve"> = 205, </w:t>
      </w:r>
      <w:proofErr w:type="spellStart"/>
      <w:r w:rsidR="00B42255">
        <w:rPr>
          <w:i/>
          <w:iCs/>
          <w:lang w:val="en-US"/>
        </w:rPr>
        <w:t>p</w:t>
      </w:r>
      <w:r w:rsidR="00B42255">
        <w:rPr>
          <w:lang w:val="en-US"/>
        </w:rPr>
        <w:t>s</w:t>
      </w:r>
      <w:proofErr w:type="spellEnd"/>
      <w:r w:rsidR="00B42255">
        <w:rPr>
          <w:lang w:val="en-US"/>
        </w:rPr>
        <w:t xml:space="preserve"> ≥ .07. </w:t>
      </w:r>
      <w:r w:rsidR="006A5912">
        <w:rPr>
          <w:lang w:val="en-US"/>
        </w:rPr>
        <w:t xml:space="preserve">This </w:t>
      </w:r>
      <w:r w:rsidR="004051C1">
        <w:rPr>
          <w:lang w:val="en-US"/>
        </w:rPr>
        <w:t xml:space="preserve">shows some overlap between high processing speed and </w:t>
      </w:r>
      <w:r w:rsidR="00700FCD">
        <w:rPr>
          <w:lang w:val="en-US"/>
        </w:rPr>
        <w:t>capacity</w:t>
      </w:r>
      <w:r w:rsidR="00653110">
        <w:rPr>
          <w:lang w:val="en-US"/>
        </w:rPr>
        <w:t xml:space="preserve">, </w:t>
      </w:r>
      <w:r w:rsidR="008E7C7E">
        <w:rPr>
          <w:lang w:val="en-US"/>
        </w:rPr>
        <w:t xml:space="preserve">as </w:t>
      </w:r>
      <w:r w:rsidR="008E7C7E">
        <w:rPr>
          <w:lang w:val="en-US"/>
        </w:rPr>
        <w:lastRenderedPageBreak/>
        <w:t xml:space="preserve">illustrated in figure </w:t>
      </w:r>
      <w:r w:rsidR="00683345">
        <w:rPr>
          <w:lang w:val="en-US"/>
        </w:rPr>
        <w:t>3</w:t>
      </w:r>
      <w:r w:rsidR="004C68A6">
        <w:rPr>
          <w:lang w:val="en-US"/>
        </w:rPr>
        <w:t>.</w:t>
      </w:r>
      <w:r w:rsidR="008758A8">
        <w:rPr>
          <w:lang w:val="en-US"/>
        </w:rPr>
        <w:t xml:space="preserve"> The correlation between age and </w:t>
      </w:r>
      <w:r w:rsidR="002C60A0">
        <w:rPr>
          <w:lang w:val="en-US"/>
        </w:rPr>
        <w:t>alpha</w:t>
      </w:r>
      <w:r w:rsidR="00D916CA">
        <w:rPr>
          <w:lang w:val="en-US"/>
        </w:rPr>
        <w:t xml:space="preserve">, means that </w:t>
      </w:r>
      <w:r w:rsidR="00121F7F">
        <w:rPr>
          <w:lang w:val="en-US"/>
        </w:rPr>
        <w:t xml:space="preserve">the </w:t>
      </w:r>
      <w:r w:rsidR="00BF3DE9">
        <w:rPr>
          <w:lang w:val="en-US"/>
        </w:rPr>
        <w:t>selectivity decreases with age</w:t>
      </w:r>
      <w:r w:rsidR="00DA23CA">
        <w:rPr>
          <w:lang w:val="en-US"/>
        </w:rPr>
        <w:t xml:space="preserve">. </w:t>
      </w:r>
    </w:p>
    <w:p w14:paraId="4572F99D" w14:textId="77777777" w:rsidR="004C68A6" w:rsidRDefault="003B5202" w:rsidP="004C68A6">
      <w:pPr>
        <w:keepNext/>
      </w:pPr>
      <w:r w:rsidRPr="003A6AB7">
        <w:rPr>
          <w:noProof/>
        </w:rPr>
        <w:drawing>
          <wp:inline distT="0" distB="0" distL="0" distR="0" wp14:anchorId="7AC103B7" wp14:editId="5B2C99FF">
            <wp:extent cx="6120130" cy="375475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54755"/>
                    </a:xfrm>
                    <a:prstGeom prst="rect">
                      <a:avLst/>
                    </a:prstGeom>
                  </pic:spPr>
                </pic:pic>
              </a:graphicData>
            </a:graphic>
          </wp:inline>
        </w:drawing>
      </w:r>
    </w:p>
    <w:p w14:paraId="3FB5685D" w14:textId="24934BB8" w:rsidR="003B5202" w:rsidRPr="008758A8" w:rsidRDefault="004C68A6" w:rsidP="004C68A6">
      <w:pPr>
        <w:pStyle w:val="Billedtekst"/>
        <w:jc w:val="center"/>
        <w:rPr>
          <w:lang w:val="en-US"/>
        </w:rPr>
      </w:pPr>
      <w:r w:rsidRPr="008758A8">
        <w:rPr>
          <w:lang w:val="en-US"/>
        </w:rPr>
        <w:t xml:space="preserve">Figure </w:t>
      </w:r>
      <w:r>
        <w:fldChar w:fldCharType="begin"/>
      </w:r>
      <w:r w:rsidRPr="008758A8">
        <w:rPr>
          <w:lang w:val="en-US"/>
        </w:rPr>
        <w:instrText xml:space="preserve"> SEQ Figure \* ARABIC </w:instrText>
      </w:r>
      <w:r>
        <w:fldChar w:fldCharType="separate"/>
      </w:r>
      <w:r w:rsidR="000B0538">
        <w:rPr>
          <w:noProof/>
          <w:lang w:val="en-US"/>
        </w:rPr>
        <w:t>3</w:t>
      </w:r>
      <w:r>
        <w:fldChar w:fldCharType="end"/>
      </w:r>
      <w:r w:rsidRPr="008758A8">
        <w:rPr>
          <w:lang w:val="en-US"/>
        </w:rPr>
        <w:t>: Scatterplot showing correlation between C and K.</w:t>
      </w:r>
    </w:p>
    <w:p w14:paraId="60F6A41E" w14:textId="1336AE02" w:rsidR="00D10B54" w:rsidRPr="00481C3A" w:rsidRDefault="00AD3D61" w:rsidP="00F80A64">
      <w:pPr>
        <w:pStyle w:val="Overskrift2"/>
        <w:rPr>
          <w:lang w:val="en-US"/>
        </w:rPr>
      </w:pPr>
      <w:bookmarkStart w:id="8" w:name="_Toc26292293"/>
      <w:r w:rsidRPr="00481C3A">
        <w:rPr>
          <w:lang w:val="en-US"/>
        </w:rPr>
        <w:t>Sex is not important</w:t>
      </w:r>
      <w:bookmarkEnd w:id="8"/>
    </w:p>
    <w:p w14:paraId="2085D9A0" w14:textId="2CCFA14B" w:rsidR="00B13100" w:rsidRPr="00871362" w:rsidRDefault="00871362" w:rsidP="000C7844">
      <w:pPr>
        <w:jc w:val="both"/>
        <w:rPr>
          <w:lang w:val="en-US"/>
        </w:rPr>
      </w:pPr>
      <w:r>
        <w:rPr>
          <w:lang w:val="en-US"/>
        </w:rPr>
        <w:t xml:space="preserve">We used independent samples </w:t>
      </w:r>
      <w:r>
        <w:rPr>
          <w:i/>
          <w:iCs/>
          <w:lang w:val="en-US"/>
        </w:rPr>
        <w:t>t-</w:t>
      </w:r>
      <w:r>
        <w:rPr>
          <w:lang w:val="en-US"/>
        </w:rPr>
        <w:t xml:space="preserve">tests to </w:t>
      </w:r>
      <w:r w:rsidR="00996678">
        <w:rPr>
          <w:lang w:val="en-US"/>
        </w:rPr>
        <w:t>test for sex differences</w:t>
      </w:r>
      <w:r w:rsidR="00DB52A6">
        <w:rPr>
          <w:lang w:val="en-US"/>
        </w:rPr>
        <w:t>, the results are summarized in table 1.</w:t>
      </w:r>
    </w:p>
    <w:tbl>
      <w:tblPr>
        <w:tblW w:w="9140" w:type="dxa"/>
        <w:tblCellMar>
          <w:left w:w="70" w:type="dxa"/>
          <w:right w:w="70" w:type="dxa"/>
        </w:tblCellMar>
        <w:tblLook w:val="04A0" w:firstRow="1" w:lastRow="0" w:firstColumn="1" w:lastColumn="0" w:noHBand="0" w:noVBand="1"/>
      </w:tblPr>
      <w:tblGrid>
        <w:gridCol w:w="1410"/>
        <w:gridCol w:w="1058"/>
        <w:gridCol w:w="1327"/>
        <w:gridCol w:w="200"/>
        <w:gridCol w:w="1059"/>
        <w:gridCol w:w="1327"/>
        <w:gridCol w:w="200"/>
        <w:gridCol w:w="972"/>
        <w:gridCol w:w="615"/>
        <w:gridCol w:w="972"/>
      </w:tblGrid>
      <w:tr w:rsidR="00F80A64" w:rsidRPr="00B17280" w14:paraId="027FD82D" w14:textId="77777777" w:rsidTr="00354045">
        <w:trPr>
          <w:trHeight w:val="645"/>
        </w:trPr>
        <w:tc>
          <w:tcPr>
            <w:tcW w:w="9140" w:type="dxa"/>
            <w:gridSpan w:val="10"/>
            <w:tcBorders>
              <w:top w:val="nil"/>
              <w:left w:val="nil"/>
              <w:bottom w:val="single" w:sz="4" w:space="0" w:color="auto"/>
              <w:right w:val="nil"/>
            </w:tcBorders>
            <w:shd w:val="clear" w:color="auto" w:fill="auto"/>
            <w:vAlign w:val="bottom"/>
            <w:hideMark/>
          </w:tcPr>
          <w:p w14:paraId="7DE98427" w14:textId="3132C305" w:rsidR="00F80A64" w:rsidRPr="000457E4" w:rsidRDefault="00F80A64" w:rsidP="00371FE9">
            <w:pPr>
              <w:spacing w:line="240" w:lineRule="auto"/>
              <w:rPr>
                <w:color w:val="000000"/>
                <w:lang w:val="en-GB"/>
              </w:rPr>
            </w:pPr>
            <w:r w:rsidRPr="000457E4">
              <w:rPr>
                <w:color w:val="000000"/>
                <w:lang w:val="en-GB"/>
              </w:rPr>
              <w:t>Tabl</w:t>
            </w:r>
            <w:r w:rsidR="00F764EB">
              <w:rPr>
                <w:color w:val="000000"/>
                <w:lang w:val="en-GB"/>
              </w:rPr>
              <w:t>e</w:t>
            </w:r>
            <w:r w:rsidRPr="000457E4">
              <w:rPr>
                <w:color w:val="000000"/>
                <w:lang w:val="en-GB"/>
              </w:rPr>
              <w:t xml:space="preserve"> 1</w:t>
            </w:r>
            <w:r w:rsidRPr="000457E4">
              <w:rPr>
                <w:color w:val="000000"/>
                <w:lang w:val="en-GB"/>
              </w:rPr>
              <w:br/>
            </w:r>
            <w:r w:rsidRPr="000457E4">
              <w:rPr>
                <w:i/>
                <w:color w:val="000000"/>
                <w:lang w:val="en-GB"/>
              </w:rPr>
              <w:t>Mean</w:t>
            </w:r>
            <w:r w:rsidRPr="000457E4">
              <w:rPr>
                <w:color w:val="000000"/>
                <w:lang w:val="en-GB"/>
              </w:rPr>
              <w:t xml:space="preserve"> </w:t>
            </w:r>
            <w:r w:rsidRPr="000457E4">
              <w:rPr>
                <w:i/>
                <w:color w:val="000000"/>
                <w:lang w:val="en-GB"/>
              </w:rPr>
              <w:t>TVA estimates and error rates distributed across sex with relevant t-tests</w:t>
            </w:r>
          </w:p>
        </w:tc>
      </w:tr>
      <w:tr w:rsidR="00F80A64" w:rsidRPr="00773C98" w14:paraId="05446379" w14:textId="77777777" w:rsidTr="00354045">
        <w:trPr>
          <w:trHeight w:val="288"/>
        </w:trPr>
        <w:tc>
          <w:tcPr>
            <w:tcW w:w="1410" w:type="dxa"/>
            <w:tcBorders>
              <w:top w:val="nil"/>
              <w:left w:val="nil"/>
              <w:bottom w:val="nil"/>
              <w:right w:val="nil"/>
            </w:tcBorders>
            <w:shd w:val="clear" w:color="auto" w:fill="auto"/>
            <w:noWrap/>
            <w:vAlign w:val="bottom"/>
            <w:hideMark/>
          </w:tcPr>
          <w:p w14:paraId="7D94E5EC" w14:textId="77777777" w:rsidR="00F80A64" w:rsidRPr="000457E4" w:rsidRDefault="00F80A64" w:rsidP="00371FE9">
            <w:pPr>
              <w:spacing w:line="240" w:lineRule="auto"/>
              <w:jc w:val="both"/>
              <w:rPr>
                <w:color w:val="000000"/>
                <w:lang w:val="en-GB"/>
              </w:rPr>
            </w:pPr>
          </w:p>
        </w:tc>
        <w:tc>
          <w:tcPr>
            <w:tcW w:w="2385" w:type="dxa"/>
            <w:gridSpan w:val="2"/>
            <w:tcBorders>
              <w:top w:val="nil"/>
              <w:left w:val="nil"/>
              <w:bottom w:val="single" w:sz="4" w:space="0" w:color="auto"/>
              <w:right w:val="nil"/>
            </w:tcBorders>
            <w:shd w:val="clear" w:color="auto" w:fill="auto"/>
            <w:noWrap/>
            <w:vAlign w:val="bottom"/>
            <w:hideMark/>
          </w:tcPr>
          <w:p w14:paraId="54459C0D" w14:textId="77777777" w:rsidR="00F80A64" w:rsidRPr="000457E4" w:rsidRDefault="00F80A64" w:rsidP="00C623E5">
            <w:pPr>
              <w:spacing w:line="240" w:lineRule="auto"/>
              <w:jc w:val="center"/>
              <w:rPr>
                <w:color w:val="000000"/>
                <w:lang w:val="en-GB"/>
              </w:rPr>
            </w:pPr>
            <w:r w:rsidRPr="000457E4">
              <w:rPr>
                <w:color w:val="000000"/>
                <w:lang w:val="en-GB"/>
              </w:rPr>
              <w:t>Female (</w:t>
            </w:r>
            <w:r w:rsidRPr="000457E4">
              <w:rPr>
                <w:i/>
                <w:iCs/>
                <w:color w:val="000000"/>
                <w:lang w:val="en-GB"/>
              </w:rPr>
              <w:t>N</w:t>
            </w:r>
            <w:r w:rsidRPr="000457E4">
              <w:rPr>
                <w:color w:val="000000"/>
                <w:lang w:val="en-GB"/>
              </w:rPr>
              <w:t xml:space="preserve"> = </w:t>
            </w:r>
            <w:r>
              <w:rPr>
                <w:color w:val="000000"/>
                <w:lang w:val="en-GB"/>
              </w:rPr>
              <w:t>169</w:t>
            </w:r>
            <w:r w:rsidRPr="000457E4">
              <w:rPr>
                <w:color w:val="000000"/>
                <w:lang w:val="en-GB"/>
              </w:rPr>
              <w:t>)</w:t>
            </w:r>
          </w:p>
        </w:tc>
        <w:tc>
          <w:tcPr>
            <w:tcW w:w="200" w:type="dxa"/>
            <w:tcBorders>
              <w:top w:val="nil"/>
              <w:left w:val="nil"/>
              <w:bottom w:val="nil"/>
              <w:right w:val="nil"/>
            </w:tcBorders>
            <w:shd w:val="clear" w:color="auto" w:fill="auto"/>
            <w:noWrap/>
            <w:vAlign w:val="bottom"/>
            <w:hideMark/>
          </w:tcPr>
          <w:p w14:paraId="0D807F4F" w14:textId="77777777" w:rsidR="00F80A64" w:rsidRPr="00773C98" w:rsidRDefault="00F80A64" w:rsidP="00371FE9">
            <w:pPr>
              <w:spacing w:line="240" w:lineRule="auto"/>
              <w:jc w:val="both"/>
              <w:rPr>
                <w:color w:val="000000"/>
              </w:rPr>
            </w:pPr>
          </w:p>
        </w:tc>
        <w:tc>
          <w:tcPr>
            <w:tcW w:w="2386" w:type="dxa"/>
            <w:gridSpan w:val="2"/>
            <w:tcBorders>
              <w:top w:val="nil"/>
              <w:left w:val="nil"/>
              <w:bottom w:val="single" w:sz="4" w:space="0" w:color="auto"/>
              <w:right w:val="nil"/>
            </w:tcBorders>
            <w:shd w:val="clear" w:color="auto" w:fill="auto"/>
            <w:noWrap/>
            <w:vAlign w:val="bottom"/>
            <w:hideMark/>
          </w:tcPr>
          <w:p w14:paraId="15A0B259" w14:textId="77777777" w:rsidR="00F80A64" w:rsidRPr="00773C98" w:rsidRDefault="00F80A64" w:rsidP="00C623E5">
            <w:pPr>
              <w:spacing w:line="240" w:lineRule="auto"/>
              <w:jc w:val="center"/>
              <w:rPr>
                <w:color w:val="000000"/>
              </w:rPr>
            </w:pPr>
            <w:r w:rsidRPr="00773C98">
              <w:rPr>
                <w:color w:val="000000"/>
              </w:rPr>
              <w:t>Male (</w:t>
            </w:r>
            <w:r w:rsidRPr="0036134A">
              <w:rPr>
                <w:i/>
                <w:iCs/>
                <w:color w:val="000000"/>
              </w:rPr>
              <w:t>N</w:t>
            </w:r>
            <w:r w:rsidRPr="00773C98">
              <w:rPr>
                <w:color w:val="000000"/>
              </w:rPr>
              <w:t xml:space="preserve"> = </w:t>
            </w:r>
            <w:r>
              <w:rPr>
                <w:color w:val="000000"/>
              </w:rPr>
              <w:t>37</w:t>
            </w:r>
            <w:r w:rsidRPr="00773C98">
              <w:rPr>
                <w:color w:val="000000"/>
              </w:rPr>
              <w:t>)</w:t>
            </w:r>
          </w:p>
        </w:tc>
        <w:tc>
          <w:tcPr>
            <w:tcW w:w="200" w:type="dxa"/>
            <w:tcBorders>
              <w:top w:val="nil"/>
              <w:left w:val="nil"/>
              <w:bottom w:val="nil"/>
              <w:right w:val="nil"/>
            </w:tcBorders>
            <w:shd w:val="clear" w:color="auto" w:fill="auto"/>
            <w:noWrap/>
            <w:vAlign w:val="bottom"/>
            <w:hideMark/>
          </w:tcPr>
          <w:p w14:paraId="50E6C018" w14:textId="77777777" w:rsidR="00F80A64" w:rsidRPr="00773C98" w:rsidRDefault="00F80A64" w:rsidP="00371FE9">
            <w:pPr>
              <w:spacing w:line="240" w:lineRule="auto"/>
              <w:jc w:val="both"/>
              <w:rPr>
                <w:color w:val="000000"/>
              </w:rPr>
            </w:pPr>
          </w:p>
        </w:tc>
        <w:tc>
          <w:tcPr>
            <w:tcW w:w="2559" w:type="dxa"/>
            <w:gridSpan w:val="3"/>
            <w:tcBorders>
              <w:top w:val="single" w:sz="4" w:space="0" w:color="auto"/>
              <w:left w:val="nil"/>
              <w:bottom w:val="single" w:sz="4" w:space="0" w:color="auto"/>
              <w:right w:val="nil"/>
            </w:tcBorders>
            <w:shd w:val="clear" w:color="auto" w:fill="auto"/>
            <w:noWrap/>
            <w:vAlign w:val="bottom"/>
            <w:hideMark/>
          </w:tcPr>
          <w:p w14:paraId="3F6448A9" w14:textId="77777777" w:rsidR="00F80A64" w:rsidRPr="00773C98" w:rsidRDefault="00F80A64" w:rsidP="00C623E5">
            <w:pPr>
              <w:spacing w:line="240" w:lineRule="auto"/>
              <w:jc w:val="center"/>
              <w:rPr>
                <w:color w:val="000000"/>
              </w:rPr>
            </w:pPr>
            <w:r w:rsidRPr="00773C98">
              <w:rPr>
                <w:i/>
                <w:color w:val="000000"/>
              </w:rPr>
              <w:t>t</w:t>
            </w:r>
            <w:r w:rsidRPr="00773C98">
              <w:rPr>
                <w:color w:val="000000"/>
              </w:rPr>
              <w:t>-tests</w:t>
            </w:r>
          </w:p>
        </w:tc>
      </w:tr>
      <w:tr w:rsidR="00F80A64" w:rsidRPr="00773C98" w14:paraId="2784B34E" w14:textId="77777777" w:rsidTr="00354045">
        <w:trPr>
          <w:trHeight w:val="288"/>
        </w:trPr>
        <w:tc>
          <w:tcPr>
            <w:tcW w:w="1410" w:type="dxa"/>
            <w:tcBorders>
              <w:top w:val="nil"/>
              <w:left w:val="nil"/>
              <w:bottom w:val="single" w:sz="4" w:space="0" w:color="auto"/>
              <w:right w:val="nil"/>
            </w:tcBorders>
            <w:shd w:val="clear" w:color="auto" w:fill="auto"/>
            <w:noWrap/>
            <w:vAlign w:val="bottom"/>
            <w:hideMark/>
          </w:tcPr>
          <w:p w14:paraId="2BA8D7E6" w14:textId="77777777" w:rsidR="00F80A64" w:rsidRPr="000457E4" w:rsidRDefault="00F80A64" w:rsidP="00371FE9">
            <w:pPr>
              <w:spacing w:line="240" w:lineRule="auto"/>
              <w:jc w:val="both"/>
              <w:rPr>
                <w:color w:val="000000"/>
                <w:lang w:val="en-GB"/>
              </w:rPr>
            </w:pPr>
            <w:r w:rsidRPr="000457E4">
              <w:rPr>
                <w:color w:val="000000"/>
                <w:lang w:val="en-GB"/>
              </w:rPr>
              <w:t> </w:t>
            </w:r>
          </w:p>
        </w:tc>
        <w:tc>
          <w:tcPr>
            <w:tcW w:w="1058" w:type="dxa"/>
            <w:tcBorders>
              <w:top w:val="nil"/>
              <w:left w:val="nil"/>
              <w:bottom w:val="single" w:sz="4" w:space="0" w:color="auto"/>
              <w:right w:val="nil"/>
            </w:tcBorders>
            <w:shd w:val="clear" w:color="auto" w:fill="auto"/>
            <w:noWrap/>
            <w:vAlign w:val="bottom"/>
            <w:hideMark/>
          </w:tcPr>
          <w:p w14:paraId="076F5C37" w14:textId="77777777" w:rsidR="00F80A64" w:rsidRPr="000457E4" w:rsidRDefault="00F80A64" w:rsidP="00C623E5">
            <w:pPr>
              <w:spacing w:line="240" w:lineRule="auto"/>
              <w:jc w:val="center"/>
              <w:rPr>
                <w:i/>
                <w:color w:val="000000"/>
                <w:lang w:val="en-GB"/>
              </w:rPr>
            </w:pPr>
            <w:r w:rsidRPr="000457E4">
              <w:rPr>
                <w:i/>
                <w:color w:val="000000"/>
                <w:lang w:val="en-GB"/>
              </w:rPr>
              <w:t>M</w:t>
            </w:r>
          </w:p>
        </w:tc>
        <w:tc>
          <w:tcPr>
            <w:tcW w:w="1327" w:type="dxa"/>
            <w:tcBorders>
              <w:top w:val="nil"/>
              <w:left w:val="nil"/>
              <w:bottom w:val="single" w:sz="4" w:space="0" w:color="auto"/>
              <w:right w:val="nil"/>
            </w:tcBorders>
            <w:shd w:val="clear" w:color="auto" w:fill="auto"/>
            <w:noWrap/>
            <w:vAlign w:val="bottom"/>
            <w:hideMark/>
          </w:tcPr>
          <w:p w14:paraId="56314C4C" w14:textId="77777777" w:rsidR="00F80A64" w:rsidRPr="000457E4" w:rsidRDefault="00F80A64" w:rsidP="00C623E5">
            <w:pPr>
              <w:spacing w:line="240" w:lineRule="auto"/>
              <w:jc w:val="center"/>
              <w:rPr>
                <w:i/>
                <w:color w:val="000000"/>
                <w:lang w:val="en-GB"/>
              </w:rPr>
            </w:pPr>
            <w:r w:rsidRPr="000457E4">
              <w:rPr>
                <w:i/>
                <w:color w:val="000000"/>
                <w:lang w:val="en-GB"/>
              </w:rPr>
              <w:t>SD</w:t>
            </w:r>
          </w:p>
        </w:tc>
        <w:tc>
          <w:tcPr>
            <w:tcW w:w="200" w:type="dxa"/>
            <w:tcBorders>
              <w:top w:val="nil"/>
              <w:left w:val="nil"/>
              <w:bottom w:val="single" w:sz="4" w:space="0" w:color="auto"/>
              <w:right w:val="nil"/>
            </w:tcBorders>
            <w:shd w:val="clear" w:color="auto" w:fill="auto"/>
            <w:noWrap/>
            <w:vAlign w:val="bottom"/>
            <w:hideMark/>
          </w:tcPr>
          <w:p w14:paraId="3C48E0CB" w14:textId="3A839A76" w:rsidR="00F80A64" w:rsidRPr="00773C98" w:rsidRDefault="00F80A64" w:rsidP="00C623E5">
            <w:pPr>
              <w:spacing w:line="240" w:lineRule="auto"/>
              <w:jc w:val="center"/>
              <w:rPr>
                <w:i/>
                <w:color w:val="000000"/>
              </w:rPr>
            </w:pPr>
          </w:p>
        </w:tc>
        <w:tc>
          <w:tcPr>
            <w:tcW w:w="1059" w:type="dxa"/>
            <w:tcBorders>
              <w:top w:val="nil"/>
              <w:left w:val="nil"/>
              <w:bottom w:val="single" w:sz="4" w:space="0" w:color="auto"/>
              <w:right w:val="nil"/>
            </w:tcBorders>
            <w:shd w:val="clear" w:color="auto" w:fill="auto"/>
            <w:noWrap/>
            <w:vAlign w:val="bottom"/>
            <w:hideMark/>
          </w:tcPr>
          <w:p w14:paraId="52E495C6" w14:textId="77777777" w:rsidR="00F80A64" w:rsidRPr="00773C98" w:rsidRDefault="00F80A64" w:rsidP="00C623E5">
            <w:pPr>
              <w:spacing w:line="240" w:lineRule="auto"/>
              <w:jc w:val="center"/>
              <w:rPr>
                <w:i/>
                <w:color w:val="000000"/>
              </w:rPr>
            </w:pPr>
            <w:r w:rsidRPr="00773C98">
              <w:rPr>
                <w:i/>
                <w:color w:val="000000"/>
              </w:rPr>
              <w:t>M</w:t>
            </w:r>
          </w:p>
        </w:tc>
        <w:tc>
          <w:tcPr>
            <w:tcW w:w="1327" w:type="dxa"/>
            <w:tcBorders>
              <w:top w:val="nil"/>
              <w:left w:val="nil"/>
              <w:bottom w:val="single" w:sz="4" w:space="0" w:color="auto"/>
              <w:right w:val="nil"/>
            </w:tcBorders>
            <w:shd w:val="clear" w:color="auto" w:fill="auto"/>
            <w:noWrap/>
            <w:vAlign w:val="bottom"/>
            <w:hideMark/>
          </w:tcPr>
          <w:p w14:paraId="2652B874" w14:textId="77777777" w:rsidR="00F80A64" w:rsidRPr="00773C98" w:rsidRDefault="00F80A64" w:rsidP="00C623E5">
            <w:pPr>
              <w:spacing w:line="240" w:lineRule="auto"/>
              <w:jc w:val="center"/>
              <w:rPr>
                <w:i/>
                <w:color w:val="000000"/>
              </w:rPr>
            </w:pPr>
            <w:r w:rsidRPr="00773C98">
              <w:rPr>
                <w:i/>
                <w:color w:val="000000"/>
              </w:rPr>
              <w:t>SD</w:t>
            </w:r>
          </w:p>
        </w:tc>
        <w:tc>
          <w:tcPr>
            <w:tcW w:w="200" w:type="dxa"/>
            <w:tcBorders>
              <w:top w:val="nil"/>
              <w:left w:val="nil"/>
              <w:bottom w:val="single" w:sz="4" w:space="0" w:color="auto"/>
              <w:right w:val="nil"/>
            </w:tcBorders>
            <w:shd w:val="clear" w:color="auto" w:fill="auto"/>
            <w:noWrap/>
            <w:vAlign w:val="bottom"/>
            <w:hideMark/>
          </w:tcPr>
          <w:p w14:paraId="4E7B06B7" w14:textId="65C97143" w:rsidR="00F80A64" w:rsidRPr="00773C98" w:rsidRDefault="00F80A64" w:rsidP="00C623E5">
            <w:pPr>
              <w:spacing w:line="240" w:lineRule="auto"/>
              <w:jc w:val="center"/>
              <w:rPr>
                <w:i/>
                <w:color w:val="000000"/>
              </w:rPr>
            </w:pPr>
          </w:p>
        </w:tc>
        <w:tc>
          <w:tcPr>
            <w:tcW w:w="972" w:type="dxa"/>
            <w:tcBorders>
              <w:top w:val="nil"/>
              <w:left w:val="nil"/>
              <w:bottom w:val="single" w:sz="4" w:space="0" w:color="auto"/>
              <w:right w:val="nil"/>
            </w:tcBorders>
            <w:shd w:val="clear" w:color="auto" w:fill="auto"/>
            <w:noWrap/>
            <w:vAlign w:val="bottom"/>
            <w:hideMark/>
          </w:tcPr>
          <w:p w14:paraId="60BD8CBF" w14:textId="77777777" w:rsidR="00F80A64" w:rsidRPr="00773C98" w:rsidRDefault="00F80A64" w:rsidP="00C623E5">
            <w:pPr>
              <w:spacing w:line="240" w:lineRule="auto"/>
              <w:jc w:val="center"/>
              <w:rPr>
                <w:i/>
                <w:color w:val="000000"/>
              </w:rPr>
            </w:pPr>
            <w:proofErr w:type="gramStart"/>
            <w:r w:rsidRPr="00773C98">
              <w:rPr>
                <w:i/>
                <w:color w:val="000000"/>
              </w:rPr>
              <w:t>t</w:t>
            </w:r>
            <w:r w:rsidRPr="00773C98">
              <w:rPr>
                <w:color w:val="000000"/>
              </w:rPr>
              <w:t>(</w:t>
            </w:r>
            <w:proofErr w:type="gramEnd"/>
            <w:r>
              <w:rPr>
                <w:color w:val="000000"/>
              </w:rPr>
              <w:t>204</w:t>
            </w:r>
            <w:r w:rsidRPr="00773C98">
              <w:rPr>
                <w:color w:val="000000"/>
              </w:rPr>
              <w:t>)</w:t>
            </w:r>
          </w:p>
        </w:tc>
        <w:tc>
          <w:tcPr>
            <w:tcW w:w="615" w:type="dxa"/>
            <w:tcBorders>
              <w:top w:val="nil"/>
              <w:left w:val="nil"/>
              <w:bottom w:val="single" w:sz="4" w:space="0" w:color="auto"/>
              <w:right w:val="nil"/>
            </w:tcBorders>
            <w:shd w:val="clear" w:color="auto" w:fill="auto"/>
            <w:noWrap/>
            <w:vAlign w:val="bottom"/>
            <w:hideMark/>
          </w:tcPr>
          <w:p w14:paraId="62CD554D" w14:textId="77777777" w:rsidR="00F80A64" w:rsidRPr="00773C98" w:rsidRDefault="00F80A64" w:rsidP="00C623E5">
            <w:pPr>
              <w:spacing w:line="240" w:lineRule="auto"/>
              <w:jc w:val="center"/>
              <w:rPr>
                <w:i/>
                <w:color w:val="000000"/>
              </w:rPr>
            </w:pPr>
            <w:r w:rsidRPr="00773C98">
              <w:rPr>
                <w:i/>
                <w:color w:val="000000"/>
              </w:rPr>
              <w:t>p</w:t>
            </w:r>
          </w:p>
        </w:tc>
        <w:tc>
          <w:tcPr>
            <w:tcW w:w="972" w:type="dxa"/>
            <w:tcBorders>
              <w:top w:val="nil"/>
              <w:left w:val="nil"/>
              <w:bottom w:val="single" w:sz="4" w:space="0" w:color="auto"/>
              <w:right w:val="nil"/>
            </w:tcBorders>
            <w:shd w:val="clear" w:color="auto" w:fill="auto"/>
            <w:noWrap/>
            <w:vAlign w:val="bottom"/>
            <w:hideMark/>
          </w:tcPr>
          <w:p w14:paraId="7A4E439C" w14:textId="77777777" w:rsidR="00F80A64" w:rsidRPr="00773C98" w:rsidRDefault="00F80A64" w:rsidP="00C623E5">
            <w:pPr>
              <w:spacing w:line="240" w:lineRule="auto"/>
              <w:jc w:val="center"/>
              <w:rPr>
                <w:i/>
                <w:color w:val="000000"/>
              </w:rPr>
            </w:pPr>
            <w:r w:rsidRPr="00773C98">
              <w:rPr>
                <w:i/>
                <w:color w:val="000000"/>
              </w:rPr>
              <w:t>d</w:t>
            </w:r>
          </w:p>
        </w:tc>
      </w:tr>
      <w:tr w:rsidR="00F80A64" w:rsidRPr="00773C98" w14:paraId="0B2C1863" w14:textId="77777777" w:rsidTr="00354045">
        <w:trPr>
          <w:trHeight w:val="312"/>
        </w:trPr>
        <w:tc>
          <w:tcPr>
            <w:tcW w:w="1410" w:type="dxa"/>
            <w:tcBorders>
              <w:top w:val="nil"/>
              <w:left w:val="nil"/>
              <w:bottom w:val="nil"/>
              <w:right w:val="nil"/>
            </w:tcBorders>
            <w:shd w:val="clear" w:color="auto" w:fill="auto"/>
            <w:noWrap/>
            <w:vAlign w:val="center"/>
            <w:hideMark/>
          </w:tcPr>
          <w:p w14:paraId="28DF8616" w14:textId="77777777" w:rsidR="00F80A64" w:rsidRPr="000457E4" w:rsidRDefault="00F80A64" w:rsidP="00371FE9">
            <w:pPr>
              <w:spacing w:line="240" w:lineRule="auto"/>
              <w:jc w:val="both"/>
              <w:rPr>
                <w:i/>
                <w:color w:val="000000"/>
                <w:lang w:val="en-GB"/>
              </w:rPr>
            </w:pPr>
            <w:r w:rsidRPr="000457E4">
              <w:rPr>
                <w:i/>
                <w:color w:val="000000"/>
                <w:lang w:val="en-GB"/>
              </w:rPr>
              <w:t>t</w:t>
            </w:r>
            <w:r w:rsidRPr="000457E4">
              <w:rPr>
                <w:color w:val="000000"/>
                <w:vertAlign w:val="subscript"/>
                <w:lang w:val="en-GB"/>
              </w:rPr>
              <w:t>0</w:t>
            </w:r>
          </w:p>
        </w:tc>
        <w:tc>
          <w:tcPr>
            <w:tcW w:w="1058" w:type="dxa"/>
            <w:tcBorders>
              <w:top w:val="nil"/>
              <w:left w:val="nil"/>
              <w:bottom w:val="nil"/>
              <w:right w:val="nil"/>
            </w:tcBorders>
            <w:shd w:val="clear" w:color="auto" w:fill="auto"/>
            <w:noWrap/>
            <w:vAlign w:val="bottom"/>
            <w:hideMark/>
          </w:tcPr>
          <w:p w14:paraId="2227D029" w14:textId="77777777" w:rsidR="00F80A64" w:rsidRPr="000457E4" w:rsidRDefault="00F80A64" w:rsidP="00C623E5">
            <w:pPr>
              <w:spacing w:line="240" w:lineRule="auto"/>
              <w:jc w:val="center"/>
              <w:rPr>
                <w:color w:val="000000"/>
                <w:lang w:val="en-GB"/>
              </w:rPr>
            </w:pPr>
            <w:r>
              <w:rPr>
                <w:color w:val="000000"/>
                <w:lang w:val="en-GB"/>
              </w:rPr>
              <w:t>18.55</w:t>
            </w:r>
          </w:p>
        </w:tc>
        <w:tc>
          <w:tcPr>
            <w:tcW w:w="1327" w:type="dxa"/>
            <w:tcBorders>
              <w:top w:val="nil"/>
              <w:left w:val="nil"/>
              <w:bottom w:val="nil"/>
              <w:right w:val="nil"/>
            </w:tcBorders>
            <w:shd w:val="clear" w:color="auto" w:fill="auto"/>
            <w:noWrap/>
            <w:vAlign w:val="bottom"/>
            <w:hideMark/>
          </w:tcPr>
          <w:p w14:paraId="6C698A63" w14:textId="77777777" w:rsidR="00F80A64" w:rsidRPr="000457E4" w:rsidRDefault="00F80A64" w:rsidP="00C623E5">
            <w:pPr>
              <w:spacing w:line="240" w:lineRule="auto"/>
              <w:jc w:val="center"/>
              <w:rPr>
                <w:color w:val="000000"/>
                <w:lang w:val="en-GB"/>
              </w:rPr>
            </w:pPr>
            <w:r w:rsidRPr="000457E4">
              <w:rPr>
                <w:color w:val="000000"/>
                <w:lang w:val="en-GB"/>
              </w:rPr>
              <w:t>(</w:t>
            </w:r>
            <w:r>
              <w:rPr>
                <w:color w:val="000000"/>
                <w:lang w:val="en-GB"/>
              </w:rPr>
              <w:t>9.20</w:t>
            </w:r>
            <w:r w:rsidRPr="000457E4">
              <w:rPr>
                <w:color w:val="000000"/>
                <w:lang w:val="en-GB"/>
              </w:rPr>
              <w:t>)</w:t>
            </w:r>
          </w:p>
        </w:tc>
        <w:tc>
          <w:tcPr>
            <w:tcW w:w="200" w:type="dxa"/>
            <w:tcBorders>
              <w:top w:val="nil"/>
              <w:left w:val="nil"/>
              <w:bottom w:val="nil"/>
              <w:right w:val="nil"/>
            </w:tcBorders>
            <w:shd w:val="clear" w:color="auto" w:fill="auto"/>
            <w:noWrap/>
            <w:vAlign w:val="bottom"/>
            <w:hideMark/>
          </w:tcPr>
          <w:p w14:paraId="27EEDB79" w14:textId="77777777" w:rsidR="00F80A64" w:rsidRPr="00773C98" w:rsidRDefault="00F80A64" w:rsidP="00C623E5">
            <w:pPr>
              <w:spacing w:line="240" w:lineRule="auto"/>
              <w:jc w:val="center"/>
              <w:rPr>
                <w:color w:val="000000"/>
              </w:rPr>
            </w:pPr>
          </w:p>
        </w:tc>
        <w:tc>
          <w:tcPr>
            <w:tcW w:w="1059" w:type="dxa"/>
            <w:tcBorders>
              <w:top w:val="nil"/>
              <w:left w:val="nil"/>
              <w:bottom w:val="nil"/>
              <w:right w:val="nil"/>
            </w:tcBorders>
            <w:shd w:val="clear" w:color="auto" w:fill="auto"/>
            <w:noWrap/>
            <w:vAlign w:val="bottom"/>
            <w:hideMark/>
          </w:tcPr>
          <w:p w14:paraId="11666CD4" w14:textId="77777777" w:rsidR="00F80A64" w:rsidRPr="00773C98" w:rsidRDefault="00F80A64" w:rsidP="00C623E5">
            <w:pPr>
              <w:spacing w:line="240" w:lineRule="auto"/>
              <w:jc w:val="center"/>
              <w:rPr>
                <w:color w:val="000000"/>
              </w:rPr>
            </w:pPr>
            <w:r>
              <w:rPr>
                <w:color w:val="000000"/>
              </w:rPr>
              <w:t>16.49</w:t>
            </w:r>
          </w:p>
        </w:tc>
        <w:tc>
          <w:tcPr>
            <w:tcW w:w="1327" w:type="dxa"/>
            <w:tcBorders>
              <w:top w:val="nil"/>
              <w:left w:val="nil"/>
              <w:bottom w:val="nil"/>
              <w:right w:val="nil"/>
            </w:tcBorders>
            <w:shd w:val="clear" w:color="auto" w:fill="auto"/>
            <w:noWrap/>
            <w:vAlign w:val="bottom"/>
            <w:hideMark/>
          </w:tcPr>
          <w:p w14:paraId="2169B984" w14:textId="77777777" w:rsidR="00F80A64" w:rsidRPr="00773C98" w:rsidRDefault="00F80A64" w:rsidP="00C623E5">
            <w:pPr>
              <w:spacing w:line="240" w:lineRule="auto"/>
              <w:jc w:val="center"/>
              <w:rPr>
                <w:color w:val="000000"/>
              </w:rPr>
            </w:pPr>
            <w:r w:rsidRPr="00773C98">
              <w:rPr>
                <w:color w:val="000000"/>
              </w:rPr>
              <w:t>(</w:t>
            </w:r>
            <w:r>
              <w:rPr>
                <w:color w:val="000000"/>
              </w:rPr>
              <w:t>8.26</w:t>
            </w:r>
            <w:r w:rsidRPr="00773C98">
              <w:rPr>
                <w:color w:val="000000"/>
              </w:rPr>
              <w:t>)</w:t>
            </w:r>
          </w:p>
        </w:tc>
        <w:tc>
          <w:tcPr>
            <w:tcW w:w="200" w:type="dxa"/>
            <w:tcBorders>
              <w:top w:val="nil"/>
              <w:left w:val="nil"/>
              <w:bottom w:val="nil"/>
              <w:right w:val="nil"/>
            </w:tcBorders>
            <w:shd w:val="clear" w:color="auto" w:fill="auto"/>
            <w:noWrap/>
            <w:vAlign w:val="bottom"/>
            <w:hideMark/>
          </w:tcPr>
          <w:p w14:paraId="6FFEAEC7" w14:textId="77777777" w:rsidR="00F80A64" w:rsidRPr="00773C98" w:rsidRDefault="00F80A64" w:rsidP="00C623E5">
            <w:pPr>
              <w:spacing w:line="240" w:lineRule="auto"/>
              <w:jc w:val="center"/>
              <w:rPr>
                <w:color w:val="000000"/>
              </w:rPr>
            </w:pPr>
          </w:p>
        </w:tc>
        <w:tc>
          <w:tcPr>
            <w:tcW w:w="972" w:type="dxa"/>
            <w:tcBorders>
              <w:top w:val="nil"/>
              <w:left w:val="nil"/>
              <w:bottom w:val="nil"/>
              <w:right w:val="nil"/>
            </w:tcBorders>
            <w:shd w:val="clear" w:color="auto" w:fill="auto"/>
            <w:noWrap/>
            <w:vAlign w:val="bottom"/>
            <w:hideMark/>
          </w:tcPr>
          <w:p w14:paraId="1884007B" w14:textId="77777777" w:rsidR="00F80A64" w:rsidRPr="00773C98" w:rsidRDefault="00F80A64" w:rsidP="00C623E5">
            <w:pPr>
              <w:spacing w:line="240" w:lineRule="auto"/>
              <w:jc w:val="center"/>
              <w:rPr>
                <w:color w:val="000000"/>
              </w:rPr>
            </w:pPr>
            <w:r>
              <w:rPr>
                <w:color w:val="000000"/>
              </w:rPr>
              <w:t>1.25</w:t>
            </w:r>
          </w:p>
        </w:tc>
        <w:tc>
          <w:tcPr>
            <w:tcW w:w="615" w:type="dxa"/>
            <w:tcBorders>
              <w:top w:val="nil"/>
              <w:left w:val="nil"/>
              <w:bottom w:val="nil"/>
              <w:right w:val="nil"/>
            </w:tcBorders>
            <w:shd w:val="clear" w:color="auto" w:fill="auto"/>
            <w:noWrap/>
            <w:vAlign w:val="bottom"/>
            <w:hideMark/>
          </w:tcPr>
          <w:p w14:paraId="1B132FA6" w14:textId="77777777" w:rsidR="00F80A64" w:rsidRPr="00773C98" w:rsidRDefault="00F80A64" w:rsidP="00C623E5">
            <w:pPr>
              <w:spacing w:line="240" w:lineRule="auto"/>
              <w:jc w:val="center"/>
              <w:rPr>
                <w:color w:val="000000"/>
              </w:rPr>
            </w:pPr>
            <w:r>
              <w:rPr>
                <w:color w:val="000000"/>
              </w:rPr>
              <w:t>.21</w:t>
            </w:r>
          </w:p>
        </w:tc>
        <w:tc>
          <w:tcPr>
            <w:tcW w:w="972" w:type="dxa"/>
            <w:tcBorders>
              <w:top w:val="nil"/>
              <w:left w:val="nil"/>
              <w:bottom w:val="nil"/>
              <w:right w:val="nil"/>
            </w:tcBorders>
            <w:shd w:val="clear" w:color="auto" w:fill="auto"/>
            <w:noWrap/>
            <w:vAlign w:val="bottom"/>
            <w:hideMark/>
          </w:tcPr>
          <w:p w14:paraId="4A17B94A" w14:textId="77777777" w:rsidR="00F80A64" w:rsidRPr="00773C98" w:rsidRDefault="00F80A64" w:rsidP="00C623E5">
            <w:pPr>
              <w:spacing w:line="240" w:lineRule="auto"/>
              <w:jc w:val="center"/>
              <w:rPr>
                <w:color w:val="000000"/>
              </w:rPr>
            </w:pPr>
            <w:r>
              <w:rPr>
                <w:color w:val="000000"/>
              </w:rPr>
              <w:t>0.24</w:t>
            </w:r>
          </w:p>
        </w:tc>
      </w:tr>
      <w:tr w:rsidR="00F80A64" w:rsidRPr="00773C98" w14:paraId="7FE0679D" w14:textId="77777777" w:rsidTr="00354045">
        <w:trPr>
          <w:trHeight w:val="288"/>
        </w:trPr>
        <w:tc>
          <w:tcPr>
            <w:tcW w:w="1410" w:type="dxa"/>
            <w:tcBorders>
              <w:top w:val="nil"/>
              <w:left w:val="nil"/>
              <w:bottom w:val="nil"/>
              <w:right w:val="nil"/>
            </w:tcBorders>
            <w:shd w:val="clear" w:color="auto" w:fill="auto"/>
            <w:noWrap/>
            <w:vAlign w:val="center"/>
            <w:hideMark/>
          </w:tcPr>
          <w:p w14:paraId="35B052E6" w14:textId="77777777" w:rsidR="00F80A64" w:rsidRPr="000457E4" w:rsidRDefault="00F80A64" w:rsidP="00371FE9">
            <w:pPr>
              <w:spacing w:line="240" w:lineRule="auto"/>
              <w:jc w:val="both"/>
              <w:rPr>
                <w:i/>
                <w:color w:val="000000"/>
                <w:lang w:val="en-GB"/>
              </w:rPr>
            </w:pPr>
            <w:r w:rsidRPr="000457E4">
              <w:rPr>
                <w:i/>
                <w:color w:val="000000"/>
                <w:lang w:val="en-GB"/>
              </w:rPr>
              <w:t>C</w:t>
            </w:r>
          </w:p>
        </w:tc>
        <w:tc>
          <w:tcPr>
            <w:tcW w:w="1058" w:type="dxa"/>
            <w:tcBorders>
              <w:top w:val="nil"/>
              <w:left w:val="nil"/>
              <w:bottom w:val="nil"/>
              <w:right w:val="nil"/>
            </w:tcBorders>
            <w:shd w:val="clear" w:color="auto" w:fill="auto"/>
            <w:noWrap/>
            <w:vAlign w:val="bottom"/>
            <w:hideMark/>
          </w:tcPr>
          <w:p w14:paraId="48691F97" w14:textId="77777777" w:rsidR="00F80A64" w:rsidRPr="000457E4" w:rsidRDefault="00F80A64" w:rsidP="00C623E5">
            <w:pPr>
              <w:spacing w:line="240" w:lineRule="auto"/>
              <w:jc w:val="center"/>
              <w:rPr>
                <w:color w:val="000000"/>
                <w:lang w:val="en-GB"/>
              </w:rPr>
            </w:pPr>
            <w:r>
              <w:rPr>
                <w:color w:val="000000"/>
                <w:lang w:val="en-GB"/>
              </w:rPr>
              <w:t>51.47</w:t>
            </w:r>
          </w:p>
        </w:tc>
        <w:tc>
          <w:tcPr>
            <w:tcW w:w="1327" w:type="dxa"/>
            <w:tcBorders>
              <w:top w:val="nil"/>
              <w:left w:val="nil"/>
              <w:bottom w:val="nil"/>
              <w:right w:val="nil"/>
            </w:tcBorders>
            <w:shd w:val="clear" w:color="auto" w:fill="auto"/>
            <w:noWrap/>
            <w:vAlign w:val="bottom"/>
            <w:hideMark/>
          </w:tcPr>
          <w:p w14:paraId="03EDBC20" w14:textId="77777777" w:rsidR="00F80A64" w:rsidRPr="000457E4" w:rsidRDefault="00F80A64" w:rsidP="00C623E5">
            <w:pPr>
              <w:spacing w:line="240" w:lineRule="auto"/>
              <w:jc w:val="center"/>
              <w:rPr>
                <w:color w:val="000000"/>
                <w:lang w:val="en-GB"/>
              </w:rPr>
            </w:pPr>
            <w:r w:rsidRPr="000457E4">
              <w:rPr>
                <w:color w:val="000000"/>
                <w:lang w:val="en-GB"/>
              </w:rPr>
              <w:t>(</w:t>
            </w:r>
            <w:r>
              <w:rPr>
                <w:color w:val="000000"/>
                <w:lang w:val="en-GB"/>
              </w:rPr>
              <w:t>19.62</w:t>
            </w:r>
            <w:r w:rsidRPr="000457E4">
              <w:rPr>
                <w:color w:val="000000"/>
                <w:lang w:val="en-GB"/>
              </w:rPr>
              <w:t>)</w:t>
            </w:r>
          </w:p>
        </w:tc>
        <w:tc>
          <w:tcPr>
            <w:tcW w:w="200" w:type="dxa"/>
            <w:tcBorders>
              <w:top w:val="nil"/>
              <w:left w:val="nil"/>
              <w:bottom w:val="nil"/>
              <w:right w:val="nil"/>
            </w:tcBorders>
            <w:shd w:val="clear" w:color="auto" w:fill="auto"/>
            <w:noWrap/>
            <w:vAlign w:val="bottom"/>
            <w:hideMark/>
          </w:tcPr>
          <w:p w14:paraId="5256CA0D" w14:textId="77777777" w:rsidR="00F80A64" w:rsidRPr="00773C98" w:rsidRDefault="00F80A64" w:rsidP="00C623E5">
            <w:pPr>
              <w:spacing w:line="240" w:lineRule="auto"/>
              <w:jc w:val="center"/>
              <w:rPr>
                <w:color w:val="000000"/>
              </w:rPr>
            </w:pPr>
          </w:p>
        </w:tc>
        <w:tc>
          <w:tcPr>
            <w:tcW w:w="1059" w:type="dxa"/>
            <w:tcBorders>
              <w:top w:val="nil"/>
              <w:left w:val="nil"/>
              <w:bottom w:val="nil"/>
              <w:right w:val="nil"/>
            </w:tcBorders>
            <w:shd w:val="clear" w:color="auto" w:fill="auto"/>
            <w:noWrap/>
            <w:vAlign w:val="bottom"/>
            <w:hideMark/>
          </w:tcPr>
          <w:p w14:paraId="669237ED" w14:textId="77777777" w:rsidR="00F80A64" w:rsidRPr="00773C98" w:rsidRDefault="00F80A64" w:rsidP="00C623E5">
            <w:pPr>
              <w:spacing w:line="240" w:lineRule="auto"/>
              <w:jc w:val="center"/>
              <w:rPr>
                <w:color w:val="000000"/>
              </w:rPr>
            </w:pPr>
            <w:r>
              <w:rPr>
                <w:color w:val="000000"/>
              </w:rPr>
              <w:t>52.61</w:t>
            </w:r>
          </w:p>
        </w:tc>
        <w:tc>
          <w:tcPr>
            <w:tcW w:w="1327" w:type="dxa"/>
            <w:tcBorders>
              <w:top w:val="nil"/>
              <w:left w:val="nil"/>
              <w:bottom w:val="nil"/>
              <w:right w:val="nil"/>
            </w:tcBorders>
            <w:shd w:val="clear" w:color="auto" w:fill="auto"/>
            <w:noWrap/>
            <w:vAlign w:val="bottom"/>
            <w:hideMark/>
          </w:tcPr>
          <w:p w14:paraId="12786BD2" w14:textId="77777777" w:rsidR="00F80A64" w:rsidRPr="00773C98" w:rsidRDefault="00F80A64" w:rsidP="00C623E5">
            <w:pPr>
              <w:spacing w:line="240" w:lineRule="auto"/>
              <w:jc w:val="center"/>
              <w:rPr>
                <w:color w:val="000000"/>
              </w:rPr>
            </w:pPr>
            <w:r w:rsidRPr="00773C98">
              <w:rPr>
                <w:color w:val="000000"/>
              </w:rPr>
              <w:t>(</w:t>
            </w:r>
            <w:r>
              <w:rPr>
                <w:color w:val="000000"/>
              </w:rPr>
              <w:t>22.21</w:t>
            </w:r>
            <w:r w:rsidRPr="00773C98">
              <w:rPr>
                <w:color w:val="000000"/>
              </w:rPr>
              <w:t>)</w:t>
            </w:r>
          </w:p>
        </w:tc>
        <w:tc>
          <w:tcPr>
            <w:tcW w:w="200" w:type="dxa"/>
            <w:tcBorders>
              <w:top w:val="nil"/>
              <w:left w:val="nil"/>
              <w:bottom w:val="nil"/>
              <w:right w:val="nil"/>
            </w:tcBorders>
            <w:shd w:val="clear" w:color="auto" w:fill="auto"/>
            <w:noWrap/>
            <w:vAlign w:val="bottom"/>
            <w:hideMark/>
          </w:tcPr>
          <w:p w14:paraId="30CD2045" w14:textId="77777777" w:rsidR="00F80A64" w:rsidRPr="00773C98" w:rsidRDefault="00F80A64" w:rsidP="00C623E5">
            <w:pPr>
              <w:spacing w:line="240" w:lineRule="auto"/>
              <w:jc w:val="center"/>
              <w:rPr>
                <w:color w:val="000000"/>
              </w:rPr>
            </w:pPr>
          </w:p>
        </w:tc>
        <w:tc>
          <w:tcPr>
            <w:tcW w:w="972" w:type="dxa"/>
            <w:tcBorders>
              <w:top w:val="nil"/>
              <w:left w:val="nil"/>
              <w:bottom w:val="nil"/>
              <w:right w:val="nil"/>
            </w:tcBorders>
            <w:shd w:val="clear" w:color="auto" w:fill="auto"/>
            <w:noWrap/>
            <w:vAlign w:val="bottom"/>
            <w:hideMark/>
          </w:tcPr>
          <w:p w14:paraId="485BCDC2" w14:textId="77777777" w:rsidR="00F80A64" w:rsidRPr="00773C98" w:rsidRDefault="00F80A64" w:rsidP="00C623E5">
            <w:pPr>
              <w:spacing w:line="240" w:lineRule="auto"/>
              <w:jc w:val="center"/>
              <w:rPr>
                <w:color w:val="000000"/>
              </w:rPr>
            </w:pPr>
            <w:r>
              <w:rPr>
                <w:color w:val="000000"/>
              </w:rPr>
              <w:t>-0.31</w:t>
            </w:r>
          </w:p>
        </w:tc>
        <w:tc>
          <w:tcPr>
            <w:tcW w:w="615" w:type="dxa"/>
            <w:tcBorders>
              <w:top w:val="nil"/>
              <w:left w:val="nil"/>
              <w:bottom w:val="nil"/>
              <w:right w:val="nil"/>
            </w:tcBorders>
            <w:shd w:val="clear" w:color="auto" w:fill="auto"/>
            <w:noWrap/>
            <w:vAlign w:val="bottom"/>
            <w:hideMark/>
          </w:tcPr>
          <w:p w14:paraId="04F16B64" w14:textId="77777777" w:rsidR="00F80A64" w:rsidRPr="00773C98" w:rsidRDefault="00F80A64" w:rsidP="00C623E5">
            <w:pPr>
              <w:spacing w:line="240" w:lineRule="auto"/>
              <w:jc w:val="center"/>
              <w:rPr>
                <w:color w:val="000000"/>
              </w:rPr>
            </w:pPr>
            <w:r>
              <w:rPr>
                <w:color w:val="000000"/>
              </w:rPr>
              <w:t>.76</w:t>
            </w:r>
          </w:p>
        </w:tc>
        <w:tc>
          <w:tcPr>
            <w:tcW w:w="972" w:type="dxa"/>
            <w:tcBorders>
              <w:top w:val="nil"/>
              <w:left w:val="nil"/>
              <w:bottom w:val="nil"/>
              <w:right w:val="nil"/>
            </w:tcBorders>
            <w:shd w:val="clear" w:color="auto" w:fill="auto"/>
            <w:noWrap/>
            <w:vAlign w:val="bottom"/>
            <w:hideMark/>
          </w:tcPr>
          <w:p w14:paraId="3CB17B9F" w14:textId="77777777" w:rsidR="00F80A64" w:rsidRPr="00773C98" w:rsidRDefault="00F80A64" w:rsidP="00C623E5">
            <w:pPr>
              <w:spacing w:line="240" w:lineRule="auto"/>
              <w:jc w:val="center"/>
              <w:rPr>
                <w:color w:val="000000"/>
              </w:rPr>
            </w:pPr>
            <w:r>
              <w:rPr>
                <w:color w:val="000000"/>
              </w:rPr>
              <w:t>-0.05</w:t>
            </w:r>
          </w:p>
        </w:tc>
      </w:tr>
      <w:tr w:rsidR="00F80A64" w:rsidRPr="00773C98" w14:paraId="40718B8F" w14:textId="77777777" w:rsidTr="00354045">
        <w:trPr>
          <w:trHeight w:val="288"/>
        </w:trPr>
        <w:tc>
          <w:tcPr>
            <w:tcW w:w="1410" w:type="dxa"/>
            <w:tcBorders>
              <w:top w:val="nil"/>
              <w:left w:val="nil"/>
              <w:bottom w:val="nil"/>
              <w:right w:val="nil"/>
            </w:tcBorders>
            <w:shd w:val="clear" w:color="auto" w:fill="auto"/>
            <w:noWrap/>
            <w:vAlign w:val="center"/>
            <w:hideMark/>
          </w:tcPr>
          <w:p w14:paraId="5EF3DE9B" w14:textId="77777777" w:rsidR="00F80A64" w:rsidRPr="000457E4" w:rsidRDefault="00F80A64" w:rsidP="00371FE9">
            <w:pPr>
              <w:spacing w:line="240" w:lineRule="auto"/>
              <w:jc w:val="both"/>
              <w:rPr>
                <w:i/>
                <w:color w:val="000000"/>
                <w:lang w:val="en-GB"/>
              </w:rPr>
            </w:pPr>
            <w:r w:rsidRPr="000457E4">
              <w:rPr>
                <w:i/>
                <w:color w:val="000000"/>
                <w:lang w:val="en-GB"/>
              </w:rPr>
              <w:t>K</w:t>
            </w:r>
          </w:p>
        </w:tc>
        <w:tc>
          <w:tcPr>
            <w:tcW w:w="1058" w:type="dxa"/>
            <w:tcBorders>
              <w:top w:val="nil"/>
              <w:left w:val="nil"/>
              <w:bottom w:val="nil"/>
              <w:right w:val="nil"/>
            </w:tcBorders>
            <w:shd w:val="clear" w:color="auto" w:fill="auto"/>
            <w:noWrap/>
            <w:vAlign w:val="bottom"/>
            <w:hideMark/>
          </w:tcPr>
          <w:p w14:paraId="4CAFC1CA" w14:textId="77777777" w:rsidR="00F80A64" w:rsidRPr="000457E4" w:rsidRDefault="00F80A64" w:rsidP="00C623E5">
            <w:pPr>
              <w:spacing w:line="240" w:lineRule="auto"/>
              <w:jc w:val="center"/>
              <w:rPr>
                <w:color w:val="000000"/>
                <w:lang w:val="en-GB"/>
              </w:rPr>
            </w:pPr>
            <w:r>
              <w:rPr>
                <w:color w:val="000000"/>
                <w:lang w:val="en-GB"/>
              </w:rPr>
              <w:t>3.10</w:t>
            </w:r>
          </w:p>
        </w:tc>
        <w:tc>
          <w:tcPr>
            <w:tcW w:w="1327" w:type="dxa"/>
            <w:tcBorders>
              <w:top w:val="nil"/>
              <w:left w:val="nil"/>
              <w:bottom w:val="nil"/>
              <w:right w:val="nil"/>
            </w:tcBorders>
            <w:shd w:val="clear" w:color="auto" w:fill="auto"/>
            <w:noWrap/>
            <w:vAlign w:val="bottom"/>
            <w:hideMark/>
          </w:tcPr>
          <w:p w14:paraId="0DAA484A" w14:textId="77777777" w:rsidR="00F80A64" w:rsidRPr="000457E4" w:rsidRDefault="00F80A64" w:rsidP="00C623E5">
            <w:pPr>
              <w:spacing w:line="240" w:lineRule="auto"/>
              <w:jc w:val="center"/>
              <w:rPr>
                <w:color w:val="000000"/>
                <w:lang w:val="en-GB"/>
              </w:rPr>
            </w:pPr>
            <w:r w:rsidRPr="000457E4">
              <w:rPr>
                <w:color w:val="000000"/>
                <w:lang w:val="en-GB"/>
              </w:rPr>
              <w:t>(</w:t>
            </w:r>
            <w:r>
              <w:rPr>
                <w:color w:val="000000"/>
                <w:lang w:val="en-GB"/>
              </w:rPr>
              <w:t>0.65</w:t>
            </w:r>
            <w:r w:rsidRPr="000457E4">
              <w:rPr>
                <w:color w:val="000000"/>
                <w:lang w:val="en-GB"/>
              </w:rPr>
              <w:t>)</w:t>
            </w:r>
          </w:p>
        </w:tc>
        <w:tc>
          <w:tcPr>
            <w:tcW w:w="200" w:type="dxa"/>
            <w:tcBorders>
              <w:top w:val="nil"/>
              <w:left w:val="nil"/>
              <w:bottom w:val="nil"/>
              <w:right w:val="nil"/>
            </w:tcBorders>
            <w:shd w:val="clear" w:color="auto" w:fill="auto"/>
            <w:noWrap/>
            <w:vAlign w:val="bottom"/>
            <w:hideMark/>
          </w:tcPr>
          <w:p w14:paraId="58A3F38E" w14:textId="77777777" w:rsidR="00F80A64" w:rsidRPr="00773C98" w:rsidRDefault="00F80A64" w:rsidP="00C623E5">
            <w:pPr>
              <w:spacing w:line="240" w:lineRule="auto"/>
              <w:jc w:val="center"/>
              <w:rPr>
                <w:color w:val="000000"/>
              </w:rPr>
            </w:pPr>
          </w:p>
        </w:tc>
        <w:tc>
          <w:tcPr>
            <w:tcW w:w="1059" w:type="dxa"/>
            <w:tcBorders>
              <w:top w:val="nil"/>
              <w:left w:val="nil"/>
              <w:bottom w:val="nil"/>
              <w:right w:val="nil"/>
            </w:tcBorders>
            <w:shd w:val="clear" w:color="auto" w:fill="auto"/>
            <w:noWrap/>
            <w:vAlign w:val="bottom"/>
            <w:hideMark/>
          </w:tcPr>
          <w:p w14:paraId="24C38307" w14:textId="77777777" w:rsidR="00F80A64" w:rsidRPr="00773C98" w:rsidRDefault="00F80A64" w:rsidP="00C623E5">
            <w:pPr>
              <w:spacing w:line="240" w:lineRule="auto"/>
              <w:jc w:val="center"/>
              <w:rPr>
                <w:color w:val="000000"/>
              </w:rPr>
            </w:pPr>
            <w:r>
              <w:rPr>
                <w:color w:val="000000"/>
              </w:rPr>
              <w:t>3.18</w:t>
            </w:r>
          </w:p>
        </w:tc>
        <w:tc>
          <w:tcPr>
            <w:tcW w:w="1327" w:type="dxa"/>
            <w:tcBorders>
              <w:top w:val="nil"/>
              <w:left w:val="nil"/>
              <w:bottom w:val="nil"/>
              <w:right w:val="nil"/>
            </w:tcBorders>
            <w:shd w:val="clear" w:color="auto" w:fill="auto"/>
            <w:noWrap/>
            <w:vAlign w:val="bottom"/>
            <w:hideMark/>
          </w:tcPr>
          <w:p w14:paraId="7B86615B" w14:textId="77777777" w:rsidR="00F80A64" w:rsidRPr="00773C98" w:rsidRDefault="00F80A64" w:rsidP="00C623E5">
            <w:pPr>
              <w:spacing w:line="240" w:lineRule="auto"/>
              <w:jc w:val="center"/>
              <w:rPr>
                <w:color w:val="000000"/>
              </w:rPr>
            </w:pPr>
            <w:r w:rsidRPr="00773C98">
              <w:rPr>
                <w:color w:val="000000"/>
              </w:rPr>
              <w:t>(</w:t>
            </w:r>
            <w:r>
              <w:rPr>
                <w:color w:val="000000"/>
              </w:rPr>
              <w:t>0.68</w:t>
            </w:r>
            <w:r w:rsidRPr="00773C98">
              <w:rPr>
                <w:color w:val="000000"/>
              </w:rPr>
              <w:t>)</w:t>
            </w:r>
          </w:p>
        </w:tc>
        <w:tc>
          <w:tcPr>
            <w:tcW w:w="200" w:type="dxa"/>
            <w:tcBorders>
              <w:top w:val="nil"/>
              <w:left w:val="nil"/>
              <w:bottom w:val="nil"/>
              <w:right w:val="nil"/>
            </w:tcBorders>
            <w:shd w:val="clear" w:color="auto" w:fill="auto"/>
            <w:noWrap/>
            <w:vAlign w:val="bottom"/>
            <w:hideMark/>
          </w:tcPr>
          <w:p w14:paraId="6D51DAA4" w14:textId="77777777" w:rsidR="00F80A64" w:rsidRPr="00773C98" w:rsidRDefault="00F80A64" w:rsidP="00C623E5">
            <w:pPr>
              <w:spacing w:line="240" w:lineRule="auto"/>
              <w:jc w:val="center"/>
              <w:rPr>
                <w:color w:val="000000"/>
              </w:rPr>
            </w:pPr>
          </w:p>
        </w:tc>
        <w:tc>
          <w:tcPr>
            <w:tcW w:w="972" w:type="dxa"/>
            <w:tcBorders>
              <w:top w:val="nil"/>
              <w:left w:val="nil"/>
              <w:bottom w:val="nil"/>
              <w:right w:val="nil"/>
            </w:tcBorders>
            <w:shd w:val="clear" w:color="auto" w:fill="auto"/>
            <w:noWrap/>
            <w:vAlign w:val="bottom"/>
            <w:hideMark/>
          </w:tcPr>
          <w:p w14:paraId="783DA5B5" w14:textId="77777777" w:rsidR="00F80A64" w:rsidRPr="00773C98" w:rsidRDefault="00F80A64" w:rsidP="00C623E5">
            <w:pPr>
              <w:spacing w:line="240" w:lineRule="auto"/>
              <w:jc w:val="center"/>
              <w:rPr>
                <w:color w:val="000000"/>
              </w:rPr>
            </w:pPr>
            <w:r>
              <w:rPr>
                <w:color w:val="000000"/>
              </w:rPr>
              <w:t>-0.71</w:t>
            </w:r>
          </w:p>
        </w:tc>
        <w:tc>
          <w:tcPr>
            <w:tcW w:w="615" w:type="dxa"/>
            <w:tcBorders>
              <w:top w:val="nil"/>
              <w:left w:val="nil"/>
              <w:bottom w:val="nil"/>
              <w:right w:val="nil"/>
            </w:tcBorders>
            <w:shd w:val="clear" w:color="auto" w:fill="auto"/>
            <w:noWrap/>
            <w:vAlign w:val="bottom"/>
            <w:hideMark/>
          </w:tcPr>
          <w:p w14:paraId="700B12C0" w14:textId="77777777" w:rsidR="00F80A64" w:rsidRPr="00773C98" w:rsidRDefault="00F80A64" w:rsidP="00C623E5">
            <w:pPr>
              <w:spacing w:line="240" w:lineRule="auto"/>
              <w:jc w:val="center"/>
              <w:rPr>
                <w:color w:val="000000"/>
              </w:rPr>
            </w:pPr>
            <w:r>
              <w:rPr>
                <w:color w:val="000000"/>
              </w:rPr>
              <w:t>.48</w:t>
            </w:r>
          </w:p>
        </w:tc>
        <w:tc>
          <w:tcPr>
            <w:tcW w:w="972" w:type="dxa"/>
            <w:tcBorders>
              <w:top w:val="nil"/>
              <w:left w:val="nil"/>
              <w:bottom w:val="nil"/>
              <w:right w:val="nil"/>
            </w:tcBorders>
            <w:shd w:val="clear" w:color="auto" w:fill="auto"/>
            <w:noWrap/>
            <w:vAlign w:val="bottom"/>
            <w:hideMark/>
          </w:tcPr>
          <w:p w14:paraId="73DB55A5" w14:textId="77777777" w:rsidR="00F80A64" w:rsidRPr="00773C98" w:rsidRDefault="00F80A64" w:rsidP="00C623E5">
            <w:pPr>
              <w:spacing w:line="240" w:lineRule="auto"/>
              <w:jc w:val="center"/>
              <w:rPr>
                <w:color w:val="000000"/>
              </w:rPr>
            </w:pPr>
            <w:r>
              <w:rPr>
                <w:color w:val="000000"/>
              </w:rPr>
              <w:t>-0.13</w:t>
            </w:r>
          </w:p>
        </w:tc>
      </w:tr>
      <w:tr w:rsidR="00F80A64" w:rsidRPr="00773C98" w14:paraId="0430D82E" w14:textId="77777777" w:rsidTr="00354045">
        <w:trPr>
          <w:trHeight w:val="288"/>
        </w:trPr>
        <w:tc>
          <w:tcPr>
            <w:tcW w:w="1410" w:type="dxa"/>
            <w:tcBorders>
              <w:top w:val="nil"/>
              <w:left w:val="nil"/>
              <w:bottom w:val="nil"/>
              <w:right w:val="nil"/>
            </w:tcBorders>
            <w:shd w:val="clear" w:color="auto" w:fill="auto"/>
            <w:noWrap/>
            <w:vAlign w:val="center"/>
            <w:hideMark/>
          </w:tcPr>
          <w:p w14:paraId="5F03C716" w14:textId="77777777" w:rsidR="00F80A64" w:rsidRPr="000457E4" w:rsidRDefault="00F80A64" w:rsidP="00371FE9">
            <w:pPr>
              <w:spacing w:line="240" w:lineRule="auto"/>
              <w:jc w:val="both"/>
              <w:rPr>
                <w:i/>
                <w:color w:val="000000"/>
                <w:lang w:val="en-GB"/>
              </w:rPr>
            </w:pPr>
            <w:r w:rsidRPr="000457E4">
              <w:rPr>
                <w:i/>
                <w:color w:val="000000"/>
                <w:lang w:val="en-GB"/>
              </w:rPr>
              <w:t>alpha</w:t>
            </w:r>
          </w:p>
        </w:tc>
        <w:tc>
          <w:tcPr>
            <w:tcW w:w="1058" w:type="dxa"/>
            <w:tcBorders>
              <w:top w:val="nil"/>
              <w:left w:val="nil"/>
              <w:bottom w:val="nil"/>
              <w:right w:val="nil"/>
            </w:tcBorders>
            <w:shd w:val="clear" w:color="auto" w:fill="auto"/>
            <w:noWrap/>
            <w:vAlign w:val="bottom"/>
            <w:hideMark/>
          </w:tcPr>
          <w:p w14:paraId="2EF9848A" w14:textId="77777777" w:rsidR="00F80A64" w:rsidRPr="000457E4" w:rsidRDefault="00F80A64" w:rsidP="00C623E5">
            <w:pPr>
              <w:spacing w:line="240" w:lineRule="auto"/>
              <w:jc w:val="center"/>
              <w:rPr>
                <w:color w:val="000000"/>
                <w:lang w:val="en-GB"/>
              </w:rPr>
            </w:pPr>
            <w:r>
              <w:rPr>
                <w:color w:val="000000"/>
                <w:lang w:val="en-GB"/>
              </w:rPr>
              <w:t>0.40</w:t>
            </w:r>
          </w:p>
        </w:tc>
        <w:tc>
          <w:tcPr>
            <w:tcW w:w="1327" w:type="dxa"/>
            <w:tcBorders>
              <w:top w:val="nil"/>
              <w:left w:val="nil"/>
              <w:bottom w:val="nil"/>
              <w:right w:val="nil"/>
            </w:tcBorders>
            <w:shd w:val="clear" w:color="auto" w:fill="auto"/>
            <w:noWrap/>
            <w:vAlign w:val="bottom"/>
            <w:hideMark/>
          </w:tcPr>
          <w:p w14:paraId="355E6B0A" w14:textId="77777777" w:rsidR="00F80A64" w:rsidRPr="000457E4" w:rsidRDefault="00F80A64" w:rsidP="00C623E5">
            <w:pPr>
              <w:spacing w:line="240" w:lineRule="auto"/>
              <w:jc w:val="center"/>
              <w:rPr>
                <w:color w:val="000000"/>
                <w:lang w:val="en-GB"/>
              </w:rPr>
            </w:pPr>
            <w:r w:rsidRPr="000457E4">
              <w:rPr>
                <w:color w:val="000000"/>
                <w:lang w:val="en-GB"/>
              </w:rPr>
              <w:t>(</w:t>
            </w:r>
            <w:r>
              <w:rPr>
                <w:color w:val="000000"/>
                <w:lang w:val="en-GB"/>
              </w:rPr>
              <w:t>0.31</w:t>
            </w:r>
            <w:r w:rsidRPr="000457E4">
              <w:rPr>
                <w:color w:val="000000"/>
                <w:lang w:val="en-GB"/>
              </w:rPr>
              <w:t>)</w:t>
            </w:r>
          </w:p>
        </w:tc>
        <w:tc>
          <w:tcPr>
            <w:tcW w:w="200" w:type="dxa"/>
            <w:tcBorders>
              <w:top w:val="nil"/>
              <w:left w:val="nil"/>
              <w:bottom w:val="nil"/>
              <w:right w:val="nil"/>
            </w:tcBorders>
            <w:shd w:val="clear" w:color="auto" w:fill="auto"/>
            <w:noWrap/>
            <w:vAlign w:val="bottom"/>
            <w:hideMark/>
          </w:tcPr>
          <w:p w14:paraId="023D2E5C" w14:textId="77777777" w:rsidR="00F80A64" w:rsidRPr="00773C98" w:rsidRDefault="00F80A64" w:rsidP="00C623E5">
            <w:pPr>
              <w:spacing w:line="240" w:lineRule="auto"/>
              <w:jc w:val="center"/>
              <w:rPr>
                <w:color w:val="000000"/>
              </w:rPr>
            </w:pPr>
          </w:p>
        </w:tc>
        <w:tc>
          <w:tcPr>
            <w:tcW w:w="1059" w:type="dxa"/>
            <w:tcBorders>
              <w:top w:val="nil"/>
              <w:left w:val="nil"/>
              <w:bottom w:val="nil"/>
              <w:right w:val="nil"/>
            </w:tcBorders>
            <w:shd w:val="clear" w:color="auto" w:fill="auto"/>
            <w:noWrap/>
            <w:vAlign w:val="bottom"/>
            <w:hideMark/>
          </w:tcPr>
          <w:p w14:paraId="00283D18" w14:textId="77777777" w:rsidR="00F80A64" w:rsidRPr="00773C98" w:rsidRDefault="00F80A64" w:rsidP="00C623E5">
            <w:pPr>
              <w:spacing w:line="240" w:lineRule="auto"/>
              <w:jc w:val="center"/>
              <w:rPr>
                <w:color w:val="000000"/>
              </w:rPr>
            </w:pPr>
            <w:r>
              <w:rPr>
                <w:color w:val="000000"/>
              </w:rPr>
              <w:t>0.35</w:t>
            </w:r>
          </w:p>
        </w:tc>
        <w:tc>
          <w:tcPr>
            <w:tcW w:w="1327" w:type="dxa"/>
            <w:tcBorders>
              <w:top w:val="nil"/>
              <w:left w:val="nil"/>
              <w:bottom w:val="nil"/>
              <w:right w:val="nil"/>
            </w:tcBorders>
            <w:shd w:val="clear" w:color="auto" w:fill="auto"/>
            <w:noWrap/>
            <w:vAlign w:val="bottom"/>
            <w:hideMark/>
          </w:tcPr>
          <w:p w14:paraId="22BC61A5" w14:textId="77777777" w:rsidR="00F80A64" w:rsidRPr="00773C98" w:rsidRDefault="00F80A64" w:rsidP="00C623E5">
            <w:pPr>
              <w:spacing w:line="240" w:lineRule="auto"/>
              <w:jc w:val="center"/>
              <w:rPr>
                <w:color w:val="000000"/>
              </w:rPr>
            </w:pPr>
            <w:r w:rsidRPr="00773C98">
              <w:rPr>
                <w:color w:val="000000"/>
              </w:rPr>
              <w:t>(</w:t>
            </w:r>
            <w:r>
              <w:rPr>
                <w:color w:val="000000"/>
              </w:rPr>
              <w:t>0.36</w:t>
            </w:r>
            <w:r w:rsidRPr="00773C98">
              <w:rPr>
                <w:color w:val="000000"/>
              </w:rPr>
              <w:t>)</w:t>
            </w:r>
          </w:p>
        </w:tc>
        <w:tc>
          <w:tcPr>
            <w:tcW w:w="200" w:type="dxa"/>
            <w:tcBorders>
              <w:top w:val="nil"/>
              <w:left w:val="nil"/>
              <w:bottom w:val="nil"/>
              <w:right w:val="nil"/>
            </w:tcBorders>
            <w:shd w:val="clear" w:color="auto" w:fill="auto"/>
            <w:noWrap/>
            <w:vAlign w:val="bottom"/>
            <w:hideMark/>
          </w:tcPr>
          <w:p w14:paraId="2FFAA997" w14:textId="77777777" w:rsidR="00F80A64" w:rsidRPr="00773C98" w:rsidRDefault="00F80A64" w:rsidP="00C623E5">
            <w:pPr>
              <w:spacing w:line="240" w:lineRule="auto"/>
              <w:jc w:val="center"/>
              <w:rPr>
                <w:color w:val="000000"/>
              </w:rPr>
            </w:pPr>
          </w:p>
        </w:tc>
        <w:tc>
          <w:tcPr>
            <w:tcW w:w="972" w:type="dxa"/>
            <w:tcBorders>
              <w:top w:val="nil"/>
              <w:left w:val="nil"/>
              <w:bottom w:val="nil"/>
              <w:right w:val="nil"/>
            </w:tcBorders>
            <w:shd w:val="clear" w:color="auto" w:fill="auto"/>
            <w:noWrap/>
            <w:vAlign w:val="bottom"/>
            <w:hideMark/>
          </w:tcPr>
          <w:p w14:paraId="3E48C758" w14:textId="77777777" w:rsidR="00F80A64" w:rsidRPr="00773C98" w:rsidRDefault="00F80A64" w:rsidP="00C623E5">
            <w:pPr>
              <w:spacing w:line="240" w:lineRule="auto"/>
              <w:jc w:val="center"/>
              <w:rPr>
                <w:color w:val="000000"/>
              </w:rPr>
            </w:pPr>
            <w:r>
              <w:rPr>
                <w:color w:val="000000"/>
              </w:rPr>
              <w:t>0.89</w:t>
            </w:r>
          </w:p>
        </w:tc>
        <w:tc>
          <w:tcPr>
            <w:tcW w:w="615" w:type="dxa"/>
            <w:tcBorders>
              <w:top w:val="nil"/>
              <w:left w:val="nil"/>
              <w:bottom w:val="nil"/>
              <w:right w:val="nil"/>
            </w:tcBorders>
            <w:shd w:val="clear" w:color="auto" w:fill="auto"/>
            <w:noWrap/>
            <w:vAlign w:val="bottom"/>
            <w:hideMark/>
          </w:tcPr>
          <w:p w14:paraId="09144B5F" w14:textId="77777777" w:rsidR="00F80A64" w:rsidRPr="00773C98" w:rsidRDefault="00F80A64" w:rsidP="00C623E5">
            <w:pPr>
              <w:spacing w:line="240" w:lineRule="auto"/>
              <w:jc w:val="center"/>
              <w:rPr>
                <w:color w:val="000000"/>
              </w:rPr>
            </w:pPr>
            <w:r>
              <w:rPr>
                <w:color w:val="000000"/>
              </w:rPr>
              <w:t>.38</w:t>
            </w:r>
          </w:p>
        </w:tc>
        <w:tc>
          <w:tcPr>
            <w:tcW w:w="972" w:type="dxa"/>
            <w:tcBorders>
              <w:top w:val="nil"/>
              <w:left w:val="nil"/>
              <w:bottom w:val="nil"/>
              <w:right w:val="nil"/>
            </w:tcBorders>
            <w:shd w:val="clear" w:color="auto" w:fill="auto"/>
            <w:noWrap/>
            <w:vAlign w:val="bottom"/>
            <w:hideMark/>
          </w:tcPr>
          <w:p w14:paraId="6A9C2B2A" w14:textId="77777777" w:rsidR="00F80A64" w:rsidRPr="00773C98" w:rsidRDefault="00F80A64" w:rsidP="00C623E5">
            <w:pPr>
              <w:spacing w:line="240" w:lineRule="auto"/>
              <w:jc w:val="center"/>
              <w:rPr>
                <w:color w:val="000000"/>
              </w:rPr>
            </w:pPr>
            <w:r>
              <w:rPr>
                <w:color w:val="000000"/>
              </w:rPr>
              <w:t>0.15</w:t>
            </w:r>
          </w:p>
        </w:tc>
      </w:tr>
      <w:tr w:rsidR="00F80A64" w:rsidRPr="00773C98" w14:paraId="270EBD25" w14:textId="77777777" w:rsidTr="00354045">
        <w:trPr>
          <w:trHeight w:val="312"/>
        </w:trPr>
        <w:tc>
          <w:tcPr>
            <w:tcW w:w="1410" w:type="dxa"/>
            <w:tcBorders>
              <w:top w:val="nil"/>
              <w:left w:val="nil"/>
              <w:bottom w:val="nil"/>
              <w:right w:val="nil"/>
            </w:tcBorders>
            <w:shd w:val="clear" w:color="auto" w:fill="auto"/>
            <w:noWrap/>
            <w:vAlign w:val="center"/>
            <w:hideMark/>
          </w:tcPr>
          <w:p w14:paraId="60E22218" w14:textId="77777777" w:rsidR="00F80A64" w:rsidRPr="000457E4" w:rsidRDefault="00F80A64" w:rsidP="00371FE9">
            <w:pPr>
              <w:spacing w:line="240" w:lineRule="auto"/>
              <w:jc w:val="both"/>
              <w:rPr>
                <w:i/>
                <w:color w:val="000000"/>
                <w:lang w:val="en-GB"/>
              </w:rPr>
            </w:pPr>
            <w:proofErr w:type="spellStart"/>
            <w:r w:rsidRPr="000457E4">
              <w:rPr>
                <w:i/>
                <w:color w:val="000000"/>
                <w:lang w:val="en-GB"/>
              </w:rPr>
              <w:t>w</w:t>
            </w:r>
            <w:r w:rsidRPr="000457E4">
              <w:rPr>
                <w:i/>
                <w:color w:val="000000"/>
                <w:vertAlign w:val="subscript"/>
                <w:lang w:val="en-GB"/>
              </w:rPr>
              <w:t>index</w:t>
            </w:r>
            <w:proofErr w:type="spellEnd"/>
          </w:p>
        </w:tc>
        <w:tc>
          <w:tcPr>
            <w:tcW w:w="1058" w:type="dxa"/>
            <w:tcBorders>
              <w:top w:val="nil"/>
              <w:left w:val="nil"/>
              <w:bottom w:val="nil"/>
              <w:right w:val="nil"/>
            </w:tcBorders>
            <w:shd w:val="clear" w:color="auto" w:fill="auto"/>
            <w:noWrap/>
            <w:vAlign w:val="bottom"/>
            <w:hideMark/>
          </w:tcPr>
          <w:p w14:paraId="5E42D433" w14:textId="77777777" w:rsidR="00F80A64" w:rsidRPr="000457E4" w:rsidRDefault="00F80A64" w:rsidP="00C623E5">
            <w:pPr>
              <w:spacing w:line="240" w:lineRule="auto"/>
              <w:jc w:val="center"/>
              <w:rPr>
                <w:color w:val="000000"/>
                <w:lang w:val="en-GB"/>
              </w:rPr>
            </w:pPr>
            <w:r>
              <w:rPr>
                <w:color w:val="000000"/>
                <w:lang w:val="en-GB"/>
              </w:rPr>
              <w:t>0.54</w:t>
            </w:r>
          </w:p>
        </w:tc>
        <w:tc>
          <w:tcPr>
            <w:tcW w:w="1327" w:type="dxa"/>
            <w:tcBorders>
              <w:top w:val="nil"/>
              <w:left w:val="nil"/>
              <w:bottom w:val="nil"/>
              <w:right w:val="nil"/>
            </w:tcBorders>
            <w:shd w:val="clear" w:color="auto" w:fill="auto"/>
            <w:noWrap/>
            <w:vAlign w:val="bottom"/>
            <w:hideMark/>
          </w:tcPr>
          <w:p w14:paraId="44D38E6E" w14:textId="77777777" w:rsidR="00F80A64" w:rsidRPr="000457E4" w:rsidRDefault="00F80A64" w:rsidP="00C623E5">
            <w:pPr>
              <w:spacing w:line="240" w:lineRule="auto"/>
              <w:jc w:val="center"/>
              <w:rPr>
                <w:color w:val="000000"/>
                <w:lang w:val="en-GB"/>
              </w:rPr>
            </w:pPr>
            <w:r w:rsidRPr="000457E4">
              <w:rPr>
                <w:color w:val="000000"/>
                <w:lang w:val="en-GB"/>
              </w:rPr>
              <w:t>(</w:t>
            </w:r>
            <w:r>
              <w:rPr>
                <w:color w:val="000000"/>
                <w:lang w:val="en-GB"/>
              </w:rPr>
              <w:t>0.10</w:t>
            </w:r>
            <w:r w:rsidRPr="000457E4">
              <w:rPr>
                <w:color w:val="000000"/>
                <w:lang w:val="en-GB"/>
              </w:rPr>
              <w:t>)</w:t>
            </w:r>
          </w:p>
        </w:tc>
        <w:tc>
          <w:tcPr>
            <w:tcW w:w="200" w:type="dxa"/>
            <w:tcBorders>
              <w:top w:val="nil"/>
              <w:left w:val="nil"/>
              <w:bottom w:val="nil"/>
              <w:right w:val="nil"/>
            </w:tcBorders>
            <w:shd w:val="clear" w:color="auto" w:fill="auto"/>
            <w:noWrap/>
            <w:vAlign w:val="bottom"/>
            <w:hideMark/>
          </w:tcPr>
          <w:p w14:paraId="030BED01" w14:textId="77777777" w:rsidR="00F80A64" w:rsidRPr="00773C98" w:rsidRDefault="00F80A64" w:rsidP="00C623E5">
            <w:pPr>
              <w:spacing w:line="240" w:lineRule="auto"/>
              <w:jc w:val="center"/>
              <w:rPr>
                <w:color w:val="000000"/>
              </w:rPr>
            </w:pPr>
          </w:p>
        </w:tc>
        <w:tc>
          <w:tcPr>
            <w:tcW w:w="1059" w:type="dxa"/>
            <w:tcBorders>
              <w:top w:val="nil"/>
              <w:left w:val="nil"/>
              <w:bottom w:val="nil"/>
              <w:right w:val="nil"/>
            </w:tcBorders>
            <w:shd w:val="clear" w:color="auto" w:fill="auto"/>
            <w:noWrap/>
            <w:vAlign w:val="bottom"/>
            <w:hideMark/>
          </w:tcPr>
          <w:p w14:paraId="7B8FE712" w14:textId="77777777" w:rsidR="00F80A64" w:rsidRPr="00773C98" w:rsidRDefault="00F80A64" w:rsidP="00C623E5">
            <w:pPr>
              <w:spacing w:line="240" w:lineRule="auto"/>
              <w:jc w:val="center"/>
              <w:rPr>
                <w:color w:val="000000"/>
              </w:rPr>
            </w:pPr>
            <w:r>
              <w:rPr>
                <w:color w:val="000000"/>
              </w:rPr>
              <w:t>0.50</w:t>
            </w:r>
          </w:p>
        </w:tc>
        <w:tc>
          <w:tcPr>
            <w:tcW w:w="1327" w:type="dxa"/>
            <w:tcBorders>
              <w:top w:val="nil"/>
              <w:left w:val="nil"/>
              <w:bottom w:val="nil"/>
              <w:right w:val="nil"/>
            </w:tcBorders>
            <w:shd w:val="clear" w:color="auto" w:fill="auto"/>
            <w:noWrap/>
            <w:vAlign w:val="bottom"/>
            <w:hideMark/>
          </w:tcPr>
          <w:p w14:paraId="5AA0A815" w14:textId="77777777" w:rsidR="00F80A64" w:rsidRPr="00773C98" w:rsidRDefault="00F80A64" w:rsidP="00C623E5">
            <w:pPr>
              <w:spacing w:line="240" w:lineRule="auto"/>
              <w:jc w:val="center"/>
              <w:rPr>
                <w:color w:val="000000"/>
              </w:rPr>
            </w:pPr>
            <w:r w:rsidRPr="00773C98">
              <w:rPr>
                <w:color w:val="000000"/>
              </w:rPr>
              <w:t>(</w:t>
            </w:r>
            <w:r>
              <w:rPr>
                <w:color w:val="000000"/>
              </w:rPr>
              <w:t>0.10</w:t>
            </w:r>
            <w:r w:rsidRPr="00773C98">
              <w:rPr>
                <w:color w:val="000000"/>
              </w:rPr>
              <w:t>)</w:t>
            </w:r>
          </w:p>
        </w:tc>
        <w:tc>
          <w:tcPr>
            <w:tcW w:w="200" w:type="dxa"/>
            <w:tcBorders>
              <w:top w:val="nil"/>
              <w:left w:val="nil"/>
              <w:bottom w:val="nil"/>
              <w:right w:val="nil"/>
            </w:tcBorders>
            <w:shd w:val="clear" w:color="auto" w:fill="auto"/>
            <w:noWrap/>
            <w:vAlign w:val="bottom"/>
            <w:hideMark/>
          </w:tcPr>
          <w:p w14:paraId="605D18DA" w14:textId="77777777" w:rsidR="00F80A64" w:rsidRPr="00773C98" w:rsidRDefault="00F80A64" w:rsidP="00C623E5">
            <w:pPr>
              <w:spacing w:line="240" w:lineRule="auto"/>
              <w:jc w:val="center"/>
              <w:rPr>
                <w:color w:val="000000"/>
              </w:rPr>
            </w:pPr>
          </w:p>
        </w:tc>
        <w:tc>
          <w:tcPr>
            <w:tcW w:w="972" w:type="dxa"/>
            <w:tcBorders>
              <w:top w:val="nil"/>
              <w:left w:val="nil"/>
              <w:bottom w:val="nil"/>
              <w:right w:val="nil"/>
            </w:tcBorders>
            <w:shd w:val="clear" w:color="auto" w:fill="auto"/>
            <w:noWrap/>
            <w:vAlign w:val="bottom"/>
            <w:hideMark/>
          </w:tcPr>
          <w:p w14:paraId="6E8F3A42" w14:textId="77777777" w:rsidR="00F80A64" w:rsidRPr="00773C98" w:rsidRDefault="00F80A64" w:rsidP="00C623E5">
            <w:pPr>
              <w:spacing w:line="240" w:lineRule="auto"/>
              <w:jc w:val="center"/>
              <w:rPr>
                <w:color w:val="000000"/>
              </w:rPr>
            </w:pPr>
            <w:r>
              <w:rPr>
                <w:color w:val="000000"/>
              </w:rPr>
              <w:t>2.23</w:t>
            </w:r>
          </w:p>
        </w:tc>
        <w:tc>
          <w:tcPr>
            <w:tcW w:w="615" w:type="dxa"/>
            <w:tcBorders>
              <w:top w:val="nil"/>
              <w:left w:val="nil"/>
              <w:bottom w:val="nil"/>
              <w:right w:val="nil"/>
            </w:tcBorders>
            <w:shd w:val="clear" w:color="auto" w:fill="auto"/>
            <w:noWrap/>
            <w:vAlign w:val="bottom"/>
            <w:hideMark/>
          </w:tcPr>
          <w:p w14:paraId="07BAF8BB" w14:textId="77777777" w:rsidR="00F80A64" w:rsidRPr="00773C98" w:rsidRDefault="00F80A64" w:rsidP="00C623E5">
            <w:pPr>
              <w:spacing w:line="240" w:lineRule="auto"/>
              <w:jc w:val="center"/>
              <w:rPr>
                <w:color w:val="000000"/>
              </w:rPr>
            </w:pPr>
            <w:r>
              <w:rPr>
                <w:color w:val="000000"/>
              </w:rPr>
              <w:t>.03</w:t>
            </w:r>
          </w:p>
        </w:tc>
        <w:tc>
          <w:tcPr>
            <w:tcW w:w="972" w:type="dxa"/>
            <w:tcBorders>
              <w:top w:val="nil"/>
              <w:left w:val="nil"/>
              <w:bottom w:val="nil"/>
              <w:right w:val="nil"/>
            </w:tcBorders>
            <w:shd w:val="clear" w:color="auto" w:fill="auto"/>
            <w:noWrap/>
            <w:vAlign w:val="bottom"/>
            <w:hideMark/>
          </w:tcPr>
          <w:p w14:paraId="2AE4D010" w14:textId="77777777" w:rsidR="00F80A64" w:rsidRPr="00773C98" w:rsidRDefault="00F80A64" w:rsidP="00C623E5">
            <w:pPr>
              <w:spacing w:line="240" w:lineRule="auto"/>
              <w:jc w:val="center"/>
              <w:rPr>
                <w:color w:val="000000"/>
              </w:rPr>
            </w:pPr>
            <w:r>
              <w:rPr>
                <w:color w:val="000000"/>
              </w:rPr>
              <w:t>0.41</w:t>
            </w:r>
          </w:p>
        </w:tc>
      </w:tr>
      <w:tr w:rsidR="00F80A64" w:rsidRPr="00773C98" w14:paraId="578C70A2" w14:textId="77777777" w:rsidTr="00354045">
        <w:trPr>
          <w:trHeight w:val="288"/>
        </w:trPr>
        <w:tc>
          <w:tcPr>
            <w:tcW w:w="1410" w:type="dxa"/>
            <w:tcBorders>
              <w:top w:val="nil"/>
              <w:left w:val="nil"/>
              <w:bottom w:val="nil"/>
              <w:right w:val="nil"/>
            </w:tcBorders>
            <w:shd w:val="clear" w:color="auto" w:fill="auto"/>
            <w:noWrap/>
            <w:vAlign w:val="center"/>
            <w:hideMark/>
          </w:tcPr>
          <w:p w14:paraId="7B7B0B48" w14:textId="77777777" w:rsidR="00F80A64" w:rsidRPr="000457E4" w:rsidRDefault="00F80A64" w:rsidP="00371FE9">
            <w:pPr>
              <w:spacing w:line="240" w:lineRule="auto"/>
              <w:jc w:val="both"/>
              <w:rPr>
                <w:i/>
                <w:color w:val="000000"/>
                <w:lang w:val="en-GB"/>
              </w:rPr>
            </w:pPr>
            <w:r w:rsidRPr="000457E4">
              <w:rPr>
                <w:i/>
                <w:color w:val="000000"/>
                <w:lang w:val="en-GB"/>
              </w:rPr>
              <w:t>Error rate</w:t>
            </w:r>
          </w:p>
        </w:tc>
        <w:tc>
          <w:tcPr>
            <w:tcW w:w="1058" w:type="dxa"/>
            <w:tcBorders>
              <w:top w:val="nil"/>
              <w:left w:val="nil"/>
              <w:bottom w:val="nil"/>
              <w:right w:val="nil"/>
            </w:tcBorders>
            <w:shd w:val="clear" w:color="auto" w:fill="auto"/>
            <w:noWrap/>
            <w:vAlign w:val="bottom"/>
            <w:hideMark/>
          </w:tcPr>
          <w:p w14:paraId="3A6CB700" w14:textId="77777777" w:rsidR="00F80A64" w:rsidRPr="000457E4" w:rsidRDefault="00F80A64" w:rsidP="00C623E5">
            <w:pPr>
              <w:spacing w:line="240" w:lineRule="auto"/>
              <w:jc w:val="center"/>
              <w:rPr>
                <w:color w:val="000000"/>
                <w:lang w:val="en-GB"/>
              </w:rPr>
            </w:pPr>
            <w:r>
              <w:rPr>
                <w:color w:val="000000"/>
                <w:lang w:val="en-GB"/>
              </w:rPr>
              <w:t>0.15</w:t>
            </w:r>
          </w:p>
        </w:tc>
        <w:tc>
          <w:tcPr>
            <w:tcW w:w="1327" w:type="dxa"/>
            <w:tcBorders>
              <w:top w:val="nil"/>
              <w:left w:val="nil"/>
              <w:bottom w:val="nil"/>
              <w:right w:val="nil"/>
            </w:tcBorders>
            <w:shd w:val="clear" w:color="auto" w:fill="auto"/>
            <w:noWrap/>
            <w:vAlign w:val="bottom"/>
            <w:hideMark/>
          </w:tcPr>
          <w:p w14:paraId="77B55FED" w14:textId="77777777" w:rsidR="00F80A64" w:rsidRPr="000457E4" w:rsidRDefault="00F80A64" w:rsidP="00C623E5">
            <w:pPr>
              <w:spacing w:line="240" w:lineRule="auto"/>
              <w:jc w:val="center"/>
              <w:rPr>
                <w:color w:val="000000"/>
                <w:lang w:val="en-GB"/>
              </w:rPr>
            </w:pPr>
            <w:r w:rsidRPr="000457E4">
              <w:rPr>
                <w:color w:val="000000"/>
                <w:lang w:val="en-GB"/>
              </w:rPr>
              <w:t>(</w:t>
            </w:r>
            <w:r>
              <w:rPr>
                <w:color w:val="000000"/>
                <w:lang w:val="en-GB"/>
              </w:rPr>
              <w:t>0.07</w:t>
            </w:r>
            <w:r w:rsidRPr="000457E4">
              <w:rPr>
                <w:color w:val="000000"/>
                <w:lang w:val="en-GB"/>
              </w:rPr>
              <w:t>)</w:t>
            </w:r>
          </w:p>
        </w:tc>
        <w:tc>
          <w:tcPr>
            <w:tcW w:w="200" w:type="dxa"/>
            <w:tcBorders>
              <w:top w:val="nil"/>
              <w:left w:val="nil"/>
              <w:bottom w:val="nil"/>
              <w:right w:val="nil"/>
            </w:tcBorders>
            <w:shd w:val="clear" w:color="auto" w:fill="auto"/>
            <w:noWrap/>
            <w:vAlign w:val="bottom"/>
            <w:hideMark/>
          </w:tcPr>
          <w:p w14:paraId="042DFAA4" w14:textId="77777777" w:rsidR="00F80A64" w:rsidRPr="00773C98" w:rsidRDefault="00F80A64" w:rsidP="00C623E5">
            <w:pPr>
              <w:spacing w:line="240" w:lineRule="auto"/>
              <w:jc w:val="center"/>
              <w:rPr>
                <w:color w:val="000000"/>
              </w:rPr>
            </w:pPr>
          </w:p>
        </w:tc>
        <w:tc>
          <w:tcPr>
            <w:tcW w:w="1059" w:type="dxa"/>
            <w:tcBorders>
              <w:top w:val="nil"/>
              <w:left w:val="nil"/>
              <w:bottom w:val="nil"/>
              <w:right w:val="nil"/>
            </w:tcBorders>
            <w:shd w:val="clear" w:color="auto" w:fill="auto"/>
            <w:noWrap/>
            <w:vAlign w:val="bottom"/>
            <w:hideMark/>
          </w:tcPr>
          <w:p w14:paraId="72F51CA6" w14:textId="77777777" w:rsidR="00F80A64" w:rsidRPr="00773C98" w:rsidRDefault="00F80A64" w:rsidP="00C623E5">
            <w:pPr>
              <w:spacing w:line="240" w:lineRule="auto"/>
              <w:jc w:val="center"/>
              <w:rPr>
                <w:color w:val="000000"/>
              </w:rPr>
            </w:pPr>
            <w:r>
              <w:rPr>
                <w:color w:val="000000"/>
              </w:rPr>
              <w:t>0.16</w:t>
            </w:r>
          </w:p>
        </w:tc>
        <w:tc>
          <w:tcPr>
            <w:tcW w:w="1327" w:type="dxa"/>
            <w:tcBorders>
              <w:top w:val="nil"/>
              <w:left w:val="nil"/>
              <w:bottom w:val="nil"/>
              <w:right w:val="nil"/>
            </w:tcBorders>
            <w:shd w:val="clear" w:color="auto" w:fill="auto"/>
            <w:noWrap/>
            <w:vAlign w:val="bottom"/>
            <w:hideMark/>
          </w:tcPr>
          <w:p w14:paraId="4058F98D" w14:textId="77777777" w:rsidR="00F80A64" w:rsidRPr="00773C98" w:rsidRDefault="00F80A64" w:rsidP="00C623E5">
            <w:pPr>
              <w:spacing w:line="240" w:lineRule="auto"/>
              <w:jc w:val="center"/>
              <w:rPr>
                <w:color w:val="000000"/>
              </w:rPr>
            </w:pPr>
            <w:r w:rsidRPr="00773C98">
              <w:rPr>
                <w:color w:val="000000"/>
              </w:rPr>
              <w:t>(</w:t>
            </w:r>
            <w:r>
              <w:rPr>
                <w:color w:val="000000"/>
              </w:rPr>
              <w:t>0.07</w:t>
            </w:r>
            <w:r w:rsidRPr="00773C98">
              <w:rPr>
                <w:color w:val="000000"/>
              </w:rPr>
              <w:t>)</w:t>
            </w:r>
          </w:p>
        </w:tc>
        <w:tc>
          <w:tcPr>
            <w:tcW w:w="200" w:type="dxa"/>
            <w:tcBorders>
              <w:top w:val="nil"/>
              <w:left w:val="nil"/>
              <w:bottom w:val="nil"/>
              <w:right w:val="nil"/>
            </w:tcBorders>
            <w:shd w:val="clear" w:color="auto" w:fill="auto"/>
            <w:noWrap/>
            <w:vAlign w:val="bottom"/>
            <w:hideMark/>
          </w:tcPr>
          <w:p w14:paraId="306A69C5" w14:textId="77777777" w:rsidR="00F80A64" w:rsidRPr="00773C98" w:rsidRDefault="00F80A64" w:rsidP="00C623E5">
            <w:pPr>
              <w:spacing w:line="240" w:lineRule="auto"/>
              <w:jc w:val="center"/>
              <w:rPr>
                <w:color w:val="000000"/>
              </w:rPr>
            </w:pPr>
          </w:p>
        </w:tc>
        <w:tc>
          <w:tcPr>
            <w:tcW w:w="972" w:type="dxa"/>
            <w:tcBorders>
              <w:top w:val="nil"/>
              <w:left w:val="nil"/>
              <w:bottom w:val="nil"/>
              <w:right w:val="nil"/>
            </w:tcBorders>
            <w:shd w:val="clear" w:color="auto" w:fill="auto"/>
            <w:noWrap/>
            <w:vAlign w:val="bottom"/>
            <w:hideMark/>
          </w:tcPr>
          <w:p w14:paraId="7D687258" w14:textId="77777777" w:rsidR="00F80A64" w:rsidRPr="00773C98" w:rsidRDefault="00F80A64" w:rsidP="00C623E5">
            <w:pPr>
              <w:spacing w:line="240" w:lineRule="auto"/>
              <w:jc w:val="center"/>
              <w:rPr>
                <w:color w:val="000000"/>
              </w:rPr>
            </w:pPr>
            <w:r>
              <w:rPr>
                <w:color w:val="000000"/>
              </w:rPr>
              <w:t>-0.51</w:t>
            </w:r>
          </w:p>
        </w:tc>
        <w:tc>
          <w:tcPr>
            <w:tcW w:w="615" w:type="dxa"/>
            <w:tcBorders>
              <w:top w:val="nil"/>
              <w:left w:val="nil"/>
              <w:bottom w:val="nil"/>
              <w:right w:val="nil"/>
            </w:tcBorders>
            <w:shd w:val="clear" w:color="auto" w:fill="auto"/>
            <w:noWrap/>
            <w:vAlign w:val="bottom"/>
            <w:hideMark/>
          </w:tcPr>
          <w:p w14:paraId="2AF79A9F" w14:textId="77777777" w:rsidR="00F80A64" w:rsidRPr="00773C98" w:rsidRDefault="00F80A64" w:rsidP="00C623E5">
            <w:pPr>
              <w:spacing w:line="240" w:lineRule="auto"/>
              <w:jc w:val="center"/>
              <w:rPr>
                <w:color w:val="000000"/>
              </w:rPr>
            </w:pPr>
            <w:r>
              <w:rPr>
                <w:color w:val="000000"/>
              </w:rPr>
              <w:t>.61</w:t>
            </w:r>
          </w:p>
        </w:tc>
        <w:tc>
          <w:tcPr>
            <w:tcW w:w="972" w:type="dxa"/>
            <w:tcBorders>
              <w:top w:val="nil"/>
              <w:left w:val="nil"/>
              <w:bottom w:val="nil"/>
              <w:right w:val="nil"/>
            </w:tcBorders>
            <w:shd w:val="clear" w:color="auto" w:fill="auto"/>
            <w:noWrap/>
            <w:vAlign w:val="bottom"/>
            <w:hideMark/>
          </w:tcPr>
          <w:p w14:paraId="77F39AF4" w14:textId="77777777" w:rsidR="00F80A64" w:rsidRPr="00773C98" w:rsidRDefault="00F80A64" w:rsidP="00C623E5">
            <w:pPr>
              <w:spacing w:line="240" w:lineRule="auto"/>
              <w:jc w:val="center"/>
              <w:rPr>
                <w:color w:val="000000"/>
              </w:rPr>
            </w:pPr>
            <w:r>
              <w:rPr>
                <w:color w:val="000000"/>
              </w:rPr>
              <w:t>-0</w:t>
            </w:r>
          </w:p>
        </w:tc>
      </w:tr>
      <w:tr w:rsidR="00F80A64" w:rsidRPr="00B17280" w14:paraId="7A123D09" w14:textId="77777777" w:rsidTr="00354045">
        <w:trPr>
          <w:trHeight w:val="600"/>
        </w:trPr>
        <w:tc>
          <w:tcPr>
            <w:tcW w:w="9140" w:type="dxa"/>
            <w:gridSpan w:val="10"/>
            <w:tcBorders>
              <w:top w:val="single" w:sz="4" w:space="0" w:color="auto"/>
              <w:left w:val="nil"/>
              <w:bottom w:val="nil"/>
              <w:right w:val="nil"/>
            </w:tcBorders>
            <w:shd w:val="clear" w:color="auto" w:fill="auto"/>
            <w:hideMark/>
          </w:tcPr>
          <w:p w14:paraId="41C9E991" w14:textId="77777777" w:rsidR="00F80A64" w:rsidRPr="005E2D22" w:rsidRDefault="00F80A64" w:rsidP="00371FE9">
            <w:pPr>
              <w:spacing w:line="240" w:lineRule="auto"/>
              <w:jc w:val="both"/>
              <w:rPr>
                <w:color w:val="000000"/>
                <w:sz w:val="18"/>
                <w:szCs w:val="18"/>
                <w:lang w:val="en-US"/>
              </w:rPr>
            </w:pPr>
            <w:r w:rsidRPr="000457E4">
              <w:rPr>
                <w:i/>
                <w:color w:val="000000"/>
                <w:sz w:val="18"/>
                <w:szCs w:val="18"/>
                <w:lang w:val="en-GB"/>
              </w:rPr>
              <w:t>Note</w:t>
            </w:r>
            <w:r w:rsidRPr="000457E4">
              <w:rPr>
                <w:color w:val="000000"/>
                <w:sz w:val="18"/>
                <w:szCs w:val="18"/>
                <w:lang w:val="en-GB"/>
              </w:rPr>
              <w:t xml:space="preserve">. Units: </w:t>
            </w:r>
            <w:r w:rsidRPr="000457E4">
              <w:rPr>
                <w:i/>
                <w:color w:val="000000"/>
                <w:sz w:val="18"/>
                <w:szCs w:val="18"/>
                <w:lang w:val="en-GB"/>
              </w:rPr>
              <w:t>t</w:t>
            </w:r>
            <w:r w:rsidRPr="000457E4">
              <w:rPr>
                <w:color w:val="000000"/>
                <w:sz w:val="18"/>
                <w:szCs w:val="18"/>
                <w:vertAlign w:val="subscript"/>
                <w:lang w:val="en-GB"/>
              </w:rPr>
              <w:t>0</w:t>
            </w:r>
            <w:r w:rsidRPr="000457E4">
              <w:rPr>
                <w:color w:val="000000"/>
                <w:sz w:val="18"/>
                <w:szCs w:val="18"/>
                <w:lang w:val="en-GB"/>
              </w:rPr>
              <w:t xml:space="preserve"> (</w:t>
            </w:r>
            <w:proofErr w:type="spellStart"/>
            <w:r w:rsidRPr="000457E4">
              <w:rPr>
                <w:color w:val="000000"/>
                <w:sz w:val="18"/>
                <w:szCs w:val="18"/>
                <w:lang w:val="en-GB"/>
              </w:rPr>
              <w:t>ms</w:t>
            </w:r>
            <w:proofErr w:type="spellEnd"/>
            <w:r w:rsidRPr="000457E4">
              <w:rPr>
                <w:color w:val="000000"/>
                <w:sz w:val="18"/>
                <w:szCs w:val="18"/>
                <w:lang w:val="en-GB"/>
              </w:rPr>
              <w:t xml:space="preserve">), </w:t>
            </w:r>
            <w:r w:rsidRPr="000457E4">
              <w:rPr>
                <w:i/>
                <w:color w:val="000000"/>
                <w:sz w:val="18"/>
                <w:szCs w:val="18"/>
                <w:lang w:val="en-GB"/>
              </w:rPr>
              <w:t>C</w:t>
            </w:r>
            <w:r w:rsidRPr="000457E4">
              <w:rPr>
                <w:color w:val="000000"/>
                <w:sz w:val="18"/>
                <w:szCs w:val="18"/>
                <w:lang w:val="en-GB"/>
              </w:rPr>
              <w:t xml:space="preserve"> (letters/second), K (letters), </w:t>
            </w:r>
            <w:r w:rsidRPr="000457E4">
              <w:rPr>
                <w:i/>
                <w:color w:val="000000"/>
                <w:sz w:val="18"/>
                <w:szCs w:val="18"/>
                <w:lang w:val="en-GB"/>
              </w:rPr>
              <w:t>α</w:t>
            </w:r>
            <w:r w:rsidRPr="000457E4">
              <w:rPr>
                <w:color w:val="000000"/>
                <w:sz w:val="18"/>
                <w:szCs w:val="18"/>
                <w:lang w:val="en-GB"/>
              </w:rPr>
              <w:t xml:space="preserve"> runs from perfect selectivity at 0.0 to no selectivity at 1.0, </w:t>
            </w:r>
            <w:proofErr w:type="spellStart"/>
            <w:proofErr w:type="gramStart"/>
            <w:r w:rsidRPr="000457E4">
              <w:rPr>
                <w:i/>
                <w:color w:val="000000"/>
                <w:sz w:val="18"/>
                <w:szCs w:val="18"/>
                <w:lang w:val="en-GB"/>
              </w:rPr>
              <w:t>w</w:t>
            </w:r>
            <w:r w:rsidRPr="000457E4">
              <w:rPr>
                <w:color w:val="000000"/>
                <w:sz w:val="18"/>
                <w:szCs w:val="18"/>
                <w:vertAlign w:val="subscript"/>
                <w:lang w:val="en-GB"/>
              </w:rPr>
              <w:t>index</w:t>
            </w:r>
            <w:proofErr w:type="spellEnd"/>
            <w:r w:rsidRPr="000457E4">
              <w:rPr>
                <w:color w:val="000000"/>
                <w:sz w:val="18"/>
                <w:szCs w:val="18"/>
                <w:lang w:val="en-GB"/>
              </w:rPr>
              <w:t xml:space="preserve">  (</w:t>
            </w:r>
            <w:proofErr w:type="gramEnd"/>
            <w:r w:rsidRPr="000457E4">
              <w:rPr>
                <w:color w:val="000000"/>
                <w:sz w:val="18"/>
                <w:szCs w:val="18"/>
                <w:lang w:val="en-GB"/>
              </w:rPr>
              <w:t xml:space="preserve">&lt; 0.5 = right side weighting, &gt; 0.5 = </w:t>
            </w:r>
            <w:r>
              <w:rPr>
                <w:color w:val="000000"/>
                <w:sz w:val="18"/>
                <w:szCs w:val="18"/>
                <w:lang w:val="en-GB"/>
              </w:rPr>
              <w:t>left side</w:t>
            </w:r>
            <w:r w:rsidRPr="000457E4">
              <w:rPr>
                <w:color w:val="000000"/>
                <w:sz w:val="18"/>
                <w:szCs w:val="18"/>
                <w:lang w:val="en-GB"/>
              </w:rPr>
              <w:t xml:space="preserve"> </w:t>
            </w:r>
            <w:r>
              <w:rPr>
                <w:color w:val="000000"/>
                <w:sz w:val="18"/>
                <w:szCs w:val="18"/>
                <w:lang w:val="en-GB"/>
              </w:rPr>
              <w:t>weighting</w:t>
            </w:r>
            <w:r w:rsidRPr="000457E4">
              <w:rPr>
                <w:color w:val="000000"/>
                <w:sz w:val="18"/>
                <w:szCs w:val="18"/>
                <w:lang w:val="en-GB"/>
              </w:rPr>
              <w:t>).</w:t>
            </w:r>
          </w:p>
        </w:tc>
      </w:tr>
    </w:tbl>
    <w:p w14:paraId="38604781" w14:textId="3BDDAAB9" w:rsidR="00412C29" w:rsidRDefault="0072431D" w:rsidP="000C7844">
      <w:pPr>
        <w:jc w:val="both"/>
        <w:rPr>
          <w:lang w:val="en-US"/>
        </w:rPr>
      </w:pPr>
      <w:r>
        <w:rPr>
          <w:lang w:val="en-US"/>
        </w:rPr>
        <w:t xml:space="preserve">As shown in table 1, there is only one significant difference between the sexes: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index</m:t>
            </m:r>
          </m:sub>
        </m:sSub>
      </m:oMath>
      <w:r w:rsidR="001D4E52">
        <w:rPr>
          <w:lang w:val="en-US"/>
        </w:rPr>
        <w:t xml:space="preserve">. </w:t>
      </w:r>
      <w:r w:rsidR="005C1619">
        <w:rPr>
          <w:lang w:val="en-US"/>
        </w:rPr>
        <w:t xml:space="preserve">Men </w:t>
      </w:r>
      <w:r w:rsidR="008569BF">
        <w:rPr>
          <w:lang w:val="en-US"/>
        </w:rPr>
        <w:t xml:space="preserve">on average </w:t>
      </w:r>
      <w:r w:rsidR="008663D4">
        <w:rPr>
          <w:lang w:val="en-US"/>
        </w:rPr>
        <w:t xml:space="preserve">have </w:t>
      </w:r>
      <w:r w:rsidR="008F1846">
        <w:rPr>
          <w:lang w:val="en-US"/>
        </w:rPr>
        <w:t>no spatial bias</w:t>
      </w:r>
      <w:r w:rsidR="00846C5C">
        <w:rPr>
          <w:lang w:val="en-US"/>
        </w:rPr>
        <w:t>, whereas women</w:t>
      </w:r>
      <w:r w:rsidR="00690070">
        <w:rPr>
          <w:lang w:val="en-US"/>
        </w:rPr>
        <w:t xml:space="preserve"> on average</w:t>
      </w:r>
      <w:r w:rsidR="00846C5C">
        <w:rPr>
          <w:lang w:val="en-US"/>
        </w:rPr>
        <w:t xml:space="preserve"> </w:t>
      </w:r>
      <w:r w:rsidR="004631DB">
        <w:rPr>
          <w:lang w:val="en-US"/>
        </w:rPr>
        <w:t>leans</w:t>
      </w:r>
      <w:r w:rsidR="008457A4">
        <w:rPr>
          <w:lang w:val="en-US"/>
        </w:rPr>
        <w:t xml:space="preserve"> slightly</w:t>
      </w:r>
      <w:r w:rsidR="00A75353">
        <w:rPr>
          <w:lang w:val="en-US"/>
        </w:rPr>
        <w:t xml:space="preserve"> </w:t>
      </w:r>
      <w:r w:rsidR="00507D29">
        <w:rPr>
          <w:lang w:val="en-US"/>
        </w:rPr>
        <w:t>to the left.</w:t>
      </w:r>
      <w:r w:rsidR="00E5190B">
        <w:rPr>
          <w:lang w:val="en-US"/>
        </w:rPr>
        <w:t xml:space="preserve"> </w:t>
      </w:r>
      <w:r w:rsidR="00440E2C">
        <w:rPr>
          <w:lang w:val="en-US"/>
        </w:rPr>
        <w:t xml:space="preserve">The big difference in sample size should be </w:t>
      </w:r>
      <w:r w:rsidR="00534124">
        <w:rPr>
          <w:lang w:val="en-US"/>
        </w:rPr>
        <w:t>considered</w:t>
      </w:r>
      <w:r w:rsidR="008C6783">
        <w:rPr>
          <w:lang w:val="en-US"/>
        </w:rPr>
        <w:t xml:space="preserve"> in this instance</w:t>
      </w:r>
      <w:r w:rsidR="009B422A">
        <w:rPr>
          <w:lang w:val="en-US"/>
        </w:rPr>
        <w:t>, two equal samples might show different result</w:t>
      </w:r>
      <w:r w:rsidR="00F16068">
        <w:rPr>
          <w:lang w:val="en-US"/>
        </w:rPr>
        <w:t>s</w:t>
      </w:r>
      <w:r w:rsidR="009B422A">
        <w:rPr>
          <w:lang w:val="en-US"/>
        </w:rPr>
        <w:t xml:space="preserve">. </w:t>
      </w:r>
    </w:p>
    <w:p w14:paraId="6A2D88D7" w14:textId="4E3E7BB5" w:rsidR="005C79BD" w:rsidRPr="002438CC" w:rsidRDefault="00864316" w:rsidP="000C7844">
      <w:pPr>
        <w:ind w:firstLine="567"/>
        <w:jc w:val="both"/>
        <w:rPr>
          <w:lang w:val="en-US"/>
        </w:rPr>
      </w:pPr>
      <w:r>
        <w:rPr>
          <w:lang w:val="en-US"/>
        </w:rPr>
        <w:lastRenderedPageBreak/>
        <w:t xml:space="preserve">To test if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index</m:t>
            </m:r>
          </m:sub>
        </m:sSub>
      </m:oMath>
      <w:r>
        <w:rPr>
          <w:lang w:val="en-US"/>
        </w:rPr>
        <w:t xml:space="preserve"> for the whole sample </w:t>
      </w:r>
      <w:r w:rsidR="002C7A87">
        <w:rPr>
          <w:lang w:val="en-US"/>
        </w:rPr>
        <w:t xml:space="preserve">is </w:t>
      </w:r>
      <w:r w:rsidR="00A52F42">
        <w:rPr>
          <w:lang w:val="en-US"/>
        </w:rPr>
        <w:t>perfect</w:t>
      </w:r>
      <w:r w:rsidR="005C79BD">
        <w:rPr>
          <w:lang w:val="en-US"/>
        </w:rPr>
        <w:t xml:space="preserve">, a </w:t>
      </w:r>
      <w:r w:rsidR="005C79BD" w:rsidRPr="00EA4BC8">
        <w:rPr>
          <w:lang w:val="en-US"/>
        </w:rPr>
        <w:t xml:space="preserve">one-sample </w:t>
      </w:r>
      <w:r w:rsidR="005C79BD" w:rsidRPr="00EA4BC8">
        <w:rPr>
          <w:i/>
          <w:iCs/>
          <w:lang w:val="en-US"/>
        </w:rPr>
        <w:t>t</w:t>
      </w:r>
      <w:r w:rsidR="005C79BD" w:rsidRPr="00EA4BC8">
        <w:rPr>
          <w:lang w:val="en-US"/>
        </w:rPr>
        <w:t xml:space="preserve">-test </w:t>
      </w:r>
      <w:r w:rsidR="005C79BD">
        <w:rPr>
          <w:lang w:val="en-US"/>
        </w:rPr>
        <w:t xml:space="preserve">(two-tailed, alpha = .05) </w:t>
      </w:r>
      <w:r w:rsidR="005C79BD">
        <w:rPr>
          <w:lang w:val="en-US"/>
        </w:rPr>
        <w:t>was conducted</w:t>
      </w:r>
      <w:r w:rsidR="001719C3">
        <w:rPr>
          <w:lang w:val="en-US"/>
        </w:rPr>
        <w:t xml:space="preserve">. This </w:t>
      </w:r>
      <w:r w:rsidR="005C79BD">
        <w:rPr>
          <w:lang w:val="en-US"/>
        </w:rPr>
        <w:t xml:space="preserve">showed a significant difference of </w:t>
      </w:r>
      <w:r w:rsidR="00EB6933">
        <w:rPr>
          <w:lang w:val="en-US"/>
        </w:rPr>
        <w:t>W</w:t>
      </w:r>
      <w:r w:rsidR="005C79BD" w:rsidRPr="007E1E78">
        <w:rPr>
          <w:vertAlign w:val="subscript"/>
          <w:lang w:val="en-US"/>
        </w:rPr>
        <w:t>index</w:t>
      </w:r>
      <w:r w:rsidR="005C79BD">
        <w:rPr>
          <w:lang w:val="en-US"/>
        </w:rPr>
        <w:t xml:space="preserve"> from 0.50, </w:t>
      </w:r>
      <w:proofErr w:type="gramStart"/>
      <w:r w:rsidR="005C79BD">
        <w:rPr>
          <w:i/>
          <w:iCs/>
          <w:lang w:val="en-US"/>
        </w:rPr>
        <w:t>t</w:t>
      </w:r>
      <w:r w:rsidR="005C79BD">
        <w:rPr>
          <w:lang w:val="en-US"/>
        </w:rPr>
        <w:t>(</w:t>
      </w:r>
      <w:proofErr w:type="gramEnd"/>
      <w:r w:rsidR="005C79BD">
        <w:rPr>
          <w:lang w:val="en-US"/>
        </w:rPr>
        <w:t xml:space="preserve">206) = 5.33, </w:t>
      </w:r>
      <w:r w:rsidR="005C79BD">
        <w:rPr>
          <w:i/>
          <w:iCs/>
          <w:lang w:val="en-US"/>
        </w:rPr>
        <w:t>p</w:t>
      </w:r>
      <w:r w:rsidR="005C79BD">
        <w:rPr>
          <w:lang w:val="en-US"/>
        </w:rPr>
        <w:t xml:space="preserve"> &lt; .001, </w:t>
      </w:r>
      <w:r w:rsidR="005C79BD">
        <w:rPr>
          <w:i/>
          <w:iCs/>
          <w:lang w:val="en-US"/>
        </w:rPr>
        <w:t>d</w:t>
      </w:r>
      <w:r w:rsidR="005C79BD">
        <w:rPr>
          <w:lang w:val="en-US"/>
        </w:rPr>
        <w:t xml:space="preserve"> = 0.37.</w:t>
      </w:r>
      <w:r w:rsidR="009B2353">
        <w:rPr>
          <w:lang w:val="en-US"/>
        </w:rPr>
        <w:t xml:space="preserve"> This means that </w:t>
      </w:r>
      <w:r w:rsidR="00AF4EBB">
        <w:rPr>
          <w:lang w:val="en-US"/>
        </w:rPr>
        <w:t xml:space="preserve">the sample overall </w:t>
      </w:r>
      <w:r w:rsidR="00804689">
        <w:rPr>
          <w:lang w:val="en-US"/>
        </w:rPr>
        <w:t xml:space="preserve">is </w:t>
      </w:r>
      <w:r w:rsidR="005F3EFA">
        <w:rPr>
          <w:lang w:val="en-US"/>
        </w:rPr>
        <w:t>biased towards the left</w:t>
      </w:r>
      <w:r w:rsidR="00525C89">
        <w:rPr>
          <w:lang w:val="en-US"/>
        </w:rPr>
        <w:t>, which again might be due to the</w:t>
      </w:r>
      <w:r w:rsidR="00460F86">
        <w:rPr>
          <w:lang w:val="en-US"/>
        </w:rPr>
        <w:t xml:space="preserve"> sample composition</w:t>
      </w:r>
      <w:r w:rsidR="005F3EFA">
        <w:rPr>
          <w:lang w:val="en-US"/>
        </w:rPr>
        <w:t>.</w:t>
      </w:r>
    </w:p>
    <w:p w14:paraId="2717ADB0" w14:textId="4EBE50AA" w:rsidR="00F4517C" w:rsidRDefault="00F4517C" w:rsidP="00F4517C">
      <w:pPr>
        <w:pStyle w:val="Overskrift2"/>
        <w:rPr>
          <w:lang w:val="en-US"/>
        </w:rPr>
      </w:pPr>
      <w:bookmarkStart w:id="9" w:name="_Toc26292294"/>
      <w:r>
        <w:rPr>
          <w:lang w:val="en-US"/>
        </w:rPr>
        <w:t>Selectivity isn’t perfect</w:t>
      </w:r>
      <w:bookmarkEnd w:id="9"/>
    </w:p>
    <w:p w14:paraId="41E64C2C" w14:textId="36323BD3" w:rsidR="00AF14A6" w:rsidRPr="007A1164" w:rsidRDefault="00ED112F" w:rsidP="004E554D">
      <w:pPr>
        <w:jc w:val="both"/>
        <w:rPr>
          <w:lang w:val="en-US"/>
        </w:rPr>
      </w:pPr>
      <w:r>
        <w:rPr>
          <w:lang w:val="en-US"/>
        </w:rPr>
        <w:t>Under the assumption of perfect selection, and a capac</w:t>
      </w:r>
      <w:r w:rsidR="004B7B39">
        <w:rPr>
          <w:lang w:val="en-US"/>
        </w:rPr>
        <w:t>ity (K) of more than 2</w:t>
      </w:r>
      <w:r w:rsidR="00ED3048">
        <w:rPr>
          <w:lang w:val="en-US"/>
        </w:rPr>
        <w:t xml:space="preserve">, we expect to see no errors </w:t>
      </w:r>
      <w:r w:rsidR="0064266D">
        <w:rPr>
          <w:lang w:val="en-US"/>
        </w:rPr>
        <w:t xml:space="preserve">in </w:t>
      </w:r>
      <w:r w:rsidR="00ED3048">
        <w:rPr>
          <w:lang w:val="en-US"/>
        </w:rPr>
        <w:t>the 2</w:t>
      </w:r>
      <w:r w:rsidR="001F041F">
        <w:rPr>
          <w:lang w:val="en-US"/>
        </w:rPr>
        <w:t xml:space="preserve">:4 condition. </w:t>
      </w:r>
      <w:r w:rsidR="00B510C1">
        <w:rPr>
          <w:lang w:val="en-US"/>
        </w:rPr>
        <w:t>To test this</w:t>
      </w:r>
      <w:r w:rsidR="0047248E">
        <w:rPr>
          <w:lang w:val="en-US"/>
        </w:rPr>
        <w:t xml:space="preserve">, a one-sample </w:t>
      </w:r>
      <w:r w:rsidR="0047248E">
        <w:rPr>
          <w:i/>
          <w:iCs/>
          <w:lang w:val="en-US"/>
        </w:rPr>
        <w:t>t-</w:t>
      </w:r>
      <w:r w:rsidR="0047248E">
        <w:rPr>
          <w:lang w:val="en-US"/>
        </w:rPr>
        <w:t>test</w:t>
      </w:r>
      <w:r w:rsidR="00A32148">
        <w:rPr>
          <w:lang w:val="en-US"/>
        </w:rPr>
        <w:t xml:space="preserve"> </w:t>
      </w:r>
      <w:r w:rsidR="006E3DDA">
        <w:rPr>
          <w:lang w:val="en-US"/>
        </w:rPr>
        <w:t xml:space="preserve">(two-tailed, alpha = .05) </w:t>
      </w:r>
      <w:r w:rsidR="00A32148">
        <w:rPr>
          <w:lang w:val="en-US"/>
        </w:rPr>
        <w:t xml:space="preserve">on the mean </w:t>
      </w:r>
      <w:r w:rsidR="00013DC9">
        <w:rPr>
          <w:lang w:val="en-US"/>
        </w:rPr>
        <w:t>number of correctly reported letters</w:t>
      </w:r>
      <w:r w:rsidR="00617F46">
        <w:rPr>
          <w:lang w:val="en-US"/>
        </w:rPr>
        <w:t xml:space="preserve"> under this condition,</w:t>
      </w:r>
      <w:r w:rsidR="00013DC9">
        <w:rPr>
          <w:lang w:val="en-US"/>
        </w:rPr>
        <w:t xml:space="preserve"> </w:t>
      </w:r>
      <w:r w:rsidR="00E851CB">
        <w:rPr>
          <w:lang w:val="en-US"/>
        </w:rPr>
        <w:t>was conducted</w:t>
      </w:r>
      <w:r w:rsidR="006E3DDA">
        <w:rPr>
          <w:lang w:val="en-US"/>
        </w:rPr>
        <w:t xml:space="preserve">. It </w:t>
      </w:r>
      <w:r w:rsidR="00AF14A6">
        <w:rPr>
          <w:lang w:val="en-US"/>
        </w:rPr>
        <w:t>showed a significant diffe</w:t>
      </w:r>
      <w:r w:rsidR="00AF14A6" w:rsidRPr="001C678D">
        <w:rPr>
          <w:lang w:val="en-US"/>
        </w:rPr>
        <w:t xml:space="preserve">rence between Mean-2T4D and 2, </w:t>
      </w:r>
      <w:proofErr w:type="gramStart"/>
      <w:r w:rsidR="00AF14A6" w:rsidRPr="001C678D">
        <w:rPr>
          <w:i/>
          <w:iCs/>
          <w:lang w:val="en-US"/>
        </w:rPr>
        <w:t>t</w:t>
      </w:r>
      <w:r w:rsidR="00AF14A6" w:rsidRPr="001C678D">
        <w:rPr>
          <w:lang w:val="en-US"/>
        </w:rPr>
        <w:t>(</w:t>
      </w:r>
      <w:proofErr w:type="gramEnd"/>
      <w:r w:rsidR="00AF14A6" w:rsidRPr="001C678D">
        <w:rPr>
          <w:lang w:val="en-US"/>
        </w:rPr>
        <w:t xml:space="preserve">206) = -29,47, </w:t>
      </w:r>
      <w:r w:rsidR="00AF14A6" w:rsidRPr="001C678D">
        <w:rPr>
          <w:i/>
          <w:iCs/>
          <w:lang w:val="en-US"/>
        </w:rPr>
        <w:t>p</w:t>
      </w:r>
      <w:r w:rsidR="00AF14A6" w:rsidRPr="001C678D">
        <w:rPr>
          <w:lang w:val="en-US"/>
        </w:rPr>
        <w:t xml:space="preserve"> &lt; .001, </w:t>
      </w:r>
      <w:r w:rsidR="00AF14A6" w:rsidRPr="001C678D">
        <w:rPr>
          <w:i/>
          <w:iCs/>
          <w:lang w:val="en-US"/>
        </w:rPr>
        <w:t>d</w:t>
      </w:r>
      <w:r w:rsidR="00AF14A6" w:rsidRPr="001C678D">
        <w:rPr>
          <w:lang w:val="en-US"/>
        </w:rPr>
        <w:t xml:space="preserve"> = -2.05.</w:t>
      </w:r>
      <w:r w:rsidR="00A16971" w:rsidRPr="001C678D">
        <w:rPr>
          <w:lang w:val="en-US"/>
        </w:rPr>
        <w:t xml:space="preserve"> This shows selection </w:t>
      </w:r>
      <w:r w:rsidR="003F508B" w:rsidRPr="001C678D">
        <w:rPr>
          <w:lang w:val="en-US"/>
        </w:rPr>
        <w:t>isn</w:t>
      </w:r>
      <w:r w:rsidR="003F508B">
        <w:rPr>
          <w:lang w:val="en-US"/>
        </w:rPr>
        <w:t>’t perfect</w:t>
      </w:r>
      <w:r w:rsidR="005C4120">
        <w:rPr>
          <w:lang w:val="en-US"/>
        </w:rPr>
        <w:t xml:space="preserve">, even when the number of targets </w:t>
      </w:r>
      <w:r w:rsidR="00093812">
        <w:rPr>
          <w:lang w:val="en-US"/>
        </w:rPr>
        <w:t>is</w:t>
      </w:r>
      <w:r w:rsidR="005C4120">
        <w:rPr>
          <w:lang w:val="en-US"/>
        </w:rPr>
        <w:t xml:space="preserve"> well within our capacity limit</w:t>
      </w:r>
      <w:r w:rsidR="001C678D">
        <w:rPr>
          <w:lang w:val="en-US"/>
        </w:rPr>
        <w:t>.</w:t>
      </w:r>
      <w:r w:rsidR="00AF14A6" w:rsidRPr="007A1164">
        <w:rPr>
          <w:lang w:val="en-US"/>
        </w:rPr>
        <w:t xml:space="preserve"> </w:t>
      </w:r>
    </w:p>
    <w:p w14:paraId="2B74ADA0" w14:textId="0B88813A" w:rsidR="00AF14A6" w:rsidRPr="007A1164" w:rsidRDefault="00AF14A6" w:rsidP="00AF14A6">
      <w:pPr>
        <w:rPr>
          <w:lang w:val="en-US"/>
        </w:rPr>
      </w:pPr>
    </w:p>
    <w:p w14:paraId="71E81079" w14:textId="38DC765E" w:rsidR="00734925" w:rsidRPr="007A1164" w:rsidRDefault="00734925" w:rsidP="00734925">
      <w:pPr>
        <w:pStyle w:val="Overskrift1"/>
        <w:rPr>
          <w:lang w:val="en-US"/>
        </w:rPr>
      </w:pPr>
      <w:bookmarkStart w:id="10" w:name="_Toc26292295"/>
      <w:r w:rsidRPr="007A1164">
        <w:rPr>
          <w:lang w:val="en-US"/>
        </w:rPr>
        <w:t>Conclusion</w:t>
      </w:r>
      <w:bookmarkEnd w:id="10"/>
    </w:p>
    <w:p w14:paraId="1D43B4BE" w14:textId="0D18C796" w:rsidR="00EC639F" w:rsidRPr="003E04A0" w:rsidRDefault="007A1164" w:rsidP="00C33B14">
      <w:pPr>
        <w:rPr>
          <w:lang w:val="en-US"/>
        </w:rPr>
      </w:pPr>
      <w:r w:rsidRPr="007A1164">
        <w:rPr>
          <w:lang w:val="en-US"/>
        </w:rPr>
        <w:t>This experiment h</w:t>
      </w:r>
      <w:r>
        <w:rPr>
          <w:lang w:val="en-US"/>
        </w:rPr>
        <w:t xml:space="preserve">as shown that accuracy </w:t>
      </w:r>
      <w:r w:rsidR="006600EB">
        <w:rPr>
          <w:lang w:val="en-US"/>
        </w:rPr>
        <w:t xml:space="preserve">generally </w:t>
      </w:r>
      <w:r>
        <w:rPr>
          <w:lang w:val="en-US"/>
        </w:rPr>
        <w:t xml:space="preserve">does increase with </w:t>
      </w:r>
      <w:r w:rsidR="00FB0728">
        <w:rPr>
          <w:lang w:val="en-US"/>
        </w:rPr>
        <w:t>display time</w:t>
      </w:r>
      <w:r w:rsidR="00774DEA">
        <w:rPr>
          <w:lang w:val="en-US"/>
        </w:rPr>
        <w:t xml:space="preserve">, </w:t>
      </w:r>
      <w:r w:rsidR="006600EB">
        <w:rPr>
          <w:lang w:val="en-US"/>
        </w:rPr>
        <w:t xml:space="preserve">but that it can be </w:t>
      </w:r>
      <w:r w:rsidR="00F95197">
        <w:rPr>
          <w:lang w:val="en-US"/>
        </w:rPr>
        <w:t xml:space="preserve">inhibited by distractors. </w:t>
      </w:r>
      <w:r w:rsidR="006F119F">
        <w:rPr>
          <w:lang w:val="en-US"/>
        </w:rPr>
        <w:t>Furthermore</w:t>
      </w:r>
      <w:r w:rsidR="005850BB">
        <w:rPr>
          <w:lang w:val="en-US"/>
        </w:rPr>
        <w:t>,</w:t>
      </w:r>
      <w:r w:rsidR="006F119F">
        <w:rPr>
          <w:lang w:val="en-US"/>
        </w:rPr>
        <w:t xml:space="preserve"> it has shown a correlation between C and K</w:t>
      </w:r>
      <w:r w:rsidR="00911191">
        <w:rPr>
          <w:lang w:val="en-US"/>
        </w:rPr>
        <w:t xml:space="preserve"> and that alpha </w:t>
      </w:r>
      <w:r w:rsidR="00D85269">
        <w:rPr>
          <w:lang w:val="en-US"/>
        </w:rPr>
        <w:t xml:space="preserve">increases with age. </w:t>
      </w:r>
      <w:r w:rsidR="003E04A0">
        <w:rPr>
          <w:lang w:val="en-US"/>
        </w:rPr>
        <w:t>Finally,</w:t>
      </w:r>
      <w:r w:rsidR="002D2FAB">
        <w:rPr>
          <w:lang w:val="en-US"/>
        </w:rPr>
        <w:t xml:space="preserve"> it has shown </w:t>
      </w:r>
      <w:r w:rsidR="00355C7E">
        <w:rPr>
          <w:lang w:val="en-US"/>
        </w:rPr>
        <w:t xml:space="preserve">only one significant difference between the sexes,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index</m:t>
            </m:r>
          </m:sub>
        </m:sSub>
      </m:oMath>
      <w:r w:rsidR="00304055">
        <w:rPr>
          <w:lang w:val="en-US"/>
        </w:rPr>
        <w:t xml:space="preserve">, </w:t>
      </w:r>
      <w:r w:rsidR="00273A30">
        <w:rPr>
          <w:lang w:val="en-US"/>
        </w:rPr>
        <w:t xml:space="preserve">where women </w:t>
      </w:r>
      <w:r w:rsidR="00932C71">
        <w:rPr>
          <w:lang w:val="en-US"/>
        </w:rPr>
        <w:t>are biased to the left and men isn’t. But overall,</w:t>
      </w:r>
      <w:r w:rsidR="00304055">
        <w:rPr>
          <w:lang w:val="en-US"/>
        </w:rPr>
        <w:t xml:space="preserve"> attentional weights </w:t>
      </w:r>
      <w:r w:rsidR="00932C71">
        <w:rPr>
          <w:lang w:val="en-US"/>
        </w:rPr>
        <w:t xml:space="preserve">are </w:t>
      </w:r>
      <w:r w:rsidR="00C33B14">
        <w:rPr>
          <w:lang w:val="en-US"/>
        </w:rPr>
        <w:t>on average biased towards the left.</w:t>
      </w:r>
      <w:r w:rsidR="00EC639F" w:rsidRPr="003E04A0">
        <w:rPr>
          <w:lang w:val="en-US"/>
        </w:rPr>
        <w:t xml:space="preserve"> </w:t>
      </w:r>
    </w:p>
    <w:p w14:paraId="34B52899" w14:textId="77777777" w:rsidR="00563973" w:rsidRPr="003E04A0" w:rsidRDefault="00563973" w:rsidP="000E6BF8">
      <w:pPr>
        <w:rPr>
          <w:lang w:val="en-US"/>
        </w:rPr>
      </w:pPr>
    </w:p>
    <w:p w14:paraId="6E841B01" w14:textId="4C23D6BC" w:rsidR="009A6A11" w:rsidRPr="00F80A64" w:rsidRDefault="009A6A11" w:rsidP="009A6A11">
      <w:pPr>
        <w:pStyle w:val="Overskrift1"/>
      </w:pPr>
      <w:bookmarkStart w:id="11" w:name="_Toc26292296"/>
      <w:r w:rsidRPr="00F80A64">
        <w:t>References</w:t>
      </w:r>
      <w:bookmarkEnd w:id="11"/>
    </w:p>
    <w:p w14:paraId="1A84C3E0" w14:textId="20322C70" w:rsidR="00ED693E" w:rsidRPr="00ED693E" w:rsidRDefault="006D4E42" w:rsidP="00ED693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ED693E" w:rsidRPr="00ED693E">
        <w:rPr>
          <w:noProof/>
        </w:rPr>
        <w:t xml:space="preserve">Habekost, T. (2015). Clinical TVA-based studies: a general review. </w:t>
      </w:r>
      <w:r w:rsidR="00ED693E" w:rsidRPr="00ED693E">
        <w:rPr>
          <w:i/>
          <w:iCs/>
          <w:noProof/>
        </w:rPr>
        <w:t>Frontiers in Psychology</w:t>
      </w:r>
      <w:r w:rsidR="00ED693E" w:rsidRPr="00ED693E">
        <w:rPr>
          <w:noProof/>
        </w:rPr>
        <w:t xml:space="preserve">, </w:t>
      </w:r>
      <w:r w:rsidR="00ED693E" w:rsidRPr="00ED693E">
        <w:rPr>
          <w:i/>
          <w:iCs/>
          <w:noProof/>
        </w:rPr>
        <w:t>6:290</w:t>
      </w:r>
      <w:r w:rsidR="00ED693E" w:rsidRPr="00ED693E">
        <w:rPr>
          <w:noProof/>
        </w:rPr>
        <w:t>, 1–18.</w:t>
      </w:r>
    </w:p>
    <w:p w14:paraId="55BC7E40" w14:textId="54D54D7B" w:rsidR="00DE069D" w:rsidRPr="00F80A64" w:rsidRDefault="006D4E42" w:rsidP="006D4E42">
      <w:r>
        <w:fldChar w:fldCharType="end"/>
      </w:r>
    </w:p>
    <w:sectPr w:rsidR="00DE069D" w:rsidRPr="00F80A64" w:rsidSect="00FC39BF">
      <w:headerReference w:type="default" r:id="rId14"/>
      <w:footerReference w:type="even" r:id="rId15"/>
      <w:footerReference w:type="default" r:id="rId16"/>
      <w:headerReference w:type="first" r:id="rId17"/>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5A94E" w14:textId="77777777" w:rsidR="00606F75" w:rsidRDefault="00606F75" w:rsidP="001078C3">
      <w:pPr>
        <w:spacing w:line="240" w:lineRule="auto"/>
      </w:pPr>
      <w:r>
        <w:separator/>
      </w:r>
    </w:p>
  </w:endnote>
  <w:endnote w:type="continuationSeparator" w:id="0">
    <w:p w14:paraId="270D9E1B" w14:textId="77777777" w:rsidR="00606F75" w:rsidRDefault="00606F75" w:rsidP="001078C3">
      <w:pPr>
        <w:spacing w:line="240" w:lineRule="auto"/>
      </w:pPr>
      <w:r>
        <w:continuationSeparator/>
      </w:r>
    </w:p>
  </w:endnote>
  <w:endnote w:type="continuationNotice" w:id="1">
    <w:p w14:paraId="0B13F730" w14:textId="77777777" w:rsidR="00606F75" w:rsidRDefault="00606F7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CC32E" w14:textId="77777777" w:rsidR="00FC39BF" w:rsidRDefault="00DB6DDB" w:rsidP="00FC39BF">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A489121" w14:textId="77777777" w:rsidR="00FC39BF" w:rsidRDefault="00606F75" w:rsidP="00FC39BF">
    <w:pPr>
      <w:pStyle w:val="Sidefod"/>
      <w:ind w:right="360"/>
    </w:pPr>
  </w:p>
  <w:p w14:paraId="3CF47B86" w14:textId="77777777" w:rsidR="00E24AA6" w:rsidRDefault="00606F7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ED363" w14:textId="77777777" w:rsidR="00FC39BF" w:rsidRDefault="00DB6DDB" w:rsidP="00E25657">
    <w:pPr>
      <w:pStyle w:val="Sidefod"/>
      <w:ind w:right="360"/>
      <w:jc w:val="right"/>
    </w:pPr>
    <w:r>
      <w:fldChar w:fldCharType="begin"/>
    </w:r>
    <w:r>
      <w:instrText xml:space="preserve"> PAGE  </w:instrText>
    </w:r>
    <w:r>
      <w:fldChar w:fldCharType="separate"/>
    </w:r>
    <w:r>
      <w:rPr>
        <w:noProof/>
      </w:rPr>
      <w:t>2</w:t>
    </w:r>
    <w:r>
      <w:fldChar w:fldCharType="end"/>
    </w:r>
  </w:p>
  <w:p w14:paraId="02D07F0B" w14:textId="77777777" w:rsidR="00E24AA6" w:rsidRDefault="00606F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AE73E" w14:textId="77777777" w:rsidR="00606F75" w:rsidRDefault="00606F75" w:rsidP="001078C3">
      <w:pPr>
        <w:spacing w:line="240" w:lineRule="auto"/>
      </w:pPr>
      <w:r>
        <w:separator/>
      </w:r>
    </w:p>
  </w:footnote>
  <w:footnote w:type="continuationSeparator" w:id="0">
    <w:p w14:paraId="10CF5488" w14:textId="77777777" w:rsidR="00606F75" w:rsidRDefault="00606F75" w:rsidP="001078C3">
      <w:pPr>
        <w:spacing w:line="240" w:lineRule="auto"/>
      </w:pPr>
      <w:r>
        <w:continuationSeparator/>
      </w:r>
    </w:p>
  </w:footnote>
  <w:footnote w:type="continuationNotice" w:id="1">
    <w:p w14:paraId="52957E21" w14:textId="77777777" w:rsidR="00606F75" w:rsidRDefault="00606F7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EA9FF" w14:textId="6FA5C9BB" w:rsidR="00EC41DE" w:rsidRPr="005F00BE" w:rsidRDefault="00EC41DE" w:rsidP="00EC41DE">
    <w:pPr>
      <w:pStyle w:val="Sidehoved"/>
      <w:spacing w:line="360" w:lineRule="auto"/>
      <w:rPr>
        <w:sz w:val="20"/>
        <w:szCs w:val="20"/>
        <w:lang w:val="en-US"/>
      </w:rPr>
    </w:pPr>
    <w:r w:rsidRPr="005F00BE">
      <w:rPr>
        <w:sz w:val="20"/>
        <w:szCs w:val="20"/>
        <w:lang w:val="en-US"/>
      </w:rPr>
      <w:t>Sebastian Beck</w:t>
    </w:r>
    <w:r w:rsidR="005A5175">
      <w:rPr>
        <w:sz w:val="20"/>
        <w:szCs w:val="20"/>
        <w:lang w:val="en-US"/>
      </w:rPr>
      <w:t xml:space="preserve"> (PJG511)</w:t>
    </w:r>
    <w:r w:rsidRPr="005F00BE">
      <w:rPr>
        <w:sz w:val="20"/>
        <w:szCs w:val="20"/>
        <w:lang w:val="en-US"/>
      </w:rPr>
      <w:tab/>
    </w:r>
    <w:r w:rsidR="00545F62">
      <w:rPr>
        <w:sz w:val="20"/>
        <w:szCs w:val="20"/>
        <w:lang w:val="en-US"/>
      </w:rPr>
      <w:t>TVA</w:t>
    </w:r>
    <w:r w:rsidRPr="005F00BE">
      <w:rPr>
        <w:sz w:val="20"/>
        <w:szCs w:val="20"/>
        <w:lang w:val="en-US"/>
      </w:rPr>
      <w:tab/>
      <w:t>4/12-2019</w:t>
    </w:r>
  </w:p>
  <w:p w14:paraId="37BC6D76" w14:textId="0DF950DA" w:rsidR="00EC41DE" w:rsidRPr="005F00BE" w:rsidRDefault="00EC41DE" w:rsidP="00EC41DE">
    <w:pPr>
      <w:pStyle w:val="Sidehoved"/>
      <w:spacing w:line="360" w:lineRule="auto"/>
      <w:rPr>
        <w:sz w:val="20"/>
        <w:szCs w:val="20"/>
        <w:lang w:val="en-US"/>
      </w:rPr>
    </w:pPr>
    <w:r w:rsidRPr="005F00BE">
      <w:rPr>
        <w:sz w:val="20"/>
        <w:szCs w:val="20"/>
        <w:lang w:val="en-US"/>
      </w:rPr>
      <w:t xml:space="preserve">BA </w:t>
    </w:r>
    <w:proofErr w:type="spellStart"/>
    <w:r w:rsidRPr="005F00BE">
      <w:rPr>
        <w:sz w:val="20"/>
        <w:szCs w:val="20"/>
        <w:lang w:val="en-US"/>
      </w:rPr>
      <w:t>Kognitionspsykologi</w:t>
    </w:r>
    <w:proofErr w:type="spellEnd"/>
    <w:r w:rsidRPr="005F00BE">
      <w:rPr>
        <w:sz w:val="20"/>
        <w:szCs w:val="20"/>
        <w:lang w:val="en-US"/>
      </w:rPr>
      <w:tab/>
    </w:r>
    <w:r w:rsidRPr="005F00BE">
      <w:rPr>
        <w:sz w:val="20"/>
        <w:szCs w:val="20"/>
        <w:lang w:val="en-US"/>
      </w:rPr>
      <w:tab/>
      <w:t xml:space="preserve">Characters: </w:t>
    </w:r>
    <w:r w:rsidR="00460F86">
      <w:rPr>
        <w:sz w:val="20"/>
        <w:szCs w:val="20"/>
        <w:lang w:val="en-US"/>
      </w:rPr>
      <w:t>7.19</w:t>
    </w:r>
    <w:r w:rsidR="00522E5A">
      <w:rPr>
        <w:sz w:val="20"/>
        <w:szCs w:val="20"/>
        <w:lang w:val="en-US"/>
      </w:rPr>
      <w:t>0</w:t>
    </w:r>
  </w:p>
  <w:p w14:paraId="33029F35" w14:textId="77777777" w:rsidR="00E25657" w:rsidRPr="00EC41DE" w:rsidRDefault="00606F75">
    <w:pPr>
      <w:pStyle w:val="Sidehoved"/>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4E9E7" w14:textId="77777777" w:rsidR="005075A8" w:rsidRDefault="00606F75" w:rsidP="001078C3">
    <w:pPr>
      <w:pStyle w:val="Sidehoved"/>
    </w:pPr>
  </w:p>
  <w:tbl>
    <w:tblPr>
      <w:tblW w:w="7864" w:type="dxa"/>
      <w:tblInd w:w="-170" w:type="dxa"/>
      <w:tblBorders>
        <w:top w:val="single" w:sz="4" w:space="0" w:color="FFFFFF"/>
        <w:left w:val="single" w:sz="4" w:space="0" w:color="FFFFFF"/>
        <w:bottom w:val="single" w:sz="4" w:space="0" w:color="FFFFFF"/>
        <w:right w:val="single" w:sz="4" w:space="0" w:color="FFFFFF"/>
      </w:tblBorders>
      <w:tblCellMar>
        <w:left w:w="0" w:type="dxa"/>
        <w:right w:w="0" w:type="dxa"/>
      </w:tblCellMar>
      <w:tblLook w:val="01E0" w:firstRow="1" w:lastRow="1" w:firstColumn="1" w:lastColumn="1" w:noHBand="0" w:noVBand="0"/>
    </w:tblPr>
    <w:tblGrid>
      <w:gridCol w:w="7864"/>
    </w:tblGrid>
    <w:tr w:rsidR="005075A8" w14:paraId="62F2EEE8" w14:textId="77777777" w:rsidTr="00080270">
      <w:trPr>
        <w:trHeight w:val="748"/>
      </w:trPr>
      <w:tc>
        <w:tcPr>
          <w:tcW w:w="7864" w:type="dxa"/>
          <w:shd w:val="clear" w:color="auto" w:fill="auto"/>
        </w:tcPr>
        <w:p w14:paraId="46EE3183" w14:textId="77777777" w:rsidR="005075A8" w:rsidRPr="008173D7" w:rsidRDefault="00DB6DDB" w:rsidP="005B0D50">
          <w:pPr>
            <w:pStyle w:val="Template-Hoved1"/>
            <w:rPr>
              <w:lang w:val="da-DK"/>
            </w:rPr>
          </w:pPr>
          <w:bookmarkStart w:id="12" w:name="SD_OFF_Line1"/>
          <w:r w:rsidRPr="008173D7">
            <w:rPr>
              <w:lang w:val="da-DK"/>
            </w:rPr>
            <w:t>KØBENHAVNS UNIVERSITET</w:t>
          </w:r>
          <w:bookmarkEnd w:id="12"/>
        </w:p>
        <w:p w14:paraId="3AEE4C53" w14:textId="77777777" w:rsidR="005075A8" w:rsidRPr="008173D7" w:rsidRDefault="00DB6DDB" w:rsidP="005B0D50">
          <w:pPr>
            <w:pStyle w:val="Template-Hoved2"/>
            <w:rPr>
              <w:lang w:val="da-DK"/>
            </w:rPr>
          </w:pPr>
          <w:bookmarkStart w:id="13" w:name="SD_OFF_Line3"/>
          <w:r w:rsidRPr="008173D7">
            <w:rPr>
              <w:lang w:val="da-DK"/>
            </w:rPr>
            <w:t>DET SAMFUNDSVIDENSKABELIGE FAKULTET</w:t>
          </w:r>
          <w:bookmarkEnd w:id="13"/>
        </w:p>
      </w:tc>
    </w:tr>
  </w:tbl>
  <w:p w14:paraId="1CC4238F" w14:textId="77777777" w:rsidR="005075A8" w:rsidRDefault="00DB6DDB">
    <w:pPr>
      <w:pStyle w:val="Sidehoved"/>
    </w:pPr>
    <w:bookmarkStart w:id="14" w:name="A4Rapport"/>
    <w:bookmarkEnd w:id="14"/>
    <w:r>
      <w:rPr>
        <w:noProof/>
        <w:lang w:val="en-GB" w:eastAsia="en-GB"/>
      </w:rPr>
      <w:drawing>
        <wp:anchor distT="0" distB="0" distL="114300" distR="114300" simplePos="0" relativeHeight="251658240" behindDoc="0" locked="0" layoutInCell="1" allowOverlap="1" wp14:anchorId="514E8305" wp14:editId="4C05306E">
          <wp:simplePos x="0" y="0"/>
          <wp:positionH relativeFrom="page">
            <wp:posOffset>5666105</wp:posOffset>
          </wp:positionH>
          <wp:positionV relativeFrom="page">
            <wp:posOffset>925195</wp:posOffset>
          </wp:positionV>
          <wp:extent cx="1162050" cy="1600200"/>
          <wp:effectExtent l="0" t="0" r="0" b="0"/>
          <wp:wrapNone/>
          <wp:docPr id="1" name="Logo_HIDE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62050" cy="160020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8241" behindDoc="0" locked="0" layoutInCell="1" allowOverlap="1" wp14:anchorId="7E1FCF16" wp14:editId="25588B1C">
              <wp:simplePos x="0" y="0"/>
              <wp:positionH relativeFrom="page">
                <wp:posOffset>-36195</wp:posOffset>
              </wp:positionH>
              <wp:positionV relativeFrom="page">
                <wp:posOffset>2402205</wp:posOffset>
              </wp:positionV>
              <wp:extent cx="7632065" cy="6985"/>
              <wp:effectExtent l="0" t="0" r="0" b="0"/>
              <wp:wrapNone/>
              <wp:docPr id="2" name="SD_Line_1_HID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32065" cy="6985"/>
                      </a:xfrm>
                      <a:prstGeom prst="rect">
                        <a:avLst/>
                      </a:prstGeom>
                      <a:solidFill>
                        <a:srgbClr val="E13718"/>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F80D5" id="SD_Line_1_HIDE" o:spid="_x0000_s1026" style="position:absolute;margin-left:-2.85pt;margin-top:189.15pt;width:600.95pt;height:.5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" fillcolor="#e13718" stroked="f" strokeweight="2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75275"/>
    <w:multiLevelType w:val="hybridMultilevel"/>
    <w:tmpl w:val="CEB82648"/>
    <w:lvl w:ilvl="0" w:tplc="B86A721A">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B684347"/>
    <w:multiLevelType w:val="hybridMultilevel"/>
    <w:tmpl w:val="930A72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AB41E6F"/>
    <w:multiLevelType w:val="hybridMultilevel"/>
    <w:tmpl w:val="A19689FC"/>
    <w:lvl w:ilvl="0" w:tplc="BE987784">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2265494"/>
    <w:multiLevelType w:val="hybridMultilevel"/>
    <w:tmpl w:val="169A6136"/>
    <w:lvl w:ilvl="0" w:tplc="1728CE26">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DF30B0"/>
    <w:multiLevelType w:val="hybridMultilevel"/>
    <w:tmpl w:val="F294CD12"/>
    <w:lvl w:ilvl="0" w:tplc="F24E4E9A">
      <w:numFmt w:val="bullet"/>
      <w:lvlText w:val=""/>
      <w:lvlJc w:val="left"/>
      <w:pPr>
        <w:ind w:left="720" w:hanging="360"/>
      </w:pPr>
      <w:rPr>
        <w:rFonts w:ascii="Wingdings" w:eastAsiaTheme="minorHAnsi" w:hAnsi="Wingdings"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E4F3E34"/>
    <w:multiLevelType w:val="hybridMultilevel"/>
    <w:tmpl w:val="930A72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22F7A13"/>
    <w:multiLevelType w:val="hybridMultilevel"/>
    <w:tmpl w:val="A8ECDE6A"/>
    <w:lvl w:ilvl="0" w:tplc="BE987784">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4B7123A"/>
    <w:multiLevelType w:val="hybridMultilevel"/>
    <w:tmpl w:val="E38E6F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A8A01"/>
    <w:rsid w:val="0000415E"/>
    <w:rsid w:val="00013DC9"/>
    <w:rsid w:val="00024257"/>
    <w:rsid w:val="0004088C"/>
    <w:rsid w:val="00055635"/>
    <w:rsid w:val="00072EF7"/>
    <w:rsid w:val="000777F1"/>
    <w:rsid w:val="000803B1"/>
    <w:rsid w:val="000863FA"/>
    <w:rsid w:val="00093812"/>
    <w:rsid w:val="000A3EEF"/>
    <w:rsid w:val="000B0538"/>
    <w:rsid w:val="000C7844"/>
    <w:rsid w:val="000D3B4B"/>
    <w:rsid w:val="000E6BF8"/>
    <w:rsid w:val="000F5CC3"/>
    <w:rsid w:val="001067B3"/>
    <w:rsid w:val="001078C3"/>
    <w:rsid w:val="00121F7F"/>
    <w:rsid w:val="001361F0"/>
    <w:rsid w:val="00137BE5"/>
    <w:rsid w:val="00140311"/>
    <w:rsid w:val="00151FE9"/>
    <w:rsid w:val="00160316"/>
    <w:rsid w:val="001719C3"/>
    <w:rsid w:val="00185C77"/>
    <w:rsid w:val="001C3658"/>
    <w:rsid w:val="001C678D"/>
    <w:rsid w:val="001D0AB7"/>
    <w:rsid w:val="001D4E52"/>
    <w:rsid w:val="001F041F"/>
    <w:rsid w:val="001F517A"/>
    <w:rsid w:val="00227D76"/>
    <w:rsid w:val="00247360"/>
    <w:rsid w:val="002568E6"/>
    <w:rsid w:val="00257B67"/>
    <w:rsid w:val="00260C01"/>
    <w:rsid w:val="00264035"/>
    <w:rsid w:val="00264C9D"/>
    <w:rsid w:val="002715DB"/>
    <w:rsid w:val="00273A30"/>
    <w:rsid w:val="00282DAD"/>
    <w:rsid w:val="00285919"/>
    <w:rsid w:val="002859CF"/>
    <w:rsid w:val="002A0394"/>
    <w:rsid w:val="002A5554"/>
    <w:rsid w:val="002B01EC"/>
    <w:rsid w:val="002B106D"/>
    <w:rsid w:val="002B533D"/>
    <w:rsid w:val="002C60A0"/>
    <w:rsid w:val="002C78A3"/>
    <w:rsid w:val="002C7A87"/>
    <w:rsid w:val="002D2FAB"/>
    <w:rsid w:val="002F1935"/>
    <w:rsid w:val="002F2657"/>
    <w:rsid w:val="00301E6E"/>
    <w:rsid w:val="00304055"/>
    <w:rsid w:val="00326453"/>
    <w:rsid w:val="0033545C"/>
    <w:rsid w:val="00351E8D"/>
    <w:rsid w:val="00354045"/>
    <w:rsid w:val="00355C7E"/>
    <w:rsid w:val="003572B2"/>
    <w:rsid w:val="00367A0C"/>
    <w:rsid w:val="003754B8"/>
    <w:rsid w:val="00387EFF"/>
    <w:rsid w:val="00391E4C"/>
    <w:rsid w:val="00395619"/>
    <w:rsid w:val="003A0574"/>
    <w:rsid w:val="003B5202"/>
    <w:rsid w:val="003B7CD4"/>
    <w:rsid w:val="003D35B1"/>
    <w:rsid w:val="003E04A0"/>
    <w:rsid w:val="003E3F0C"/>
    <w:rsid w:val="003E4348"/>
    <w:rsid w:val="003E5DCC"/>
    <w:rsid w:val="003F1798"/>
    <w:rsid w:val="003F328F"/>
    <w:rsid w:val="003F508B"/>
    <w:rsid w:val="004051C1"/>
    <w:rsid w:val="00412C29"/>
    <w:rsid w:val="00416878"/>
    <w:rsid w:val="00416E20"/>
    <w:rsid w:val="00430787"/>
    <w:rsid w:val="00440E2C"/>
    <w:rsid w:val="00460F86"/>
    <w:rsid w:val="004631DB"/>
    <w:rsid w:val="00471595"/>
    <w:rsid w:val="0047248E"/>
    <w:rsid w:val="004733A3"/>
    <w:rsid w:val="00477AEE"/>
    <w:rsid w:val="00481C3A"/>
    <w:rsid w:val="00484FBC"/>
    <w:rsid w:val="00493A95"/>
    <w:rsid w:val="004A17EF"/>
    <w:rsid w:val="004A5A36"/>
    <w:rsid w:val="004B074F"/>
    <w:rsid w:val="004B7B39"/>
    <w:rsid w:val="004C68A6"/>
    <w:rsid w:val="004E554D"/>
    <w:rsid w:val="004F2BE5"/>
    <w:rsid w:val="004F5CBC"/>
    <w:rsid w:val="004F706B"/>
    <w:rsid w:val="005012EA"/>
    <w:rsid w:val="00507D29"/>
    <w:rsid w:val="00522E5A"/>
    <w:rsid w:val="00525C89"/>
    <w:rsid w:val="00527E5C"/>
    <w:rsid w:val="0053347D"/>
    <w:rsid w:val="00534124"/>
    <w:rsid w:val="00536377"/>
    <w:rsid w:val="00545F62"/>
    <w:rsid w:val="00547BA1"/>
    <w:rsid w:val="00556CFF"/>
    <w:rsid w:val="00563973"/>
    <w:rsid w:val="00564880"/>
    <w:rsid w:val="005850BB"/>
    <w:rsid w:val="005858B3"/>
    <w:rsid w:val="0059073B"/>
    <w:rsid w:val="005942F8"/>
    <w:rsid w:val="00596ACE"/>
    <w:rsid w:val="005A033E"/>
    <w:rsid w:val="005A422B"/>
    <w:rsid w:val="005A5175"/>
    <w:rsid w:val="005C1619"/>
    <w:rsid w:val="005C4120"/>
    <w:rsid w:val="005C5126"/>
    <w:rsid w:val="005C646C"/>
    <w:rsid w:val="005C79BD"/>
    <w:rsid w:val="005D77B2"/>
    <w:rsid w:val="005D78EF"/>
    <w:rsid w:val="005E1C17"/>
    <w:rsid w:val="005E4378"/>
    <w:rsid w:val="005F3EFA"/>
    <w:rsid w:val="005F4B9C"/>
    <w:rsid w:val="00600A42"/>
    <w:rsid w:val="00606F75"/>
    <w:rsid w:val="00617C52"/>
    <w:rsid w:val="00617F46"/>
    <w:rsid w:val="006314BC"/>
    <w:rsid w:val="00635B47"/>
    <w:rsid w:val="0064266D"/>
    <w:rsid w:val="00653110"/>
    <w:rsid w:val="006600EB"/>
    <w:rsid w:val="00660E24"/>
    <w:rsid w:val="00667CC9"/>
    <w:rsid w:val="00671259"/>
    <w:rsid w:val="00683345"/>
    <w:rsid w:val="00690070"/>
    <w:rsid w:val="00693890"/>
    <w:rsid w:val="00695463"/>
    <w:rsid w:val="006A045E"/>
    <w:rsid w:val="006A5415"/>
    <w:rsid w:val="006A569A"/>
    <w:rsid w:val="006A5912"/>
    <w:rsid w:val="006C3ADE"/>
    <w:rsid w:val="006C71BA"/>
    <w:rsid w:val="006D3355"/>
    <w:rsid w:val="006D4E42"/>
    <w:rsid w:val="006E3DDA"/>
    <w:rsid w:val="006F034F"/>
    <w:rsid w:val="006F119F"/>
    <w:rsid w:val="006F323B"/>
    <w:rsid w:val="006F646A"/>
    <w:rsid w:val="006F6A79"/>
    <w:rsid w:val="00700FCD"/>
    <w:rsid w:val="0072431D"/>
    <w:rsid w:val="00724440"/>
    <w:rsid w:val="00725B10"/>
    <w:rsid w:val="00734925"/>
    <w:rsid w:val="00740027"/>
    <w:rsid w:val="007429E2"/>
    <w:rsid w:val="00744A58"/>
    <w:rsid w:val="0075058B"/>
    <w:rsid w:val="00774DEA"/>
    <w:rsid w:val="00790DF6"/>
    <w:rsid w:val="00793519"/>
    <w:rsid w:val="007A1164"/>
    <w:rsid w:val="007A29E5"/>
    <w:rsid w:val="007C09B1"/>
    <w:rsid w:val="007F1873"/>
    <w:rsid w:val="007F36A1"/>
    <w:rsid w:val="00804689"/>
    <w:rsid w:val="00804C48"/>
    <w:rsid w:val="00810528"/>
    <w:rsid w:val="00814A19"/>
    <w:rsid w:val="008337AB"/>
    <w:rsid w:val="0083512D"/>
    <w:rsid w:val="008457A4"/>
    <w:rsid w:val="00846C5C"/>
    <w:rsid w:val="00855FF2"/>
    <w:rsid w:val="008569BF"/>
    <w:rsid w:val="00864316"/>
    <w:rsid w:val="008663D4"/>
    <w:rsid w:val="00870FE9"/>
    <w:rsid w:val="00871362"/>
    <w:rsid w:val="008758A8"/>
    <w:rsid w:val="00884576"/>
    <w:rsid w:val="00896269"/>
    <w:rsid w:val="00897D29"/>
    <w:rsid w:val="008B71AE"/>
    <w:rsid w:val="008C2588"/>
    <w:rsid w:val="008C6783"/>
    <w:rsid w:val="008E1D00"/>
    <w:rsid w:val="008E5251"/>
    <w:rsid w:val="008E7C7E"/>
    <w:rsid w:val="008F1846"/>
    <w:rsid w:val="008F72B3"/>
    <w:rsid w:val="00910FF0"/>
    <w:rsid w:val="00911191"/>
    <w:rsid w:val="00932C71"/>
    <w:rsid w:val="0094793B"/>
    <w:rsid w:val="0095557D"/>
    <w:rsid w:val="00970AB2"/>
    <w:rsid w:val="009754CD"/>
    <w:rsid w:val="00982158"/>
    <w:rsid w:val="00993848"/>
    <w:rsid w:val="00993D89"/>
    <w:rsid w:val="00995D23"/>
    <w:rsid w:val="00996678"/>
    <w:rsid w:val="009A6A11"/>
    <w:rsid w:val="009B2353"/>
    <w:rsid w:val="009B422A"/>
    <w:rsid w:val="009D16A7"/>
    <w:rsid w:val="009D58A6"/>
    <w:rsid w:val="009F1A67"/>
    <w:rsid w:val="00A010F8"/>
    <w:rsid w:val="00A15785"/>
    <w:rsid w:val="00A16971"/>
    <w:rsid w:val="00A17569"/>
    <w:rsid w:val="00A224BB"/>
    <w:rsid w:val="00A32148"/>
    <w:rsid w:val="00A52F42"/>
    <w:rsid w:val="00A5302A"/>
    <w:rsid w:val="00A576B6"/>
    <w:rsid w:val="00A67F36"/>
    <w:rsid w:val="00A75353"/>
    <w:rsid w:val="00A948FE"/>
    <w:rsid w:val="00AA19A1"/>
    <w:rsid w:val="00AA5E5F"/>
    <w:rsid w:val="00AC7A22"/>
    <w:rsid w:val="00AD1954"/>
    <w:rsid w:val="00AD3D61"/>
    <w:rsid w:val="00AD4B14"/>
    <w:rsid w:val="00AD687B"/>
    <w:rsid w:val="00AF14A6"/>
    <w:rsid w:val="00AF23E9"/>
    <w:rsid w:val="00AF4EBB"/>
    <w:rsid w:val="00B13100"/>
    <w:rsid w:val="00B17280"/>
    <w:rsid w:val="00B2120B"/>
    <w:rsid w:val="00B27A97"/>
    <w:rsid w:val="00B31220"/>
    <w:rsid w:val="00B36227"/>
    <w:rsid w:val="00B403E5"/>
    <w:rsid w:val="00B42255"/>
    <w:rsid w:val="00B510C1"/>
    <w:rsid w:val="00B64610"/>
    <w:rsid w:val="00B711D0"/>
    <w:rsid w:val="00B91A3E"/>
    <w:rsid w:val="00B96910"/>
    <w:rsid w:val="00BA5425"/>
    <w:rsid w:val="00BB61CC"/>
    <w:rsid w:val="00BE487F"/>
    <w:rsid w:val="00BF2502"/>
    <w:rsid w:val="00BF3DE9"/>
    <w:rsid w:val="00BF5025"/>
    <w:rsid w:val="00BF750E"/>
    <w:rsid w:val="00C20A2D"/>
    <w:rsid w:val="00C33B14"/>
    <w:rsid w:val="00C37632"/>
    <w:rsid w:val="00C623E5"/>
    <w:rsid w:val="00C639A5"/>
    <w:rsid w:val="00C73ADB"/>
    <w:rsid w:val="00C770E6"/>
    <w:rsid w:val="00C80A74"/>
    <w:rsid w:val="00C83359"/>
    <w:rsid w:val="00C83A86"/>
    <w:rsid w:val="00CA1F91"/>
    <w:rsid w:val="00CA5065"/>
    <w:rsid w:val="00CA6E5E"/>
    <w:rsid w:val="00CB54A1"/>
    <w:rsid w:val="00CD3352"/>
    <w:rsid w:val="00CF0058"/>
    <w:rsid w:val="00CF1684"/>
    <w:rsid w:val="00D10B54"/>
    <w:rsid w:val="00D15F2E"/>
    <w:rsid w:val="00D3211E"/>
    <w:rsid w:val="00D511B1"/>
    <w:rsid w:val="00D52469"/>
    <w:rsid w:val="00D5433F"/>
    <w:rsid w:val="00D777DF"/>
    <w:rsid w:val="00D85269"/>
    <w:rsid w:val="00D86D0B"/>
    <w:rsid w:val="00D90823"/>
    <w:rsid w:val="00D916CA"/>
    <w:rsid w:val="00D94E88"/>
    <w:rsid w:val="00DA0935"/>
    <w:rsid w:val="00DA23CA"/>
    <w:rsid w:val="00DA4A7F"/>
    <w:rsid w:val="00DA7044"/>
    <w:rsid w:val="00DB52A6"/>
    <w:rsid w:val="00DB6DDB"/>
    <w:rsid w:val="00DC11BC"/>
    <w:rsid w:val="00DC3170"/>
    <w:rsid w:val="00DC4374"/>
    <w:rsid w:val="00DE069D"/>
    <w:rsid w:val="00DE0BDA"/>
    <w:rsid w:val="00DF1851"/>
    <w:rsid w:val="00DF1D63"/>
    <w:rsid w:val="00E270DF"/>
    <w:rsid w:val="00E355C0"/>
    <w:rsid w:val="00E5190B"/>
    <w:rsid w:val="00E70233"/>
    <w:rsid w:val="00E74168"/>
    <w:rsid w:val="00E80D62"/>
    <w:rsid w:val="00E851CB"/>
    <w:rsid w:val="00E869F3"/>
    <w:rsid w:val="00E96E09"/>
    <w:rsid w:val="00EB6933"/>
    <w:rsid w:val="00EB725B"/>
    <w:rsid w:val="00EC20D1"/>
    <w:rsid w:val="00EC41DE"/>
    <w:rsid w:val="00EC58A9"/>
    <w:rsid w:val="00EC639F"/>
    <w:rsid w:val="00EC68D1"/>
    <w:rsid w:val="00ED112F"/>
    <w:rsid w:val="00ED3048"/>
    <w:rsid w:val="00ED693E"/>
    <w:rsid w:val="00ED7CB2"/>
    <w:rsid w:val="00EE7A0B"/>
    <w:rsid w:val="00EF6018"/>
    <w:rsid w:val="00F06FD9"/>
    <w:rsid w:val="00F16068"/>
    <w:rsid w:val="00F24A2C"/>
    <w:rsid w:val="00F4517C"/>
    <w:rsid w:val="00F67B52"/>
    <w:rsid w:val="00F71098"/>
    <w:rsid w:val="00F764EB"/>
    <w:rsid w:val="00F80A64"/>
    <w:rsid w:val="00F83315"/>
    <w:rsid w:val="00F95197"/>
    <w:rsid w:val="00F966F1"/>
    <w:rsid w:val="00FA01A1"/>
    <w:rsid w:val="00FA7C51"/>
    <w:rsid w:val="00FB0728"/>
    <w:rsid w:val="00FC2FDD"/>
    <w:rsid w:val="00FC4211"/>
    <w:rsid w:val="00FC464F"/>
    <w:rsid w:val="00FC7EBF"/>
    <w:rsid w:val="00FD6DC6"/>
    <w:rsid w:val="00FE0FFE"/>
    <w:rsid w:val="13A2C7E3"/>
    <w:rsid w:val="23FAC606"/>
    <w:rsid w:val="2EA51D17"/>
    <w:rsid w:val="319D8961"/>
    <w:rsid w:val="334A8A01"/>
    <w:rsid w:val="396C4500"/>
    <w:rsid w:val="4F7F02BA"/>
    <w:rsid w:val="5DB75E29"/>
    <w:rsid w:val="61B8F6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8A01"/>
  <w15:chartTrackingRefBased/>
  <w15:docId w15:val="{76392F8B-78F6-456F-86B3-19E239AA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1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C3"/>
    <w:pPr>
      <w:spacing w:after="0" w:line="360" w:lineRule="auto"/>
    </w:pPr>
    <w:rPr>
      <w:rFonts w:ascii="Times New Roman" w:eastAsia="Times New Roman" w:hAnsi="Times New Roman" w:cs="Times New Roman"/>
      <w:sz w:val="24"/>
      <w:szCs w:val="24"/>
      <w:lang w:eastAsia="da-DK"/>
    </w:rPr>
  </w:style>
  <w:style w:type="paragraph" w:styleId="Overskrift1">
    <w:name w:val="heading 1"/>
    <w:basedOn w:val="Normal"/>
    <w:next w:val="Normal"/>
    <w:link w:val="Overskrift1Tegn"/>
    <w:uiPriority w:val="1"/>
    <w:qFormat/>
    <w:rsid w:val="002B01EC"/>
    <w:pPr>
      <w:keepNext/>
      <w:spacing w:before="360" w:after="240" w:line="240" w:lineRule="atLeast"/>
      <w:outlineLvl w:val="0"/>
    </w:pPr>
    <w:rPr>
      <w:rFonts w:ascii="Arial" w:hAnsi="Arial" w:cs="Arial"/>
      <w:b/>
      <w:bCs/>
      <w:color w:val="000000"/>
      <w:sz w:val="36"/>
    </w:rPr>
  </w:style>
  <w:style w:type="paragraph" w:styleId="Overskrift2">
    <w:name w:val="heading 2"/>
    <w:basedOn w:val="Normal"/>
    <w:next w:val="Normal"/>
    <w:link w:val="Overskrift2Tegn"/>
    <w:uiPriority w:val="1"/>
    <w:qFormat/>
    <w:rsid w:val="002B01EC"/>
    <w:pPr>
      <w:keepNext/>
      <w:spacing w:before="360" w:after="60"/>
      <w:outlineLvl w:val="1"/>
    </w:pPr>
    <w:rPr>
      <w:rFonts w:ascii="Arial" w:hAnsi="Arial" w:cs="Arial"/>
      <w:b/>
      <w:bCs/>
      <w:iCs/>
      <w:szCs w:val="28"/>
    </w:rPr>
  </w:style>
  <w:style w:type="paragraph" w:styleId="Overskrift3">
    <w:name w:val="heading 3"/>
    <w:basedOn w:val="Normal"/>
    <w:next w:val="Normal"/>
    <w:link w:val="Overskrift3Tegn"/>
    <w:uiPriority w:val="1"/>
    <w:qFormat/>
    <w:rsid w:val="002B01EC"/>
    <w:pPr>
      <w:keepNext/>
      <w:spacing w:before="240" w:after="60"/>
      <w:outlineLvl w:val="2"/>
    </w:pPr>
    <w:rPr>
      <w:rFonts w:ascii="Arial" w:hAnsi="Arial" w:cs="Arial"/>
      <w:b/>
      <w:bCs/>
      <w:sz w:val="20"/>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1"/>
    <w:rsid w:val="001078C3"/>
    <w:rPr>
      <w:rFonts w:ascii="Arial" w:eastAsia="Times New Roman" w:hAnsi="Arial" w:cs="Arial"/>
      <w:b/>
      <w:bCs/>
      <w:color w:val="000000"/>
      <w:sz w:val="36"/>
      <w:szCs w:val="24"/>
      <w:lang w:eastAsia="da-DK"/>
    </w:rPr>
  </w:style>
  <w:style w:type="character" w:customStyle="1" w:styleId="Overskrift2Tegn">
    <w:name w:val="Overskrift 2 Tegn"/>
    <w:basedOn w:val="Standardskrifttypeiafsnit"/>
    <w:link w:val="Overskrift2"/>
    <w:uiPriority w:val="1"/>
    <w:rsid w:val="001078C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uiPriority w:val="1"/>
    <w:rsid w:val="001078C3"/>
    <w:rPr>
      <w:rFonts w:ascii="Arial" w:eastAsia="Times New Roman" w:hAnsi="Arial" w:cs="Arial"/>
      <w:b/>
      <w:bCs/>
      <w:sz w:val="20"/>
      <w:szCs w:val="26"/>
      <w:lang w:eastAsia="da-DK"/>
    </w:rPr>
  </w:style>
  <w:style w:type="paragraph" w:styleId="Sidehoved">
    <w:name w:val="header"/>
    <w:basedOn w:val="Normal"/>
    <w:link w:val="SidehovedTegn"/>
    <w:uiPriority w:val="99"/>
    <w:unhideWhenUsed/>
    <w:rsid w:val="002B01EC"/>
    <w:pPr>
      <w:tabs>
        <w:tab w:val="center" w:pos="4680"/>
        <w:tab w:val="right" w:pos="9360"/>
      </w:tabs>
      <w:spacing w:line="240" w:lineRule="auto"/>
    </w:pPr>
  </w:style>
  <w:style w:type="character" w:customStyle="1" w:styleId="SidehovedTegn">
    <w:name w:val="Sidehoved Tegn"/>
    <w:basedOn w:val="Standardskrifttypeiafsnit"/>
    <w:link w:val="Sidehoved"/>
    <w:uiPriority w:val="99"/>
    <w:rsid w:val="001078C3"/>
    <w:rPr>
      <w:rFonts w:ascii="Times New Roman" w:eastAsia="Times New Roman" w:hAnsi="Times New Roman" w:cs="Times New Roman"/>
      <w:sz w:val="24"/>
      <w:szCs w:val="24"/>
      <w:lang w:eastAsia="da-DK"/>
    </w:rPr>
  </w:style>
  <w:style w:type="paragraph" w:styleId="Sidefod">
    <w:name w:val="footer"/>
    <w:basedOn w:val="Normal"/>
    <w:link w:val="SidefodTegn"/>
    <w:uiPriority w:val="99"/>
    <w:unhideWhenUsed/>
    <w:rsid w:val="002B01EC"/>
    <w:pPr>
      <w:tabs>
        <w:tab w:val="center" w:pos="4680"/>
        <w:tab w:val="right" w:pos="9360"/>
      </w:tabs>
      <w:spacing w:line="240" w:lineRule="auto"/>
    </w:pPr>
  </w:style>
  <w:style w:type="character" w:customStyle="1" w:styleId="SidefodTegn">
    <w:name w:val="Sidefod Tegn"/>
    <w:basedOn w:val="Standardskrifttypeiafsnit"/>
    <w:link w:val="Sidefod"/>
    <w:uiPriority w:val="99"/>
    <w:rsid w:val="001078C3"/>
    <w:rPr>
      <w:rFonts w:ascii="Times New Roman" w:eastAsia="Times New Roman" w:hAnsi="Times New Roman" w:cs="Times New Roman"/>
      <w:sz w:val="24"/>
      <w:szCs w:val="24"/>
      <w:lang w:eastAsia="da-DK"/>
    </w:rPr>
  </w:style>
  <w:style w:type="paragraph" w:customStyle="1" w:styleId="KUtitel">
    <w:name w:val="KU titel"/>
    <w:basedOn w:val="Normal"/>
    <w:uiPriority w:val="99"/>
    <w:semiHidden/>
    <w:rsid w:val="002B01EC"/>
    <w:pPr>
      <w:spacing w:line="560" w:lineRule="exact"/>
    </w:pPr>
    <w:rPr>
      <w:rFonts w:ascii="Arial" w:hAnsi="Arial" w:cs="Arial"/>
      <w:b/>
      <w:spacing w:val="12"/>
      <w:sz w:val="48"/>
      <w:szCs w:val="51"/>
    </w:rPr>
  </w:style>
  <w:style w:type="paragraph" w:customStyle="1" w:styleId="KUundertitel">
    <w:name w:val="KU undertitel"/>
    <w:basedOn w:val="Normal"/>
    <w:uiPriority w:val="99"/>
    <w:semiHidden/>
    <w:rsid w:val="002B01EC"/>
    <w:pPr>
      <w:spacing w:line="560" w:lineRule="exact"/>
    </w:pPr>
    <w:rPr>
      <w:rFonts w:ascii="Arial" w:hAnsi="Arial" w:cs="Arial"/>
      <w:spacing w:val="14"/>
      <w:sz w:val="36"/>
      <w:szCs w:val="40"/>
    </w:rPr>
  </w:style>
  <w:style w:type="paragraph" w:customStyle="1" w:styleId="Template-Hoved1">
    <w:name w:val="Template - Hoved 1"/>
    <w:basedOn w:val="Normal"/>
    <w:next w:val="Normal"/>
    <w:autoRedefine/>
    <w:uiPriority w:val="99"/>
    <w:semiHidden/>
    <w:rsid w:val="002B01EC"/>
    <w:pPr>
      <w:spacing w:line="300" w:lineRule="exact"/>
    </w:pPr>
    <w:rPr>
      <w:caps/>
      <w:noProof/>
      <w:spacing w:val="42"/>
      <w:lang w:val="en-GB"/>
    </w:rPr>
  </w:style>
  <w:style w:type="paragraph" w:customStyle="1" w:styleId="Template-Hoved2">
    <w:name w:val="Template - Hoved 2"/>
    <w:basedOn w:val="Normal"/>
    <w:next w:val="Normal"/>
    <w:autoRedefine/>
    <w:uiPriority w:val="99"/>
    <w:semiHidden/>
    <w:rsid w:val="002B01EC"/>
    <w:pPr>
      <w:spacing w:line="280" w:lineRule="exact"/>
    </w:pPr>
    <w:rPr>
      <w:caps/>
      <w:noProof/>
      <w:spacing w:val="42"/>
      <w:sz w:val="18"/>
      <w:szCs w:val="20"/>
      <w:lang w:val="en-GB"/>
    </w:rPr>
  </w:style>
  <w:style w:type="paragraph" w:styleId="Indholdsfortegnelse1">
    <w:name w:val="toc 1"/>
    <w:basedOn w:val="Normal"/>
    <w:next w:val="Normal"/>
    <w:uiPriority w:val="39"/>
    <w:rsid w:val="002B01EC"/>
    <w:pPr>
      <w:tabs>
        <w:tab w:val="right" w:leader="dot" w:pos="9628"/>
      </w:tabs>
      <w:spacing w:before="360" w:line="240" w:lineRule="atLeast"/>
    </w:pPr>
    <w:rPr>
      <w:rFonts w:ascii="Arial" w:hAnsi="Arial" w:cs="Arial"/>
      <w:b/>
      <w:bCs/>
      <w:caps/>
      <w:szCs w:val="28"/>
    </w:rPr>
  </w:style>
  <w:style w:type="paragraph" w:styleId="Indholdsfortegnelse2">
    <w:name w:val="toc 2"/>
    <w:basedOn w:val="Normal"/>
    <w:next w:val="Normal"/>
    <w:uiPriority w:val="39"/>
    <w:rsid w:val="002B01EC"/>
    <w:pPr>
      <w:spacing w:before="240"/>
    </w:pPr>
    <w:rPr>
      <w:b/>
      <w:bCs/>
      <w:sz w:val="20"/>
    </w:rPr>
  </w:style>
  <w:style w:type="paragraph" w:styleId="Indholdsfortegnelse3">
    <w:name w:val="toc 3"/>
    <w:basedOn w:val="Normal"/>
    <w:next w:val="Normal"/>
    <w:uiPriority w:val="10"/>
    <w:semiHidden/>
    <w:rsid w:val="002B01EC"/>
    <w:pPr>
      <w:ind w:left="240"/>
    </w:pPr>
    <w:rPr>
      <w:sz w:val="20"/>
    </w:rPr>
  </w:style>
  <w:style w:type="character" w:styleId="Hyperlink">
    <w:name w:val="Hyperlink"/>
    <w:uiPriority w:val="99"/>
    <w:rsid w:val="001078C3"/>
    <w:rPr>
      <w:color w:val="0000FF"/>
      <w:u w:val="single"/>
    </w:rPr>
  </w:style>
  <w:style w:type="character" w:styleId="Sidetal">
    <w:name w:val="page number"/>
    <w:basedOn w:val="Standardskrifttypeiafsnit"/>
    <w:uiPriority w:val="99"/>
    <w:semiHidden/>
    <w:rsid w:val="001078C3"/>
  </w:style>
  <w:style w:type="table" w:styleId="Tabel-Gitter">
    <w:name w:val="Table Grid"/>
    <w:basedOn w:val="Tabel-Normal"/>
    <w:uiPriority w:val="99"/>
    <w:rsid w:val="001078C3"/>
    <w:pPr>
      <w:spacing w:after="0" w:line="300" w:lineRule="atLeast"/>
    </w:pPr>
    <w:rPr>
      <w:rFonts w:ascii="Times New Roman" w:eastAsia="Times New Roman" w:hAnsi="Times New Roman" w:cs="Times New Roman"/>
      <w:sz w:val="24"/>
      <w:szCs w:val="24"/>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pplinfo">
    <w:name w:val="Suppl. info."/>
    <w:basedOn w:val="KUundertitel"/>
    <w:uiPriority w:val="99"/>
    <w:semiHidden/>
    <w:rsid w:val="001078C3"/>
    <w:rPr>
      <w:sz w:val="28"/>
    </w:rPr>
  </w:style>
  <w:style w:type="paragraph" w:styleId="Markeringsbobletekst">
    <w:name w:val="Balloon Text"/>
    <w:basedOn w:val="Normal"/>
    <w:link w:val="MarkeringsbobletekstTegn"/>
    <w:uiPriority w:val="99"/>
    <w:semiHidden/>
    <w:unhideWhenUsed/>
    <w:rsid w:val="0000415E"/>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0415E"/>
    <w:rPr>
      <w:rFonts w:ascii="Segoe UI" w:eastAsia="Times New Roman" w:hAnsi="Segoe UI" w:cs="Segoe UI"/>
      <w:sz w:val="18"/>
      <w:szCs w:val="18"/>
      <w:lang w:eastAsia="da-DK"/>
    </w:rPr>
  </w:style>
  <w:style w:type="character" w:styleId="Kommentarhenvisning">
    <w:name w:val="annotation reference"/>
    <w:basedOn w:val="Standardskrifttypeiafsnit"/>
    <w:uiPriority w:val="99"/>
    <w:semiHidden/>
    <w:unhideWhenUsed/>
    <w:rsid w:val="00F83315"/>
    <w:rPr>
      <w:sz w:val="16"/>
      <w:szCs w:val="16"/>
    </w:rPr>
  </w:style>
  <w:style w:type="paragraph" w:styleId="Kommentartekst">
    <w:name w:val="annotation text"/>
    <w:basedOn w:val="Normal"/>
    <w:link w:val="KommentartekstTegn"/>
    <w:uiPriority w:val="99"/>
    <w:semiHidden/>
    <w:unhideWhenUsed/>
    <w:rsid w:val="00F83315"/>
    <w:pPr>
      <w:spacing w:after="160" w:line="240" w:lineRule="auto"/>
    </w:pPr>
    <w:rPr>
      <w:rFonts w:asciiTheme="minorHAnsi" w:eastAsiaTheme="minorHAnsi" w:hAnsiTheme="minorHAnsi" w:cstheme="minorBidi"/>
      <w:sz w:val="20"/>
      <w:szCs w:val="20"/>
      <w:lang w:eastAsia="en-US"/>
    </w:rPr>
  </w:style>
  <w:style w:type="character" w:customStyle="1" w:styleId="KommentartekstTegn">
    <w:name w:val="Kommentartekst Tegn"/>
    <w:basedOn w:val="Standardskrifttypeiafsnit"/>
    <w:link w:val="Kommentartekst"/>
    <w:uiPriority w:val="99"/>
    <w:semiHidden/>
    <w:rsid w:val="00F83315"/>
    <w:rPr>
      <w:sz w:val="20"/>
      <w:szCs w:val="20"/>
    </w:rPr>
  </w:style>
  <w:style w:type="paragraph" w:styleId="Listeafsnit">
    <w:name w:val="List Paragraph"/>
    <w:basedOn w:val="Normal"/>
    <w:uiPriority w:val="34"/>
    <w:qFormat/>
    <w:rsid w:val="00354045"/>
    <w:pPr>
      <w:spacing w:after="160" w:line="259" w:lineRule="auto"/>
      <w:ind w:left="720"/>
      <w:contextualSpacing/>
    </w:pPr>
    <w:rPr>
      <w:rFonts w:asciiTheme="minorHAnsi" w:eastAsiaTheme="minorHAnsi" w:hAnsiTheme="minorHAnsi" w:cstheme="minorBidi"/>
      <w:sz w:val="22"/>
      <w:szCs w:val="22"/>
      <w:lang w:eastAsia="en-US"/>
    </w:rPr>
  </w:style>
  <w:style w:type="character" w:styleId="Pladsholdertekst">
    <w:name w:val="Placeholder Text"/>
    <w:basedOn w:val="Standardskrifttypeiafsnit"/>
    <w:uiPriority w:val="99"/>
    <w:semiHidden/>
    <w:rsid w:val="00CF0058"/>
    <w:rPr>
      <w:color w:val="808080"/>
    </w:rPr>
  </w:style>
  <w:style w:type="paragraph" w:styleId="Billedtekst">
    <w:name w:val="caption"/>
    <w:basedOn w:val="Normal"/>
    <w:next w:val="Normal"/>
    <w:uiPriority w:val="35"/>
    <w:unhideWhenUsed/>
    <w:qFormat/>
    <w:rsid w:val="00C73ADB"/>
    <w:pPr>
      <w:spacing w:after="200" w:line="240" w:lineRule="auto"/>
    </w:pPr>
    <w:rPr>
      <w:i/>
      <w:iCs/>
      <w:color w:val="44546A" w:themeColor="text2"/>
      <w:sz w:val="18"/>
      <w:szCs w:val="18"/>
    </w:rPr>
  </w:style>
  <w:style w:type="paragraph" w:styleId="Kommentaremne">
    <w:name w:val="annotation subject"/>
    <w:basedOn w:val="Kommentartekst"/>
    <w:next w:val="Kommentartekst"/>
    <w:link w:val="KommentaremneTegn"/>
    <w:uiPriority w:val="99"/>
    <w:semiHidden/>
    <w:unhideWhenUsed/>
    <w:rsid w:val="000863FA"/>
    <w:pPr>
      <w:spacing w:after="0"/>
    </w:pPr>
    <w:rPr>
      <w:rFonts w:ascii="Times New Roman" w:eastAsia="Times New Roman" w:hAnsi="Times New Roman" w:cs="Times New Roman"/>
      <w:b/>
      <w:bCs/>
      <w:lang w:eastAsia="da-DK"/>
    </w:rPr>
  </w:style>
  <w:style w:type="character" w:customStyle="1" w:styleId="KommentaremneTegn">
    <w:name w:val="Kommentaremne Tegn"/>
    <w:basedOn w:val="KommentartekstTegn"/>
    <w:link w:val="Kommentaremne"/>
    <w:uiPriority w:val="99"/>
    <w:semiHidden/>
    <w:rsid w:val="000863FA"/>
    <w:rPr>
      <w:rFonts w:ascii="Times New Roman" w:eastAsia="Times New Roman" w:hAnsi="Times New Roman" w:cs="Times New Roman"/>
      <w:b/>
      <w:bCs/>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7598">
      <w:bodyDiv w:val="1"/>
      <w:marLeft w:val="0"/>
      <w:marRight w:val="0"/>
      <w:marTop w:val="0"/>
      <w:marBottom w:val="0"/>
      <w:divBdr>
        <w:top w:val="none" w:sz="0" w:space="0" w:color="auto"/>
        <w:left w:val="none" w:sz="0" w:space="0" w:color="auto"/>
        <w:bottom w:val="none" w:sz="0" w:space="0" w:color="auto"/>
        <w:right w:val="none" w:sz="0" w:space="0" w:color="auto"/>
      </w:divBdr>
      <w:divsChild>
        <w:div w:id="1318463266">
          <w:marLeft w:val="0"/>
          <w:marRight w:val="-16200"/>
          <w:marTop w:val="0"/>
          <w:marBottom w:val="0"/>
          <w:divBdr>
            <w:top w:val="none" w:sz="0" w:space="0" w:color="auto"/>
            <w:left w:val="none" w:sz="0" w:space="0" w:color="auto"/>
            <w:bottom w:val="none" w:sz="0" w:space="0" w:color="auto"/>
            <w:right w:val="none" w:sz="0" w:space="0" w:color="auto"/>
          </w:divBdr>
        </w:div>
        <w:div w:id="1730954682">
          <w:marLeft w:val="0"/>
          <w:marRight w:val="-16200"/>
          <w:marTop w:val="0"/>
          <w:marBottom w:val="0"/>
          <w:divBdr>
            <w:top w:val="none" w:sz="0" w:space="0" w:color="auto"/>
            <w:left w:val="none" w:sz="0" w:space="0" w:color="auto"/>
            <w:bottom w:val="none" w:sz="0" w:space="0" w:color="auto"/>
            <w:right w:val="none" w:sz="0" w:space="0" w:color="auto"/>
          </w:divBdr>
        </w:div>
        <w:div w:id="174151617">
          <w:marLeft w:val="0"/>
          <w:marRight w:val="-16200"/>
          <w:marTop w:val="0"/>
          <w:marBottom w:val="0"/>
          <w:divBdr>
            <w:top w:val="none" w:sz="0" w:space="0" w:color="auto"/>
            <w:left w:val="none" w:sz="0" w:space="0" w:color="auto"/>
            <w:bottom w:val="none" w:sz="0" w:space="0" w:color="auto"/>
            <w:right w:val="none" w:sz="0" w:space="0" w:color="auto"/>
          </w:divBdr>
        </w:div>
        <w:div w:id="858591787">
          <w:marLeft w:val="0"/>
          <w:marRight w:val="-16200"/>
          <w:marTop w:val="0"/>
          <w:marBottom w:val="0"/>
          <w:divBdr>
            <w:top w:val="none" w:sz="0" w:space="0" w:color="auto"/>
            <w:left w:val="none" w:sz="0" w:space="0" w:color="auto"/>
            <w:bottom w:val="none" w:sz="0" w:space="0" w:color="auto"/>
            <w:right w:val="none" w:sz="0" w:space="0" w:color="auto"/>
          </w:divBdr>
        </w:div>
        <w:div w:id="1989895228">
          <w:marLeft w:val="0"/>
          <w:marRight w:val="-16200"/>
          <w:marTop w:val="0"/>
          <w:marBottom w:val="0"/>
          <w:divBdr>
            <w:top w:val="none" w:sz="0" w:space="0" w:color="auto"/>
            <w:left w:val="none" w:sz="0" w:space="0" w:color="auto"/>
            <w:bottom w:val="none" w:sz="0" w:space="0" w:color="auto"/>
            <w:right w:val="none" w:sz="0" w:space="0" w:color="auto"/>
          </w:divBdr>
        </w:div>
        <w:div w:id="2057462394">
          <w:marLeft w:val="0"/>
          <w:marRight w:val="-16200"/>
          <w:marTop w:val="0"/>
          <w:marBottom w:val="0"/>
          <w:divBdr>
            <w:top w:val="none" w:sz="0" w:space="0" w:color="auto"/>
            <w:left w:val="none" w:sz="0" w:space="0" w:color="auto"/>
            <w:bottom w:val="none" w:sz="0" w:space="0" w:color="auto"/>
            <w:right w:val="none" w:sz="0" w:space="0" w:color="auto"/>
          </w:divBdr>
        </w:div>
        <w:div w:id="264770771">
          <w:marLeft w:val="0"/>
          <w:marRight w:val="-16200"/>
          <w:marTop w:val="0"/>
          <w:marBottom w:val="0"/>
          <w:divBdr>
            <w:top w:val="none" w:sz="0" w:space="0" w:color="auto"/>
            <w:left w:val="none" w:sz="0" w:space="0" w:color="auto"/>
            <w:bottom w:val="none" w:sz="0" w:space="0" w:color="auto"/>
            <w:right w:val="none" w:sz="0" w:space="0" w:color="auto"/>
          </w:divBdr>
        </w:div>
        <w:div w:id="2019961668">
          <w:marLeft w:val="0"/>
          <w:marRight w:val="-16200"/>
          <w:marTop w:val="0"/>
          <w:marBottom w:val="0"/>
          <w:divBdr>
            <w:top w:val="none" w:sz="0" w:space="0" w:color="auto"/>
            <w:left w:val="none" w:sz="0" w:space="0" w:color="auto"/>
            <w:bottom w:val="none" w:sz="0" w:space="0" w:color="auto"/>
            <w:right w:val="none" w:sz="0" w:space="0" w:color="auto"/>
          </w:divBdr>
        </w:div>
        <w:div w:id="1561091334">
          <w:marLeft w:val="0"/>
          <w:marRight w:val="-16200"/>
          <w:marTop w:val="0"/>
          <w:marBottom w:val="0"/>
          <w:divBdr>
            <w:top w:val="none" w:sz="0" w:space="0" w:color="auto"/>
            <w:left w:val="none" w:sz="0" w:space="0" w:color="auto"/>
            <w:bottom w:val="none" w:sz="0" w:space="0" w:color="auto"/>
            <w:right w:val="none" w:sz="0" w:space="0" w:color="auto"/>
          </w:divBdr>
        </w:div>
        <w:div w:id="1324628135">
          <w:marLeft w:val="0"/>
          <w:marRight w:val="-16200"/>
          <w:marTop w:val="0"/>
          <w:marBottom w:val="0"/>
          <w:divBdr>
            <w:top w:val="none" w:sz="0" w:space="0" w:color="auto"/>
            <w:left w:val="none" w:sz="0" w:space="0" w:color="auto"/>
            <w:bottom w:val="none" w:sz="0" w:space="0" w:color="auto"/>
            <w:right w:val="none" w:sz="0" w:space="0" w:color="auto"/>
          </w:divBdr>
        </w:div>
        <w:div w:id="2146123880">
          <w:marLeft w:val="0"/>
          <w:marRight w:val="-16200"/>
          <w:marTop w:val="0"/>
          <w:marBottom w:val="0"/>
          <w:divBdr>
            <w:top w:val="none" w:sz="0" w:space="0" w:color="auto"/>
            <w:left w:val="none" w:sz="0" w:space="0" w:color="auto"/>
            <w:bottom w:val="none" w:sz="0" w:space="0" w:color="auto"/>
            <w:right w:val="none" w:sz="0" w:space="0" w:color="auto"/>
          </w:divBdr>
        </w:div>
        <w:div w:id="1625694854">
          <w:marLeft w:val="0"/>
          <w:marRight w:val="-16200"/>
          <w:marTop w:val="0"/>
          <w:marBottom w:val="0"/>
          <w:divBdr>
            <w:top w:val="none" w:sz="0" w:space="0" w:color="auto"/>
            <w:left w:val="none" w:sz="0" w:space="0" w:color="auto"/>
            <w:bottom w:val="none" w:sz="0" w:space="0" w:color="auto"/>
            <w:right w:val="none" w:sz="0" w:space="0" w:color="auto"/>
          </w:divBdr>
        </w:div>
        <w:div w:id="29308571">
          <w:marLeft w:val="0"/>
          <w:marRight w:val="-16200"/>
          <w:marTop w:val="0"/>
          <w:marBottom w:val="0"/>
          <w:divBdr>
            <w:top w:val="none" w:sz="0" w:space="0" w:color="auto"/>
            <w:left w:val="none" w:sz="0" w:space="0" w:color="auto"/>
            <w:bottom w:val="none" w:sz="0" w:space="0" w:color="auto"/>
            <w:right w:val="none" w:sz="0" w:space="0" w:color="auto"/>
          </w:divBdr>
        </w:div>
        <w:div w:id="1867791433">
          <w:marLeft w:val="0"/>
          <w:marRight w:val="-16200"/>
          <w:marTop w:val="0"/>
          <w:marBottom w:val="0"/>
          <w:divBdr>
            <w:top w:val="none" w:sz="0" w:space="0" w:color="auto"/>
            <w:left w:val="none" w:sz="0" w:space="0" w:color="auto"/>
            <w:bottom w:val="none" w:sz="0" w:space="0" w:color="auto"/>
            <w:right w:val="none" w:sz="0" w:space="0" w:color="auto"/>
          </w:divBdr>
        </w:div>
        <w:div w:id="1419669229">
          <w:marLeft w:val="0"/>
          <w:marRight w:val="-16200"/>
          <w:marTop w:val="0"/>
          <w:marBottom w:val="0"/>
          <w:divBdr>
            <w:top w:val="none" w:sz="0" w:space="0" w:color="auto"/>
            <w:left w:val="none" w:sz="0" w:space="0" w:color="auto"/>
            <w:bottom w:val="none" w:sz="0" w:space="0" w:color="auto"/>
            <w:right w:val="none" w:sz="0" w:space="0" w:color="auto"/>
          </w:divBdr>
        </w:div>
        <w:div w:id="460461396">
          <w:marLeft w:val="0"/>
          <w:marRight w:val="-16200"/>
          <w:marTop w:val="0"/>
          <w:marBottom w:val="0"/>
          <w:divBdr>
            <w:top w:val="none" w:sz="0" w:space="0" w:color="auto"/>
            <w:left w:val="none" w:sz="0" w:space="0" w:color="auto"/>
            <w:bottom w:val="none" w:sz="0" w:space="0" w:color="auto"/>
            <w:right w:val="none" w:sz="0" w:space="0" w:color="auto"/>
          </w:divBdr>
        </w:div>
        <w:div w:id="950862267">
          <w:marLeft w:val="0"/>
          <w:marRight w:val="-16200"/>
          <w:marTop w:val="0"/>
          <w:marBottom w:val="0"/>
          <w:divBdr>
            <w:top w:val="none" w:sz="0" w:space="0" w:color="auto"/>
            <w:left w:val="none" w:sz="0" w:space="0" w:color="auto"/>
            <w:bottom w:val="none" w:sz="0" w:space="0" w:color="auto"/>
            <w:right w:val="none" w:sz="0" w:space="0" w:color="auto"/>
          </w:divBdr>
        </w:div>
        <w:div w:id="1542596960">
          <w:marLeft w:val="0"/>
          <w:marRight w:val="-16200"/>
          <w:marTop w:val="0"/>
          <w:marBottom w:val="0"/>
          <w:divBdr>
            <w:top w:val="none" w:sz="0" w:space="0" w:color="auto"/>
            <w:left w:val="none" w:sz="0" w:space="0" w:color="auto"/>
            <w:bottom w:val="none" w:sz="0" w:space="0" w:color="auto"/>
            <w:right w:val="none" w:sz="0" w:space="0" w:color="auto"/>
          </w:divBdr>
        </w:div>
        <w:div w:id="1748503682">
          <w:marLeft w:val="0"/>
          <w:marRight w:val="-16200"/>
          <w:marTop w:val="0"/>
          <w:marBottom w:val="0"/>
          <w:divBdr>
            <w:top w:val="none" w:sz="0" w:space="0" w:color="auto"/>
            <w:left w:val="none" w:sz="0" w:space="0" w:color="auto"/>
            <w:bottom w:val="none" w:sz="0" w:space="0" w:color="auto"/>
            <w:right w:val="none" w:sz="0" w:space="0" w:color="auto"/>
          </w:divBdr>
        </w:div>
        <w:div w:id="1936357969">
          <w:marLeft w:val="0"/>
          <w:marRight w:val="-16200"/>
          <w:marTop w:val="0"/>
          <w:marBottom w:val="0"/>
          <w:divBdr>
            <w:top w:val="none" w:sz="0" w:space="0" w:color="auto"/>
            <w:left w:val="none" w:sz="0" w:space="0" w:color="auto"/>
            <w:bottom w:val="none" w:sz="0" w:space="0" w:color="auto"/>
            <w:right w:val="none" w:sz="0" w:space="0" w:color="auto"/>
          </w:divBdr>
        </w:div>
        <w:div w:id="874654227">
          <w:marLeft w:val="0"/>
          <w:marRight w:val="-16200"/>
          <w:marTop w:val="0"/>
          <w:marBottom w:val="0"/>
          <w:divBdr>
            <w:top w:val="none" w:sz="0" w:space="0" w:color="auto"/>
            <w:left w:val="none" w:sz="0" w:space="0" w:color="auto"/>
            <w:bottom w:val="none" w:sz="0" w:space="0" w:color="auto"/>
            <w:right w:val="none" w:sz="0" w:space="0" w:color="auto"/>
          </w:divBdr>
        </w:div>
        <w:div w:id="511259341">
          <w:marLeft w:val="0"/>
          <w:marRight w:val="-16200"/>
          <w:marTop w:val="0"/>
          <w:marBottom w:val="0"/>
          <w:divBdr>
            <w:top w:val="none" w:sz="0" w:space="0" w:color="auto"/>
            <w:left w:val="none" w:sz="0" w:space="0" w:color="auto"/>
            <w:bottom w:val="none" w:sz="0" w:space="0" w:color="auto"/>
            <w:right w:val="none" w:sz="0" w:space="0" w:color="auto"/>
          </w:divBdr>
        </w:div>
        <w:div w:id="1774589017">
          <w:marLeft w:val="0"/>
          <w:marRight w:val="-16200"/>
          <w:marTop w:val="0"/>
          <w:marBottom w:val="0"/>
          <w:divBdr>
            <w:top w:val="none" w:sz="0" w:space="0" w:color="auto"/>
            <w:left w:val="none" w:sz="0" w:space="0" w:color="auto"/>
            <w:bottom w:val="none" w:sz="0" w:space="0" w:color="auto"/>
            <w:right w:val="none" w:sz="0" w:space="0" w:color="auto"/>
          </w:divBdr>
        </w:div>
        <w:div w:id="769472843">
          <w:marLeft w:val="0"/>
          <w:marRight w:val="-16200"/>
          <w:marTop w:val="0"/>
          <w:marBottom w:val="0"/>
          <w:divBdr>
            <w:top w:val="none" w:sz="0" w:space="0" w:color="auto"/>
            <w:left w:val="none" w:sz="0" w:space="0" w:color="auto"/>
            <w:bottom w:val="none" w:sz="0" w:space="0" w:color="auto"/>
            <w:right w:val="none" w:sz="0" w:space="0" w:color="auto"/>
          </w:divBdr>
        </w:div>
        <w:div w:id="2065595378">
          <w:marLeft w:val="0"/>
          <w:marRight w:val="-16200"/>
          <w:marTop w:val="0"/>
          <w:marBottom w:val="0"/>
          <w:divBdr>
            <w:top w:val="none" w:sz="0" w:space="0" w:color="auto"/>
            <w:left w:val="none" w:sz="0" w:space="0" w:color="auto"/>
            <w:bottom w:val="none" w:sz="0" w:space="0" w:color="auto"/>
            <w:right w:val="none" w:sz="0" w:space="0" w:color="auto"/>
          </w:divBdr>
        </w:div>
      </w:divsChild>
    </w:div>
    <w:div w:id="22160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1E711-026D-4BC0-88C5-C2DC205A70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AEE255-C9A0-4A6C-9486-6350F54F4A61}">
  <ds:schemaRefs>
    <ds:schemaRef ds:uri="http://schemas.microsoft.com/sharepoint/v3/contenttype/forms"/>
  </ds:schemaRefs>
</ds:datastoreItem>
</file>

<file path=customXml/itemProps3.xml><?xml version="1.0" encoding="utf-8"?>
<ds:datastoreItem xmlns:ds="http://schemas.openxmlformats.org/officeDocument/2006/customXml" ds:itemID="{56E0BC98-D302-4E93-8C2C-EF6FF24285DE}"/>
</file>

<file path=customXml/itemProps4.xml><?xml version="1.0" encoding="utf-8"?>
<ds:datastoreItem xmlns:ds="http://schemas.openxmlformats.org/officeDocument/2006/customXml" ds:itemID="{668F6561-5B32-4C03-9346-31B4E79C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2643</Words>
  <Characters>16126</Characters>
  <Application>Microsoft Office Word</Application>
  <DocSecurity>0</DocSecurity>
  <Lines>134</Lines>
  <Paragraphs>37</Paragraphs>
  <ScaleCrop>false</ScaleCrop>
  <Company/>
  <LinksUpToDate>false</LinksUpToDate>
  <CharactersWithSpaces>18732</CharactersWithSpaces>
  <SharedDoc>false</SharedDoc>
  <HLinks>
    <vt:vector size="54" baseType="variant">
      <vt:variant>
        <vt:i4>1900594</vt:i4>
      </vt:variant>
      <vt:variant>
        <vt:i4>50</vt:i4>
      </vt:variant>
      <vt:variant>
        <vt:i4>0</vt:i4>
      </vt:variant>
      <vt:variant>
        <vt:i4>5</vt:i4>
      </vt:variant>
      <vt:variant>
        <vt:lpwstr/>
      </vt:variant>
      <vt:variant>
        <vt:lpwstr>_Toc287972097</vt:lpwstr>
      </vt:variant>
      <vt:variant>
        <vt:i4>1900594</vt:i4>
      </vt:variant>
      <vt:variant>
        <vt:i4>44</vt:i4>
      </vt:variant>
      <vt:variant>
        <vt:i4>0</vt:i4>
      </vt:variant>
      <vt:variant>
        <vt:i4>5</vt:i4>
      </vt:variant>
      <vt:variant>
        <vt:lpwstr/>
      </vt:variant>
      <vt:variant>
        <vt:lpwstr>_Toc287972096</vt:lpwstr>
      </vt:variant>
      <vt:variant>
        <vt:i4>1900594</vt:i4>
      </vt:variant>
      <vt:variant>
        <vt:i4>38</vt:i4>
      </vt:variant>
      <vt:variant>
        <vt:i4>0</vt:i4>
      </vt:variant>
      <vt:variant>
        <vt:i4>5</vt:i4>
      </vt:variant>
      <vt:variant>
        <vt:lpwstr/>
      </vt:variant>
      <vt:variant>
        <vt:lpwstr>_Toc287972095</vt:lpwstr>
      </vt:variant>
      <vt:variant>
        <vt:i4>1900594</vt:i4>
      </vt:variant>
      <vt:variant>
        <vt:i4>32</vt:i4>
      </vt:variant>
      <vt:variant>
        <vt:i4>0</vt:i4>
      </vt:variant>
      <vt:variant>
        <vt:i4>5</vt:i4>
      </vt:variant>
      <vt:variant>
        <vt:lpwstr/>
      </vt:variant>
      <vt:variant>
        <vt:lpwstr>_Toc287972094</vt:lpwstr>
      </vt:variant>
      <vt:variant>
        <vt:i4>1900594</vt:i4>
      </vt:variant>
      <vt:variant>
        <vt:i4>26</vt:i4>
      </vt:variant>
      <vt:variant>
        <vt:i4>0</vt:i4>
      </vt:variant>
      <vt:variant>
        <vt:i4>5</vt:i4>
      </vt:variant>
      <vt:variant>
        <vt:lpwstr/>
      </vt:variant>
      <vt:variant>
        <vt:lpwstr>_Toc287972093</vt:lpwstr>
      </vt:variant>
      <vt:variant>
        <vt:i4>1900594</vt:i4>
      </vt:variant>
      <vt:variant>
        <vt:i4>20</vt:i4>
      </vt:variant>
      <vt:variant>
        <vt:i4>0</vt:i4>
      </vt:variant>
      <vt:variant>
        <vt:i4>5</vt:i4>
      </vt:variant>
      <vt:variant>
        <vt:lpwstr/>
      </vt:variant>
      <vt:variant>
        <vt:lpwstr>_Toc287972092</vt:lpwstr>
      </vt:variant>
      <vt:variant>
        <vt:i4>1900594</vt:i4>
      </vt:variant>
      <vt:variant>
        <vt:i4>14</vt:i4>
      </vt:variant>
      <vt:variant>
        <vt:i4>0</vt:i4>
      </vt:variant>
      <vt:variant>
        <vt:i4>5</vt:i4>
      </vt:variant>
      <vt:variant>
        <vt:lpwstr/>
      </vt:variant>
      <vt:variant>
        <vt:lpwstr>_Toc287972091</vt:lpwstr>
      </vt:variant>
      <vt:variant>
        <vt:i4>1900594</vt:i4>
      </vt:variant>
      <vt:variant>
        <vt:i4>8</vt:i4>
      </vt:variant>
      <vt:variant>
        <vt:i4>0</vt:i4>
      </vt:variant>
      <vt:variant>
        <vt:i4>5</vt:i4>
      </vt:variant>
      <vt:variant>
        <vt:lpwstr/>
      </vt:variant>
      <vt:variant>
        <vt:lpwstr>_Toc287972090</vt:lpwstr>
      </vt:variant>
      <vt:variant>
        <vt:i4>1835058</vt:i4>
      </vt:variant>
      <vt:variant>
        <vt:i4>2</vt:i4>
      </vt:variant>
      <vt:variant>
        <vt:i4>0</vt:i4>
      </vt:variant>
      <vt:variant>
        <vt:i4>5</vt:i4>
      </vt:variant>
      <vt:variant>
        <vt:lpwstr/>
      </vt:variant>
      <vt:variant>
        <vt:lpwstr>_Toc287972089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Misfeldt Beck</dc:creator>
  <cp:keywords/>
  <dc:description/>
  <cp:lastModifiedBy>Sebastian Misfeldt Beck</cp:lastModifiedBy>
  <cp:revision>3</cp:revision>
  <dcterms:created xsi:type="dcterms:W3CDTF">2019-12-03T18:08:00Z</dcterms:created>
  <dcterms:modified xsi:type="dcterms:W3CDTF">2019-12-03T18:09:00Z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y fmtid="{D5CDD505-2E9C-101B-9397-08002B2CF9AE}" pid="3" name="Mendeley Document_1">
    <vt:lpwstr>True</vt:lpwstr>
  </property>
  <property fmtid="{D5CDD505-2E9C-101B-9397-08002B2CF9AE}" pid="4" name="Mendeley Unique User Id_1">
    <vt:lpwstr>144b8bfe-3b8d-3c22-ae6e-ab080bfc3214</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