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E527A" w14:textId="3E39D19F" w:rsidR="00436871" w:rsidRPr="00FF2E4B" w:rsidRDefault="00436871" w:rsidP="00FF2E4B">
      <w:pPr>
        <w:pStyle w:val="Heading1"/>
        <w:jc w:val="both"/>
        <w:rPr>
          <w:lang w:val="en-GB"/>
        </w:rPr>
      </w:pPr>
      <w:r w:rsidRPr="00FF2E4B">
        <w:rPr>
          <w:lang w:val="en-GB"/>
        </w:rPr>
        <w:t>TVA</w:t>
      </w:r>
    </w:p>
    <w:p w14:paraId="2F0EE57E" w14:textId="77777777" w:rsidR="00436871" w:rsidRPr="00FF2E4B" w:rsidRDefault="00436871" w:rsidP="00FF2E4B">
      <w:pPr>
        <w:pStyle w:val="Heading1"/>
        <w:jc w:val="both"/>
        <w:rPr>
          <w:lang w:val="en-GB"/>
        </w:rPr>
      </w:pPr>
      <w:r w:rsidRPr="00FF2E4B">
        <w:rPr>
          <w:lang w:val="en-GB"/>
        </w:rPr>
        <w:t>Introduction</w:t>
      </w:r>
    </w:p>
    <w:p w14:paraId="6986DE13" w14:textId="49BE2059" w:rsidR="00436871" w:rsidRPr="00FF2E4B" w:rsidRDefault="00D1398D" w:rsidP="00FF2E4B">
      <w:pPr>
        <w:jc w:val="both"/>
        <w:rPr>
          <w:lang w:val="en-GB"/>
        </w:rPr>
      </w:pPr>
      <w:r w:rsidRPr="00FF2E4B">
        <w:rPr>
          <w:lang w:val="en-GB"/>
        </w:rPr>
        <w:t xml:space="preserve">Theory of Visual Attention (TVA) </w:t>
      </w:r>
      <w:r w:rsidR="00D011E5" w:rsidRPr="00FF2E4B">
        <w:rPr>
          <w:lang w:val="en-GB"/>
        </w:rPr>
        <w:t xml:space="preserve">explores how visual stimuli compete </w:t>
      </w:r>
      <w:r w:rsidR="00646B9A">
        <w:rPr>
          <w:lang w:val="en-GB"/>
        </w:rPr>
        <w:t xml:space="preserve">for </w:t>
      </w:r>
      <w:r w:rsidR="00D011E5" w:rsidRPr="00FF2E4B">
        <w:rPr>
          <w:lang w:val="en-GB"/>
        </w:rPr>
        <w:t xml:space="preserve">limited attentional resources, and </w:t>
      </w:r>
      <w:r w:rsidRPr="00FF2E4B">
        <w:rPr>
          <w:lang w:val="en-GB"/>
        </w:rPr>
        <w:t xml:space="preserve">provides an approach to </w:t>
      </w:r>
      <w:r w:rsidR="00D011E5" w:rsidRPr="00FF2E4B">
        <w:rPr>
          <w:lang w:val="en-GB"/>
        </w:rPr>
        <w:t xml:space="preserve">experimentally study and mathematically </w:t>
      </w:r>
      <w:r w:rsidRPr="00FF2E4B">
        <w:rPr>
          <w:lang w:val="en-GB"/>
        </w:rPr>
        <w:t>model relevant visual attention parameters</w:t>
      </w:r>
      <w:r w:rsidR="00D011E5" w:rsidRPr="00FF2E4B">
        <w:rPr>
          <w:lang w:val="en-GB"/>
        </w:rPr>
        <w:t xml:space="preserve"> (Habekost, </w:t>
      </w:r>
      <w:r w:rsidR="00031D22" w:rsidRPr="00FF2E4B">
        <w:rPr>
          <w:lang w:val="en-GB"/>
        </w:rPr>
        <w:t>2015</w:t>
      </w:r>
      <w:r w:rsidR="00D011E5" w:rsidRPr="00FF2E4B">
        <w:rPr>
          <w:lang w:val="en-GB"/>
        </w:rPr>
        <w:t xml:space="preserve">). TVA-based tests have proven to be very sensitive (Habekost, </w:t>
      </w:r>
      <w:r w:rsidR="00031D22" w:rsidRPr="00FF2E4B">
        <w:rPr>
          <w:lang w:val="en-GB"/>
        </w:rPr>
        <w:t>2015</w:t>
      </w:r>
      <w:r w:rsidR="00D011E5" w:rsidRPr="00FF2E4B">
        <w:rPr>
          <w:lang w:val="en-GB"/>
        </w:rPr>
        <w:t>).</w:t>
      </w:r>
    </w:p>
    <w:p w14:paraId="1CB85046" w14:textId="0C3EE7C5" w:rsidR="00D011E5" w:rsidRPr="00FF2E4B" w:rsidRDefault="00D011E5" w:rsidP="00FF2E4B">
      <w:pPr>
        <w:jc w:val="both"/>
        <w:rPr>
          <w:lang w:val="en-GB"/>
        </w:rPr>
      </w:pPr>
      <w:r w:rsidRPr="00FF2E4B">
        <w:rPr>
          <w:lang w:val="en-GB"/>
        </w:rPr>
        <w:tab/>
        <w:t>TVA modelling provides</w:t>
      </w:r>
      <w:r w:rsidR="004A4285" w:rsidRPr="00FF2E4B">
        <w:rPr>
          <w:lang w:val="en-GB"/>
        </w:rPr>
        <w:t xml:space="preserve"> estimates of</w:t>
      </w:r>
      <w:r w:rsidRPr="00FF2E4B">
        <w:rPr>
          <w:lang w:val="en-GB"/>
        </w:rPr>
        <w:t xml:space="preserve"> five parameters. The t</w:t>
      </w:r>
      <w:r w:rsidRPr="00FF2E4B">
        <w:rPr>
          <w:vertAlign w:val="subscript"/>
          <w:lang w:val="en-GB"/>
        </w:rPr>
        <w:t>0</w:t>
      </w:r>
      <w:r w:rsidRPr="00FF2E4B">
        <w:rPr>
          <w:lang w:val="en-GB"/>
        </w:rPr>
        <w:t xml:space="preserve"> parameter is the threshold for perception</w:t>
      </w:r>
      <w:r w:rsidR="00031D22" w:rsidRPr="00FF2E4B">
        <w:rPr>
          <w:lang w:val="en-GB"/>
        </w:rPr>
        <w:t xml:space="preserve"> (</w:t>
      </w:r>
      <w:proofErr w:type="spellStart"/>
      <w:r w:rsidR="00031D22" w:rsidRPr="00FF2E4B">
        <w:rPr>
          <w:lang w:val="en-GB"/>
        </w:rPr>
        <w:t>ms</w:t>
      </w:r>
      <w:proofErr w:type="spellEnd"/>
      <w:r w:rsidR="00031D22" w:rsidRPr="00FF2E4B">
        <w:rPr>
          <w:lang w:val="en-GB"/>
        </w:rPr>
        <w:t>)</w:t>
      </w:r>
      <w:r w:rsidRPr="00FF2E4B">
        <w:rPr>
          <w:lang w:val="en-GB"/>
        </w:rPr>
        <w:t xml:space="preserve">; </w:t>
      </w:r>
      <w:r w:rsidRPr="00FF2E4B">
        <w:rPr>
          <w:i/>
          <w:iCs/>
          <w:lang w:val="en-GB"/>
        </w:rPr>
        <w:t>K</w:t>
      </w:r>
      <w:r w:rsidRPr="00FF2E4B">
        <w:rPr>
          <w:lang w:val="en-GB"/>
        </w:rPr>
        <w:t xml:space="preserve"> is the visual short-term memory capacity</w:t>
      </w:r>
      <w:r w:rsidR="00031D22" w:rsidRPr="00FF2E4B">
        <w:rPr>
          <w:lang w:val="en-GB"/>
        </w:rPr>
        <w:t xml:space="preserve"> (number of letters)</w:t>
      </w:r>
      <w:r w:rsidRPr="00FF2E4B">
        <w:rPr>
          <w:lang w:val="en-GB"/>
        </w:rPr>
        <w:t xml:space="preserve">; </w:t>
      </w:r>
      <w:r w:rsidR="00031D22" w:rsidRPr="00FF2E4B">
        <w:rPr>
          <w:i/>
          <w:iCs/>
          <w:lang w:val="en-GB"/>
        </w:rPr>
        <w:t>C</w:t>
      </w:r>
      <w:r w:rsidR="00031D22" w:rsidRPr="00FF2E4B">
        <w:rPr>
          <w:lang w:val="en-GB"/>
        </w:rPr>
        <w:t xml:space="preserve"> is the processing speed </w:t>
      </w:r>
      <w:r w:rsidR="00BD6388">
        <w:rPr>
          <w:lang w:val="en-GB"/>
        </w:rPr>
        <w:t>(letters</w:t>
      </w:r>
      <w:r w:rsidR="00031D22" w:rsidRPr="00FF2E4B">
        <w:rPr>
          <w:lang w:val="en-GB"/>
        </w:rPr>
        <w:t xml:space="preserve"> per second</w:t>
      </w:r>
      <w:r w:rsidR="00BD6388">
        <w:rPr>
          <w:lang w:val="en-GB"/>
        </w:rPr>
        <w:t>)</w:t>
      </w:r>
      <w:r w:rsidR="00031D22" w:rsidRPr="00FF2E4B">
        <w:rPr>
          <w:lang w:val="en-GB"/>
        </w:rPr>
        <w:t xml:space="preserve">; </w:t>
      </w:r>
      <m:oMath>
        <m:r>
          <w:rPr>
            <w:rFonts w:ascii="Cambria Math" w:hAnsi="Cambria Math" w:cs="Times New Roman"/>
            <w:lang w:val="en-GB"/>
          </w:rPr>
          <m:t>α</m:t>
        </m:r>
      </m:oMath>
      <w:r w:rsidR="004A4285" w:rsidRPr="00FF2E4B">
        <w:rPr>
          <w:lang w:val="en-GB"/>
        </w:rPr>
        <w:t xml:space="preserve"> </w:t>
      </w:r>
      <w:r w:rsidR="00031D22" w:rsidRPr="00FF2E4B">
        <w:rPr>
          <w:lang w:val="en-GB"/>
        </w:rPr>
        <w:t xml:space="preserve">represents ability to select between relevant and irrelevant stimuli; </w:t>
      </w:r>
      <w:r w:rsidR="00031D22" w:rsidRPr="00FF2E4B">
        <w:rPr>
          <w:i/>
          <w:iCs/>
          <w:lang w:val="en-GB"/>
        </w:rPr>
        <w:t>w</w:t>
      </w:r>
      <w:r w:rsidR="00031D22" w:rsidRPr="00FF2E4B">
        <w:rPr>
          <w:lang w:val="en-GB"/>
        </w:rPr>
        <w:t xml:space="preserve">-values indicate the attentional weight each stimulus position is given and are used to calculate the </w:t>
      </w:r>
      <w:proofErr w:type="spellStart"/>
      <w:r w:rsidR="00031D22" w:rsidRPr="00FF2E4B">
        <w:rPr>
          <w:i/>
          <w:iCs/>
          <w:lang w:val="en-GB"/>
        </w:rPr>
        <w:t>w</w:t>
      </w:r>
      <w:r w:rsidR="00031D22" w:rsidRPr="00FF2E4B">
        <w:rPr>
          <w:vertAlign w:val="subscript"/>
          <w:lang w:val="en-GB"/>
        </w:rPr>
        <w:t>index</w:t>
      </w:r>
      <w:proofErr w:type="spellEnd"/>
      <w:r w:rsidR="00031D22" w:rsidRPr="00FF2E4B">
        <w:rPr>
          <w:vertAlign w:val="subscript"/>
          <w:lang w:val="en-GB"/>
        </w:rPr>
        <w:t xml:space="preserve"> </w:t>
      </w:r>
      <w:r w:rsidR="00031D22" w:rsidRPr="00FF2E4B">
        <w:rPr>
          <w:lang w:val="en-GB"/>
        </w:rPr>
        <w:t xml:space="preserve">parameter which expresses distribution of attentional resources </w:t>
      </w:r>
      <w:r w:rsidR="004A4285" w:rsidRPr="00FF2E4B">
        <w:rPr>
          <w:lang w:val="en-GB"/>
        </w:rPr>
        <w:t>between</w:t>
      </w:r>
      <w:r w:rsidR="00031D22" w:rsidRPr="00FF2E4B">
        <w:rPr>
          <w:lang w:val="en-GB"/>
        </w:rPr>
        <w:t xml:space="preserve"> left and right visual fields with 0.5 denoting equal distribution (Habekost, 2015; </w:t>
      </w:r>
      <w:proofErr w:type="spellStart"/>
      <w:r w:rsidR="00031D22" w:rsidRPr="00FF2E4B">
        <w:rPr>
          <w:lang w:val="en-GB"/>
        </w:rPr>
        <w:t>Vangkilde</w:t>
      </w:r>
      <w:proofErr w:type="spellEnd"/>
      <w:r w:rsidR="00031D22" w:rsidRPr="00FF2E4B">
        <w:rPr>
          <w:lang w:val="en-GB"/>
        </w:rPr>
        <w:t xml:space="preserve"> et al., 2011).</w:t>
      </w:r>
    </w:p>
    <w:p w14:paraId="5E01F18A" w14:textId="0B9C32DF" w:rsidR="00965CF4" w:rsidRPr="00FF2E4B" w:rsidRDefault="00965CF4" w:rsidP="00FF2E4B">
      <w:pPr>
        <w:jc w:val="both"/>
        <w:rPr>
          <w:lang w:val="en-GB"/>
        </w:rPr>
      </w:pPr>
    </w:p>
    <w:p w14:paraId="02585288" w14:textId="2185DC37" w:rsidR="00965CF4" w:rsidRPr="00FF2E4B" w:rsidRDefault="00965CF4" w:rsidP="00FF2E4B">
      <w:pPr>
        <w:jc w:val="both"/>
        <w:rPr>
          <w:lang w:val="en-GB"/>
        </w:rPr>
      </w:pPr>
      <w:r w:rsidRPr="00FF2E4B">
        <w:rPr>
          <w:lang w:val="en-GB"/>
        </w:rPr>
        <w:t>I</w:t>
      </w:r>
      <w:r w:rsidR="004A4285" w:rsidRPr="00FF2E4B">
        <w:rPr>
          <w:lang w:val="en-GB"/>
        </w:rPr>
        <w:t>n this experiment, i</w:t>
      </w:r>
      <w:r w:rsidRPr="00FF2E4B">
        <w:rPr>
          <w:lang w:val="en-GB"/>
        </w:rPr>
        <w:t>t is expected that longer display times will allow participants to correctly identify more letters. Likely, participants will not be able to perfectly select between stimuli</w:t>
      </w:r>
      <w:r w:rsidR="00260DE7">
        <w:rPr>
          <w:lang w:val="en-GB"/>
        </w:rPr>
        <w:t>; top-down selection processes will likely b</w:t>
      </w:r>
      <w:r w:rsidR="00BD6388">
        <w:rPr>
          <w:lang w:val="en-GB"/>
        </w:rPr>
        <w:t>e</w:t>
      </w:r>
      <w:r w:rsidR="00260DE7">
        <w:rPr>
          <w:lang w:val="en-GB"/>
        </w:rPr>
        <w:t xml:space="preserve"> disturbed by bottom-up processes (Radvansky &amp; Ashcraft, 2014</w:t>
      </w:r>
      <w:r w:rsidR="00646B9A">
        <w:rPr>
          <w:lang w:val="en-GB"/>
        </w:rPr>
        <w:t xml:space="preserve">). </w:t>
      </w:r>
      <w:r w:rsidRPr="00FF2E4B">
        <w:rPr>
          <w:lang w:val="en-GB"/>
        </w:rPr>
        <w:t xml:space="preserve">Most TVA studies find </w:t>
      </w:r>
      <w:r w:rsidR="004A4285" w:rsidRPr="00FF2E4B">
        <w:rPr>
          <w:lang w:val="en-GB"/>
        </w:rPr>
        <w:t>a</w:t>
      </w:r>
      <w:r w:rsidRPr="00FF2E4B">
        <w:rPr>
          <w:lang w:val="en-GB"/>
        </w:rPr>
        <w:t xml:space="preserve"> positive correlation between parameters </w:t>
      </w:r>
      <w:r w:rsidRPr="00FF2E4B">
        <w:rPr>
          <w:i/>
          <w:iCs/>
          <w:lang w:val="en-GB"/>
        </w:rPr>
        <w:t>K</w:t>
      </w:r>
      <w:r w:rsidRPr="00FF2E4B">
        <w:rPr>
          <w:lang w:val="en-GB"/>
        </w:rPr>
        <w:t xml:space="preserve"> and </w:t>
      </w:r>
      <w:r w:rsidRPr="00FF2E4B">
        <w:rPr>
          <w:i/>
          <w:iCs/>
          <w:lang w:val="en-GB"/>
        </w:rPr>
        <w:t>C</w:t>
      </w:r>
      <w:r w:rsidRPr="00FF2E4B">
        <w:rPr>
          <w:lang w:val="en-GB"/>
        </w:rPr>
        <w:t>, and some studies have found age to correlate with all TVA parameters (</w:t>
      </w:r>
      <w:r w:rsidR="00185DB9">
        <w:rPr>
          <w:lang w:val="en-GB"/>
        </w:rPr>
        <w:t>Habekost, 2015</w:t>
      </w:r>
      <w:r w:rsidRPr="00FF2E4B">
        <w:rPr>
          <w:lang w:val="en-GB"/>
        </w:rPr>
        <w:t>). Thus, such correlation</w:t>
      </w:r>
      <w:r w:rsidR="004A4285" w:rsidRPr="00FF2E4B">
        <w:rPr>
          <w:lang w:val="en-GB"/>
        </w:rPr>
        <w:t>s</w:t>
      </w:r>
      <w:r w:rsidRPr="00FF2E4B">
        <w:rPr>
          <w:lang w:val="en-GB"/>
        </w:rPr>
        <w:t xml:space="preserve"> are expected to be found. Further, it is tested whether there appear to be any </w:t>
      </w:r>
      <w:r w:rsidR="000D5F87">
        <w:rPr>
          <w:lang w:val="en-GB"/>
        </w:rPr>
        <w:t>gender</w:t>
      </w:r>
      <w:r w:rsidRPr="00FF2E4B">
        <w:rPr>
          <w:lang w:val="en-GB"/>
        </w:rPr>
        <w:t xml:space="preserve"> differences in performance.</w:t>
      </w:r>
    </w:p>
    <w:p w14:paraId="76026DCB" w14:textId="77777777" w:rsidR="00436871" w:rsidRPr="00FF2E4B" w:rsidRDefault="00436871" w:rsidP="00FF2E4B">
      <w:pPr>
        <w:pStyle w:val="Heading1"/>
        <w:jc w:val="both"/>
        <w:rPr>
          <w:lang w:val="en-GB"/>
        </w:rPr>
      </w:pPr>
      <w:r w:rsidRPr="00FF2E4B">
        <w:rPr>
          <w:lang w:val="en-GB"/>
        </w:rPr>
        <w:t>Methods</w:t>
      </w:r>
    </w:p>
    <w:p w14:paraId="563AFE5B" w14:textId="0677FB09" w:rsidR="00436871" w:rsidRPr="00FF2E4B" w:rsidRDefault="00DE3DCE" w:rsidP="00FF2E4B">
      <w:pPr>
        <w:jc w:val="both"/>
        <w:rPr>
          <w:lang w:val="en-GB"/>
        </w:rPr>
      </w:pPr>
      <w:r w:rsidRPr="00FF2E4B">
        <w:rPr>
          <w:lang w:val="en-GB"/>
        </w:rPr>
        <w:t xml:space="preserve">This experiment included </w:t>
      </w:r>
      <w:r w:rsidRPr="00FF2E4B">
        <w:rPr>
          <w:i/>
          <w:iCs/>
          <w:lang w:val="en-GB"/>
        </w:rPr>
        <w:t>N</w:t>
      </w:r>
      <w:r w:rsidRPr="00FF2E4B">
        <w:rPr>
          <w:lang w:val="en-GB"/>
        </w:rPr>
        <w:t xml:space="preserve"> = 207 participants,</w:t>
      </w:r>
      <w:r w:rsidR="00260DE7">
        <w:rPr>
          <w:lang w:val="en-GB"/>
        </w:rPr>
        <w:t xml:space="preserve"> 37 male and 169 female,</w:t>
      </w:r>
      <w:r w:rsidRPr="00FF2E4B">
        <w:rPr>
          <w:lang w:val="en-GB"/>
        </w:rPr>
        <w:t xml:space="preserve"> all psychology students at UCPH.</w:t>
      </w:r>
      <w:r w:rsidR="003E30EC">
        <w:rPr>
          <w:lang w:val="en-GB"/>
        </w:rPr>
        <w:br/>
      </w:r>
    </w:p>
    <w:p w14:paraId="303CBB68" w14:textId="77777777" w:rsidR="00436871" w:rsidRPr="00FF2E4B" w:rsidRDefault="00436871" w:rsidP="00FF2E4B">
      <w:pPr>
        <w:pStyle w:val="Heading2"/>
        <w:jc w:val="both"/>
        <w:rPr>
          <w:lang w:val="en-GB"/>
        </w:rPr>
      </w:pPr>
      <w:r w:rsidRPr="00FF2E4B">
        <w:rPr>
          <w:lang w:val="en-GB"/>
        </w:rPr>
        <w:t>Materials</w:t>
      </w:r>
    </w:p>
    <w:p w14:paraId="76DDBFAC" w14:textId="43E62EDC" w:rsidR="00EA33AF" w:rsidRPr="00FF2E4B" w:rsidRDefault="00EA33AF" w:rsidP="003E30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F2E4B">
        <w:rPr>
          <w:rFonts w:ascii="Times New Roman" w:hAnsi="Times New Roman" w:cs="Times New Roman"/>
          <w:sz w:val="24"/>
          <w:szCs w:val="24"/>
          <w:lang w:val="en-GB"/>
        </w:rPr>
        <w:t>CombiTVA</w:t>
      </w:r>
      <w:proofErr w:type="spellEnd"/>
      <w:r w:rsidRPr="00FF2E4B">
        <w:rPr>
          <w:rFonts w:ascii="Times New Roman" w:hAnsi="Times New Roman" w:cs="Times New Roman"/>
          <w:sz w:val="24"/>
          <w:szCs w:val="24"/>
          <w:lang w:val="en-GB"/>
        </w:rPr>
        <w:t xml:space="preserve"> task </w:t>
      </w:r>
      <w:r w:rsidR="00260DE7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FF2E4B">
        <w:rPr>
          <w:rFonts w:ascii="Times New Roman" w:hAnsi="Times New Roman" w:cs="Times New Roman"/>
          <w:sz w:val="24"/>
          <w:szCs w:val="24"/>
          <w:lang w:val="en-GB"/>
        </w:rPr>
        <w:t>prime file</w:t>
      </w:r>
      <w:r w:rsidR="003E30EC"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65860464" w14:textId="77777777" w:rsidR="00436871" w:rsidRPr="00FF2E4B" w:rsidRDefault="00436871" w:rsidP="00FF2E4B">
      <w:pPr>
        <w:pStyle w:val="Heading2"/>
        <w:jc w:val="both"/>
        <w:rPr>
          <w:lang w:val="en-GB"/>
        </w:rPr>
      </w:pPr>
      <w:r w:rsidRPr="00FF2E4B">
        <w:rPr>
          <w:lang w:val="en-GB"/>
        </w:rPr>
        <w:t>Test procedure</w:t>
      </w:r>
    </w:p>
    <w:p w14:paraId="16CBCAFE" w14:textId="2104F6F0" w:rsidR="00260DE7" w:rsidRDefault="00EA33AF" w:rsidP="00185DB9">
      <w:pPr>
        <w:jc w:val="both"/>
        <w:rPr>
          <w:color w:val="000000" w:themeColor="text1"/>
          <w:lang w:val="en-GB"/>
        </w:rPr>
      </w:pPr>
      <w:r w:rsidRPr="00FF2E4B">
        <w:rPr>
          <w:color w:val="000000" w:themeColor="text1"/>
          <w:lang w:val="en-GB"/>
        </w:rPr>
        <w:t>The experiment was computer-based and conducted individually using an Eprime file.</w:t>
      </w:r>
      <w:r w:rsidR="00185DB9">
        <w:rPr>
          <w:color w:val="000000" w:themeColor="text1"/>
          <w:lang w:val="en-GB"/>
        </w:rPr>
        <w:t xml:space="preserve"> </w:t>
      </w:r>
      <w:r w:rsidRPr="00FF2E4B">
        <w:rPr>
          <w:color w:val="000000" w:themeColor="text1"/>
          <w:lang w:val="en-GB"/>
        </w:rPr>
        <w:t xml:space="preserve">The </w:t>
      </w:r>
      <w:r w:rsidR="00260DE7">
        <w:rPr>
          <w:color w:val="000000" w:themeColor="text1"/>
          <w:lang w:val="en-GB"/>
        </w:rPr>
        <w:t xml:space="preserve">present task was to report all target letters participants (P) were fairly certain they had seen from a stimuli set </w:t>
      </w:r>
      <w:r w:rsidR="00260DE7">
        <w:rPr>
          <w:color w:val="000000" w:themeColor="text1"/>
          <w:lang w:val="en-GB"/>
        </w:rPr>
        <w:lastRenderedPageBreak/>
        <w:t xml:space="preserve">displayed on-screen. The </w:t>
      </w:r>
      <w:r w:rsidRPr="00FF2E4B">
        <w:rPr>
          <w:color w:val="000000" w:themeColor="text1"/>
          <w:lang w:val="en-GB"/>
        </w:rPr>
        <w:t>experiment included whole report (WR)</w:t>
      </w:r>
      <w:r w:rsidR="00260DE7">
        <w:rPr>
          <w:color w:val="000000" w:themeColor="text1"/>
          <w:lang w:val="en-GB"/>
        </w:rPr>
        <w:t>, containing all target letters,</w:t>
      </w:r>
      <w:r w:rsidRPr="00FF2E4B">
        <w:rPr>
          <w:color w:val="000000" w:themeColor="text1"/>
          <w:lang w:val="en-GB"/>
        </w:rPr>
        <w:t xml:space="preserve"> and partial report (PR)</w:t>
      </w:r>
      <w:r w:rsidR="00260DE7">
        <w:rPr>
          <w:color w:val="000000" w:themeColor="text1"/>
          <w:lang w:val="en-GB"/>
        </w:rPr>
        <w:t>, containing some target and some distractor letters,</w:t>
      </w:r>
      <w:r w:rsidRPr="00FF2E4B">
        <w:rPr>
          <w:color w:val="000000" w:themeColor="text1"/>
          <w:lang w:val="en-GB"/>
        </w:rPr>
        <w:t xml:space="preserve"> </w:t>
      </w:r>
      <w:r w:rsidR="00260DE7">
        <w:rPr>
          <w:color w:val="000000" w:themeColor="text1"/>
          <w:lang w:val="en-GB"/>
        </w:rPr>
        <w:t>trials</w:t>
      </w:r>
      <w:r w:rsidRPr="00FF2E4B">
        <w:rPr>
          <w:color w:val="000000" w:themeColor="text1"/>
          <w:lang w:val="en-GB"/>
        </w:rPr>
        <w:t xml:space="preserve">. </w:t>
      </w:r>
      <w:r w:rsidR="00260DE7" w:rsidRPr="00FF2E4B">
        <w:rPr>
          <w:color w:val="000000" w:themeColor="text1"/>
          <w:lang w:val="en-GB"/>
        </w:rPr>
        <w:t>Targets and distractors were separated by colour (blue or red). Instructions were read on-screen.</w:t>
      </w:r>
      <w:r w:rsidR="00260DE7">
        <w:rPr>
          <w:color w:val="000000" w:themeColor="text1"/>
          <w:lang w:val="en-GB"/>
        </w:rPr>
        <w:t xml:space="preserve"> </w:t>
      </w:r>
    </w:p>
    <w:p w14:paraId="67A3A0EB" w14:textId="1AEDA432" w:rsidR="00185DB9" w:rsidRDefault="00EA33AF" w:rsidP="00260DE7">
      <w:pPr>
        <w:ind w:firstLine="720"/>
        <w:jc w:val="both"/>
        <w:rPr>
          <w:color w:val="000000" w:themeColor="text1"/>
          <w:lang w:val="en-GB"/>
        </w:rPr>
      </w:pPr>
      <w:r w:rsidRPr="00FF2E4B">
        <w:rPr>
          <w:color w:val="000000" w:themeColor="text1"/>
          <w:lang w:val="en-GB"/>
        </w:rPr>
        <w:t>The experiment consisted of nine blocks</w:t>
      </w:r>
      <w:r w:rsidR="00260DE7">
        <w:rPr>
          <w:color w:val="000000" w:themeColor="text1"/>
          <w:lang w:val="en-GB"/>
        </w:rPr>
        <w:t>, each containing</w:t>
      </w:r>
      <w:r w:rsidRPr="00FF2E4B">
        <w:rPr>
          <w:color w:val="000000" w:themeColor="text1"/>
          <w:lang w:val="en-GB"/>
        </w:rPr>
        <w:t xml:space="preserve"> 27 trials</w:t>
      </w:r>
      <w:r w:rsidR="00260DE7">
        <w:rPr>
          <w:color w:val="000000" w:themeColor="text1"/>
          <w:lang w:val="en-GB"/>
        </w:rPr>
        <w:t xml:space="preserve"> in which</w:t>
      </w:r>
      <w:r w:rsidRPr="00FF2E4B">
        <w:rPr>
          <w:color w:val="000000" w:themeColor="text1"/>
          <w:lang w:val="en-GB"/>
        </w:rPr>
        <w:t xml:space="preserve"> a </w:t>
      </w:r>
      <w:r w:rsidR="00260DE7">
        <w:rPr>
          <w:color w:val="000000" w:themeColor="text1"/>
          <w:lang w:val="en-GB"/>
        </w:rPr>
        <w:t xml:space="preserve">target coloured </w:t>
      </w:r>
      <w:r w:rsidRPr="00FF2E4B">
        <w:rPr>
          <w:color w:val="000000" w:themeColor="text1"/>
          <w:lang w:val="en-GB"/>
        </w:rPr>
        <w:t xml:space="preserve">fixation cross </w:t>
      </w:r>
      <w:r w:rsidR="00260DE7">
        <w:rPr>
          <w:color w:val="000000" w:themeColor="text1"/>
          <w:lang w:val="en-GB"/>
        </w:rPr>
        <w:t>was</w:t>
      </w:r>
      <w:r w:rsidRPr="00FF2E4B">
        <w:rPr>
          <w:color w:val="000000" w:themeColor="text1"/>
          <w:lang w:val="en-GB"/>
        </w:rPr>
        <w:t xml:space="preserve"> shown</w:t>
      </w:r>
      <w:r w:rsidR="00185DB9">
        <w:rPr>
          <w:color w:val="000000" w:themeColor="text1"/>
          <w:lang w:val="en-GB"/>
        </w:rPr>
        <w:t xml:space="preserve"> </w:t>
      </w:r>
      <w:r w:rsidR="00260DE7">
        <w:rPr>
          <w:color w:val="000000" w:themeColor="text1"/>
          <w:lang w:val="en-GB"/>
        </w:rPr>
        <w:t>followed by a set of six letters</w:t>
      </w:r>
      <w:r w:rsidRPr="00FF2E4B">
        <w:rPr>
          <w:color w:val="000000" w:themeColor="text1"/>
          <w:lang w:val="en-GB"/>
        </w:rPr>
        <w:t xml:space="preserve"> shown for 16, 33, 50, 100, 150, or 200 </w:t>
      </w:r>
      <w:proofErr w:type="spellStart"/>
      <w:r w:rsidRPr="00FF2E4B">
        <w:rPr>
          <w:color w:val="000000" w:themeColor="text1"/>
          <w:lang w:val="en-GB"/>
        </w:rPr>
        <w:t>ms</w:t>
      </w:r>
      <w:proofErr w:type="spellEnd"/>
      <w:r w:rsidRPr="00FF2E4B">
        <w:rPr>
          <w:color w:val="000000" w:themeColor="text1"/>
          <w:lang w:val="en-GB"/>
        </w:rPr>
        <w:t xml:space="preserve">. </w:t>
      </w:r>
      <w:r w:rsidR="004A4285" w:rsidRPr="00FF2E4B">
        <w:rPr>
          <w:color w:val="000000" w:themeColor="text1"/>
          <w:lang w:val="en-GB"/>
        </w:rPr>
        <w:t>The</w:t>
      </w:r>
      <w:r w:rsidRPr="00FF2E4B">
        <w:rPr>
          <w:color w:val="000000" w:themeColor="text1"/>
          <w:lang w:val="en-GB"/>
        </w:rPr>
        <w:t xml:space="preserve"> letters </w:t>
      </w:r>
      <w:r w:rsidR="00185DB9">
        <w:rPr>
          <w:color w:val="000000" w:themeColor="text1"/>
          <w:lang w:val="en-GB"/>
        </w:rPr>
        <w:t>were</w:t>
      </w:r>
      <w:r w:rsidRPr="00FF2E4B">
        <w:rPr>
          <w:color w:val="000000" w:themeColor="text1"/>
          <w:lang w:val="en-GB"/>
        </w:rPr>
        <w:t xml:space="preserve"> </w:t>
      </w:r>
      <w:r w:rsidR="004A4285" w:rsidRPr="00FF2E4B">
        <w:rPr>
          <w:color w:val="000000" w:themeColor="text1"/>
          <w:lang w:val="en-GB"/>
        </w:rPr>
        <w:t xml:space="preserve">then masked, and P </w:t>
      </w:r>
      <w:r w:rsidR="003E30EC">
        <w:rPr>
          <w:color w:val="000000" w:themeColor="text1"/>
          <w:lang w:val="en-GB"/>
        </w:rPr>
        <w:t>reported</w:t>
      </w:r>
      <w:r w:rsidRPr="00FF2E4B">
        <w:rPr>
          <w:color w:val="000000" w:themeColor="text1"/>
          <w:lang w:val="en-GB"/>
        </w:rPr>
        <w:t xml:space="preserve"> </w:t>
      </w:r>
      <w:r w:rsidR="00185DB9">
        <w:rPr>
          <w:color w:val="000000" w:themeColor="text1"/>
          <w:lang w:val="en-GB"/>
        </w:rPr>
        <w:t>relevant target letters using corresponding keys on</w:t>
      </w:r>
      <w:r w:rsidRPr="00FF2E4B">
        <w:rPr>
          <w:color w:val="000000" w:themeColor="text1"/>
          <w:lang w:val="en-GB"/>
        </w:rPr>
        <w:t xml:space="preserve"> the keyboard.</w:t>
      </w:r>
    </w:p>
    <w:p w14:paraId="69DAF37C" w14:textId="77DC65A7" w:rsidR="00EA33AF" w:rsidRPr="00FF2E4B" w:rsidRDefault="00D1398D" w:rsidP="00260DE7">
      <w:pPr>
        <w:ind w:firstLine="720"/>
        <w:jc w:val="both"/>
        <w:rPr>
          <w:color w:val="000000" w:themeColor="text1"/>
          <w:lang w:val="en-GB"/>
        </w:rPr>
      </w:pPr>
      <w:r w:rsidRPr="00FF2E4B">
        <w:rPr>
          <w:color w:val="000000" w:themeColor="text1"/>
          <w:lang w:val="en-GB"/>
        </w:rPr>
        <w:t>There were four possible set conditions; all targets, or a mix o</w:t>
      </w:r>
      <w:r w:rsidR="004A4285" w:rsidRPr="00FF2E4B">
        <w:rPr>
          <w:color w:val="000000" w:themeColor="text1"/>
          <w:lang w:val="en-GB"/>
        </w:rPr>
        <w:t>f</w:t>
      </w:r>
      <w:r w:rsidRPr="00FF2E4B">
        <w:rPr>
          <w:color w:val="000000" w:themeColor="text1"/>
          <w:lang w:val="en-GB"/>
        </w:rPr>
        <w:t xml:space="preserve"> targets and distractors in </w:t>
      </w:r>
      <w:r w:rsidR="004A4285" w:rsidRPr="00FF2E4B">
        <w:rPr>
          <w:color w:val="000000" w:themeColor="text1"/>
          <w:lang w:val="en-GB"/>
        </w:rPr>
        <w:t>ratios</w:t>
      </w:r>
      <w:r w:rsidRPr="00FF2E4B">
        <w:rPr>
          <w:color w:val="000000" w:themeColor="text1"/>
          <w:lang w:val="en-GB"/>
        </w:rPr>
        <w:t xml:space="preserve"> 2:4, 3:3, or 4:2. </w:t>
      </w:r>
      <w:r w:rsidR="00BD6388">
        <w:rPr>
          <w:color w:val="000000" w:themeColor="text1"/>
          <w:lang w:val="en-GB"/>
        </w:rPr>
        <w:t xml:space="preserve">Accuracy was measured, and P was given feedback after each block </w:t>
      </w:r>
      <w:r w:rsidRPr="00FF2E4B">
        <w:rPr>
          <w:color w:val="000000" w:themeColor="text1"/>
          <w:lang w:val="en-GB"/>
        </w:rPr>
        <w:t xml:space="preserve">and was instructed to aim for 80-90% </w:t>
      </w:r>
      <w:r w:rsidR="00BD6388">
        <w:rPr>
          <w:color w:val="000000" w:themeColor="text1"/>
          <w:lang w:val="en-GB"/>
        </w:rPr>
        <w:t>accuracy</w:t>
      </w:r>
      <w:r w:rsidRPr="00FF2E4B">
        <w:rPr>
          <w:color w:val="000000" w:themeColor="text1"/>
          <w:lang w:val="en-GB"/>
        </w:rPr>
        <w:t>. The test included a training session.</w:t>
      </w:r>
    </w:p>
    <w:p w14:paraId="3D45D592" w14:textId="77777777" w:rsidR="00436871" w:rsidRPr="00FF2E4B" w:rsidRDefault="00436871" w:rsidP="00FF2E4B">
      <w:pPr>
        <w:pStyle w:val="Heading1"/>
        <w:jc w:val="both"/>
        <w:rPr>
          <w:lang w:val="en-GB"/>
        </w:rPr>
      </w:pPr>
      <w:r w:rsidRPr="00FF2E4B">
        <w:rPr>
          <w:lang w:val="en-GB"/>
        </w:rPr>
        <w:t>Results</w:t>
      </w:r>
    </w:p>
    <w:p w14:paraId="51AC086A" w14:textId="2E6F8AD6" w:rsidR="00D1398D" w:rsidRPr="00FF2E4B" w:rsidRDefault="00D1398D" w:rsidP="00FF2E4B">
      <w:pPr>
        <w:jc w:val="both"/>
        <w:rPr>
          <w:lang w:val="en-GB"/>
        </w:rPr>
      </w:pPr>
      <w:r w:rsidRPr="00FF2E4B">
        <w:rPr>
          <w:lang w:val="en-GB"/>
        </w:rPr>
        <w:t>All statistic</w:t>
      </w:r>
      <w:r w:rsidR="00185DB9">
        <w:rPr>
          <w:lang w:val="en-GB"/>
        </w:rPr>
        <w:t>al</w:t>
      </w:r>
      <w:r w:rsidRPr="00FF2E4B">
        <w:rPr>
          <w:lang w:val="en-GB"/>
        </w:rPr>
        <w:t xml:space="preserve"> results were obtained using SPSS.</w:t>
      </w:r>
    </w:p>
    <w:p w14:paraId="3B1F294A" w14:textId="77777777" w:rsidR="00436871" w:rsidRPr="00FF2E4B" w:rsidRDefault="00436871" w:rsidP="00FF2E4B">
      <w:pPr>
        <w:jc w:val="both"/>
        <w:rPr>
          <w:lang w:val="en-GB"/>
        </w:rPr>
      </w:pPr>
    </w:p>
    <w:p w14:paraId="357FE143" w14:textId="77777777" w:rsidR="00436871" w:rsidRPr="00FF2E4B" w:rsidRDefault="00452E25" w:rsidP="00FF2E4B">
      <w:pPr>
        <w:pStyle w:val="Heading2"/>
        <w:jc w:val="both"/>
        <w:rPr>
          <w:lang w:val="en-GB"/>
        </w:rPr>
      </w:pPr>
      <w:r w:rsidRPr="00FF2E4B">
        <w:rPr>
          <w:lang w:val="en-GB"/>
        </w:rPr>
        <w:t>Longer display times allow for more letters to be correctly identified</w:t>
      </w:r>
    </w:p>
    <w:p w14:paraId="05F197F7" w14:textId="5C863DDB" w:rsidR="00452E25" w:rsidRPr="00FF2E4B" w:rsidRDefault="00452E25" w:rsidP="00FF2E4B">
      <w:pPr>
        <w:jc w:val="both"/>
        <w:rPr>
          <w:lang w:val="en-GB"/>
        </w:rPr>
      </w:pPr>
      <w:r w:rsidRPr="00FF2E4B">
        <w:rPr>
          <w:lang w:val="en-GB"/>
        </w:rPr>
        <w:t xml:space="preserve">Figure 1 displays mean number of correctly identified letters across </w:t>
      </w:r>
      <w:r w:rsidR="004A4285" w:rsidRPr="00FF2E4B">
        <w:rPr>
          <w:lang w:val="en-GB"/>
        </w:rPr>
        <w:t xml:space="preserve">six targets </w:t>
      </w:r>
      <w:r w:rsidRPr="00FF2E4B">
        <w:rPr>
          <w:lang w:val="en-GB"/>
        </w:rPr>
        <w:t>displays</w:t>
      </w:r>
      <w:r w:rsidR="00185DB9">
        <w:rPr>
          <w:lang w:val="en-GB"/>
        </w:rPr>
        <w:t xml:space="preserve"> and for displays</w:t>
      </w:r>
      <w:r w:rsidRPr="00FF2E4B">
        <w:rPr>
          <w:lang w:val="en-GB"/>
        </w:rPr>
        <w:t xml:space="preserve"> with two targets and four distractors. </w:t>
      </w:r>
      <w:r w:rsidR="004A4285" w:rsidRPr="00FF2E4B">
        <w:rPr>
          <w:lang w:val="en-GB"/>
        </w:rPr>
        <w:t>Figure 1</w:t>
      </w:r>
      <w:r w:rsidRPr="00FF2E4B">
        <w:rPr>
          <w:lang w:val="en-GB"/>
        </w:rPr>
        <w:t xml:space="preserve"> provides initial indication that</w:t>
      </w:r>
      <w:r w:rsidR="004A4285" w:rsidRPr="00FF2E4B">
        <w:rPr>
          <w:lang w:val="en-GB"/>
        </w:rPr>
        <w:t xml:space="preserve"> </w:t>
      </w:r>
      <w:r w:rsidRPr="00FF2E4B">
        <w:rPr>
          <w:lang w:val="en-GB"/>
        </w:rPr>
        <w:t>longer display times allow participants to report a greater number of correct letters than shorter display times do.</w:t>
      </w:r>
      <w:r w:rsidR="00185DB9">
        <w:rPr>
          <w:lang w:val="en-GB"/>
        </w:rPr>
        <w:t xml:space="preserve"> Further, it appears that selection is present but imperfect in PR trials.</w:t>
      </w:r>
    </w:p>
    <w:p w14:paraId="5EFAC252" w14:textId="115D3951" w:rsidR="005C5D2A" w:rsidRPr="003E30EC" w:rsidRDefault="0084644B" w:rsidP="003E30EC">
      <w:pPr>
        <w:keepNext/>
        <w:jc w:val="center"/>
        <w:rPr>
          <w:lang w:val="en-GB"/>
        </w:rPr>
      </w:pPr>
      <w:r w:rsidRPr="003E30EC">
        <w:rPr>
          <w:noProof/>
          <w:lang w:val="en-GB"/>
        </w:rPr>
        <w:drawing>
          <wp:inline distT="0" distB="0" distL="0" distR="0" wp14:anchorId="5DD5423F" wp14:editId="1EB38338">
            <wp:extent cx="4948015" cy="3108948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844" cy="31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A34B" w14:textId="2EB8C575" w:rsidR="00436871" w:rsidRPr="003E30EC" w:rsidRDefault="005C5D2A" w:rsidP="003E30EC">
      <w:pPr>
        <w:pStyle w:val="Caption"/>
        <w:jc w:val="center"/>
        <w:rPr>
          <w:color w:val="auto"/>
          <w:lang w:val="en-GB"/>
        </w:rPr>
      </w:pPr>
      <w:r w:rsidRPr="003E30EC">
        <w:rPr>
          <w:color w:val="auto"/>
          <w:lang w:val="en-GB"/>
        </w:rPr>
        <w:t>Figur</w:t>
      </w:r>
      <w:r w:rsidR="004A4285" w:rsidRPr="003E30EC">
        <w:rPr>
          <w:color w:val="auto"/>
          <w:lang w:val="en-GB"/>
        </w:rPr>
        <w:t>e</w:t>
      </w:r>
      <w:r w:rsidRPr="003E30EC">
        <w:rPr>
          <w:color w:val="auto"/>
          <w:lang w:val="en-GB"/>
        </w:rPr>
        <w:t xml:space="preserve"> </w:t>
      </w:r>
      <w:r w:rsidRPr="003E30EC">
        <w:rPr>
          <w:color w:val="auto"/>
          <w:lang w:val="en-GB"/>
        </w:rPr>
        <w:fldChar w:fldCharType="begin"/>
      </w:r>
      <w:r w:rsidRPr="003E30EC">
        <w:rPr>
          <w:color w:val="auto"/>
          <w:lang w:val="en-GB"/>
        </w:rPr>
        <w:instrText xml:space="preserve"> SEQ Figur \* ARABIC </w:instrText>
      </w:r>
      <w:r w:rsidRPr="003E30EC">
        <w:rPr>
          <w:color w:val="auto"/>
          <w:lang w:val="en-GB"/>
        </w:rPr>
        <w:fldChar w:fldCharType="separate"/>
      </w:r>
      <w:r w:rsidRPr="003E30EC">
        <w:rPr>
          <w:noProof/>
          <w:color w:val="auto"/>
          <w:lang w:val="en-GB"/>
        </w:rPr>
        <w:t>1</w:t>
      </w:r>
      <w:r w:rsidRPr="003E30EC">
        <w:rPr>
          <w:color w:val="auto"/>
          <w:lang w:val="en-GB"/>
        </w:rPr>
        <w:fldChar w:fldCharType="end"/>
      </w:r>
      <w:r w:rsidRPr="003E30EC">
        <w:rPr>
          <w:color w:val="auto"/>
          <w:lang w:val="en-GB"/>
        </w:rPr>
        <w:t>: Mean number of correctly identified letters across relevant display conditions for entire sample.</w:t>
      </w:r>
    </w:p>
    <w:p w14:paraId="10082F71" w14:textId="77777777" w:rsidR="00452E25" w:rsidRPr="00FF2E4B" w:rsidRDefault="00452E25" w:rsidP="00FF2E4B">
      <w:pPr>
        <w:jc w:val="both"/>
        <w:rPr>
          <w:rFonts w:eastAsiaTheme="minorEastAsia" w:cs="Times New Roman"/>
          <w:lang w:val="en-GB"/>
        </w:rPr>
      </w:pPr>
      <w:r w:rsidRPr="00FF2E4B">
        <w:rPr>
          <w:lang w:val="en-GB"/>
        </w:rPr>
        <w:lastRenderedPageBreak/>
        <w:t xml:space="preserve">A repeated measures ANOVA </w:t>
      </w:r>
      <w:r w:rsidRPr="00FF2E4B">
        <w:rPr>
          <w:rFonts w:cs="Times New Roman"/>
          <w:lang w:val="en-GB"/>
        </w:rPr>
        <w:t xml:space="preserve">showed a significant main effect of display time on number of correctly identified letters in six target displays, </w:t>
      </w:r>
      <w:r w:rsidRPr="00FF2E4B">
        <w:rPr>
          <w:rFonts w:cs="Times New Roman"/>
          <w:i/>
          <w:iCs/>
          <w:lang w:val="en-GB"/>
        </w:rPr>
        <w:t>F</w:t>
      </w:r>
      <w:r w:rsidRPr="00FF2E4B">
        <w:rPr>
          <w:rFonts w:cs="Times New Roman"/>
          <w:lang w:val="en-GB"/>
        </w:rPr>
        <w:t xml:space="preserve">(2.00, 411.36) = 3018.09, </w:t>
      </w:r>
      <w:r w:rsidRPr="00FF2E4B">
        <w:rPr>
          <w:rFonts w:cs="Times New Roman"/>
          <w:i/>
          <w:iCs/>
          <w:lang w:val="en-GB"/>
        </w:rPr>
        <w:t>p</w:t>
      </w:r>
      <w:r w:rsidRPr="00FF2E4B">
        <w:rPr>
          <w:rFonts w:cs="Times New Roman"/>
          <w:lang w:val="en-GB"/>
        </w:rPr>
        <w:t xml:space="preserve"> &lt; .001,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p</m:t>
            </m:r>
          </m:sub>
          <m:sup>
            <m:r>
              <w:rPr>
                <w:rFonts w:ascii="Cambria Math" w:hAnsi="Cambria Math" w:cs="Times New Roman"/>
                <w:lang w:val="en-GB"/>
              </w:rPr>
              <m:t>2</m:t>
            </m:r>
          </m:sup>
        </m:sSubSup>
      </m:oMath>
      <w:r w:rsidRPr="00FF2E4B">
        <w:rPr>
          <w:rFonts w:eastAsiaTheme="minorEastAsia" w:cs="Times New Roman"/>
          <w:lang w:val="en-GB"/>
        </w:rPr>
        <w:t xml:space="preserve"> = .94 (Huyhn-Feldt corrected).</w:t>
      </w:r>
    </w:p>
    <w:p w14:paraId="2510C88F" w14:textId="4F5F5E4A" w:rsidR="00452E25" w:rsidRPr="00FF2E4B" w:rsidRDefault="00452E25" w:rsidP="00FF2E4B">
      <w:pPr>
        <w:jc w:val="both"/>
        <w:rPr>
          <w:rFonts w:eastAsiaTheme="minorEastAsia" w:cs="Times New Roman"/>
          <w:lang w:val="en-GB"/>
        </w:rPr>
      </w:pPr>
      <w:r w:rsidRPr="00FF2E4B">
        <w:rPr>
          <w:rFonts w:eastAsiaTheme="minorEastAsia" w:cs="Times New Roman"/>
          <w:lang w:val="en-GB"/>
        </w:rPr>
        <w:tab/>
        <w:t xml:space="preserve">This statistically verifies that number of correctly identified letters varies between display times with longer display allowing </w:t>
      </w:r>
      <w:r w:rsidR="004A4285" w:rsidRPr="00FF2E4B">
        <w:rPr>
          <w:rFonts w:eastAsiaTheme="minorEastAsia" w:cs="Times New Roman"/>
          <w:lang w:val="en-GB"/>
        </w:rPr>
        <w:t>enhanced correct</w:t>
      </w:r>
      <w:r w:rsidRPr="00FF2E4B">
        <w:rPr>
          <w:rFonts w:eastAsiaTheme="minorEastAsia" w:cs="Times New Roman"/>
          <w:lang w:val="en-GB"/>
        </w:rPr>
        <w:t xml:space="preserve"> </w:t>
      </w:r>
      <w:r w:rsidR="004A4285" w:rsidRPr="00FF2E4B">
        <w:rPr>
          <w:rFonts w:eastAsiaTheme="minorEastAsia" w:cs="Times New Roman"/>
          <w:lang w:val="en-GB"/>
        </w:rPr>
        <w:t>identification</w:t>
      </w:r>
      <w:r w:rsidRPr="00FF2E4B">
        <w:rPr>
          <w:rFonts w:eastAsiaTheme="minorEastAsia" w:cs="Times New Roman"/>
          <w:lang w:val="en-GB"/>
        </w:rPr>
        <w:t xml:space="preserve"> (Figure 1).</w:t>
      </w:r>
    </w:p>
    <w:p w14:paraId="1BA17B99" w14:textId="1D0F633E" w:rsidR="00965CF4" w:rsidRPr="00FF2E4B" w:rsidRDefault="00965CF4" w:rsidP="00FF2E4B">
      <w:pPr>
        <w:jc w:val="both"/>
        <w:rPr>
          <w:rFonts w:eastAsiaTheme="minorEastAsia" w:cs="Times New Roman"/>
          <w:lang w:val="en-GB"/>
        </w:rPr>
      </w:pPr>
    </w:p>
    <w:p w14:paraId="725F0003" w14:textId="4DDAC760" w:rsidR="00965CF4" w:rsidRPr="00185DB9" w:rsidRDefault="00965CF4" w:rsidP="00FF2E4B">
      <w:pPr>
        <w:jc w:val="both"/>
        <w:rPr>
          <w:rFonts w:eastAsiaTheme="minorEastAsia" w:cs="Times New Roman"/>
          <w:lang w:val="en-GB"/>
        </w:rPr>
      </w:pPr>
      <w:r w:rsidRPr="00FF2E4B">
        <w:rPr>
          <w:rFonts w:eastAsiaTheme="minorEastAsia" w:cs="Times New Roman"/>
          <w:lang w:val="en-GB"/>
        </w:rPr>
        <w:t xml:space="preserve">Figure 2 </w:t>
      </w:r>
      <w:r w:rsidR="005C5D2A" w:rsidRPr="00FF2E4B">
        <w:rPr>
          <w:rFonts w:eastAsiaTheme="minorEastAsia" w:cs="Times New Roman"/>
          <w:lang w:val="en-GB"/>
        </w:rPr>
        <w:t>displays</w:t>
      </w:r>
      <w:r w:rsidRPr="00FF2E4B">
        <w:rPr>
          <w:rFonts w:eastAsiaTheme="minorEastAsia" w:cs="Times New Roman"/>
          <w:lang w:val="en-GB"/>
        </w:rPr>
        <w:t xml:space="preserve"> a TVA plot for FP19202</w:t>
      </w:r>
      <w:r w:rsidR="005C5D2A" w:rsidRPr="00FF2E4B">
        <w:rPr>
          <w:rFonts w:eastAsiaTheme="minorEastAsia" w:cs="Times New Roman"/>
          <w:lang w:val="en-GB"/>
        </w:rPr>
        <w:t>. This shows how FP19202 expresses a similar pattern, correctly identifying more letters with longer display times</w:t>
      </w:r>
      <w:r w:rsidR="00185DB9">
        <w:rPr>
          <w:rFonts w:eastAsiaTheme="minorEastAsia" w:cs="Times New Roman"/>
          <w:lang w:val="en-GB"/>
        </w:rPr>
        <w:t>, and thus confirms that such effects are present at an individual level.</w:t>
      </w:r>
    </w:p>
    <w:p w14:paraId="276CE976" w14:textId="77777777" w:rsidR="005C5D2A" w:rsidRPr="003E30EC" w:rsidRDefault="00965CF4" w:rsidP="003E30EC">
      <w:pPr>
        <w:keepNext/>
        <w:jc w:val="center"/>
        <w:rPr>
          <w:lang w:val="en-GB"/>
        </w:rPr>
      </w:pPr>
      <w:r w:rsidRPr="003E30EC">
        <w:rPr>
          <w:rFonts w:eastAsiaTheme="minorEastAsia" w:cs="Times New Roman"/>
          <w:noProof/>
          <w:lang w:val="en-GB"/>
        </w:rPr>
        <w:drawing>
          <wp:inline distT="0" distB="0" distL="0" distR="0" wp14:anchorId="4E15DCC5" wp14:editId="09D0ADB6">
            <wp:extent cx="5794048" cy="3467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250" cy="34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BBE5" w14:textId="63A910E5" w:rsidR="00965CF4" w:rsidRPr="003E30EC" w:rsidRDefault="005C5D2A" w:rsidP="003E30EC">
      <w:pPr>
        <w:pStyle w:val="Caption"/>
        <w:jc w:val="center"/>
        <w:rPr>
          <w:rFonts w:eastAsiaTheme="minorEastAsia" w:cs="Times New Roman"/>
          <w:color w:val="auto"/>
          <w:lang w:val="en-GB"/>
        </w:rPr>
      </w:pPr>
      <w:r w:rsidRPr="003E30EC">
        <w:rPr>
          <w:color w:val="auto"/>
          <w:lang w:val="en-GB"/>
        </w:rPr>
        <w:t>Figur</w:t>
      </w:r>
      <w:r w:rsidR="00FF2E4B" w:rsidRPr="003E30EC">
        <w:rPr>
          <w:color w:val="auto"/>
          <w:lang w:val="en-GB"/>
        </w:rPr>
        <w:t>e</w:t>
      </w:r>
      <w:r w:rsidRPr="003E30EC">
        <w:rPr>
          <w:color w:val="auto"/>
          <w:lang w:val="en-GB"/>
        </w:rPr>
        <w:t xml:space="preserve"> </w:t>
      </w:r>
      <w:r w:rsidRPr="003E30EC">
        <w:rPr>
          <w:color w:val="auto"/>
          <w:lang w:val="en-GB"/>
        </w:rPr>
        <w:fldChar w:fldCharType="begin"/>
      </w:r>
      <w:r w:rsidRPr="003E30EC">
        <w:rPr>
          <w:color w:val="auto"/>
          <w:lang w:val="en-GB"/>
        </w:rPr>
        <w:instrText xml:space="preserve"> SEQ Figur \* ARABIC </w:instrText>
      </w:r>
      <w:r w:rsidRPr="003E30EC">
        <w:rPr>
          <w:color w:val="auto"/>
          <w:lang w:val="en-GB"/>
        </w:rPr>
        <w:fldChar w:fldCharType="separate"/>
      </w:r>
      <w:r w:rsidRPr="003E30EC">
        <w:rPr>
          <w:noProof/>
          <w:color w:val="auto"/>
          <w:lang w:val="en-GB"/>
        </w:rPr>
        <w:t>2</w:t>
      </w:r>
      <w:r w:rsidRPr="003E30EC">
        <w:rPr>
          <w:color w:val="auto"/>
          <w:lang w:val="en-GB"/>
        </w:rPr>
        <w:fldChar w:fldCharType="end"/>
      </w:r>
      <w:r w:rsidRPr="003E30EC">
        <w:rPr>
          <w:color w:val="auto"/>
          <w:lang w:val="en-GB"/>
        </w:rPr>
        <w:t>: TVA plot over six targets display conditions for FP19202.</w:t>
      </w:r>
    </w:p>
    <w:p w14:paraId="0FEAECDF" w14:textId="77777777" w:rsidR="00436871" w:rsidRPr="00FF2E4B" w:rsidRDefault="00436871" w:rsidP="00FF2E4B">
      <w:pPr>
        <w:jc w:val="both"/>
        <w:rPr>
          <w:lang w:val="en-GB"/>
        </w:rPr>
      </w:pPr>
    </w:p>
    <w:p w14:paraId="428DCF19" w14:textId="31F78774" w:rsidR="00436871" w:rsidRPr="00FF2E4B" w:rsidRDefault="00FF2E4B" w:rsidP="00FF2E4B">
      <w:pPr>
        <w:pStyle w:val="Heading2"/>
        <w:jc w:val="both"/>
        <w:rPr>
          <w:lang w:val="en-GB"/>
        </w:rPr>
      </w:pPr>
      <w:r w:rsidRPr="00FF2E4B">
        <w:rPr>
          <w:lang w:val="en-GB"/>
        </w:rPr>
        <w:t>TVA p</w:t>
      </w:r>
      <w:r w:rsidR="00D1033B" w:rsidRPr="00FF2E4B">
        <w:rPr>
          <w:lang w:val="en-GB"/>
        </w:rPr>
        <w:t>arameter</w:t>
      </w:r>
      <w:r w:rsidRPr="00FF2E4B">
        <w:rPr>
          <w:lang w:val="en-GB"/>
        </w:rPr>
        <w:t xml:space="preserve"> correlations</w:t>
      </w:r>
    </w:p>
    <w:p w14:paraId="4BF782A3" w14:textId="03D8AFEF" w:rsidR="00572F06" w:rsidRPr="00FF2E4B" w:rsidRDefault="005C5D2A" w:rsidP="00FF2E4B">
      <w:pPr>
        <w:autoSpaceDE w:val="0"/>
        <w:autoSpaceDN w:val="0"/>
        <w:adjustRightInd w:val="0"/>
        <w:spacing w:line="400" w:lineRule="atLeast"/>
        <w:jc w:val="both"/>
        <w:rPr>
          <w:rFonts w:cs="Times New Roman"/>
          <w:lang w:val="en-GB"/>
        </w:rPr>
      </w:pPr>
      <w:r w:rsidRPr="00FF2E4B">
        <w:rPr>
          <w:lang w:val="en-GB"/>
        </w:rPr>
        <w:t xml:space="preserve">Two-tailed Pearson’s correlations </w:t>
      </w:r>
      <w:r w:rsidR="00572F06" w:rsidRPr="00FF2E4B">
        <w:rPr>
          <w:rFonts w:cs="Times New Roman"/>
          <w:lang w:val="en-GB"/>
        </w:rPr>
        <w:t>showed significant positive correlation</w:t>
      </w:r>
      <w:r w:rsidR="00452E25" w:rsidRPr="00FF2E4B">
        <w:rPr>
          <w:rFonts w:cs="Times New Roman"/>
          <w:lang w:val="en-GB"/>
        </w:rPr>
        <w:t>s</w:t>
      </w:r>
      <w:r w:rsidR="00572F06" w:rsidRPr="00FF2E4B">
        <w:rPr>
          <w:rFonts w:cs="Times New Roman"/>
          <w:lang w:val="en-GB"/>
        </w:rPr>
        <w:t xml:space="preserve"> between paramet</w:t>
      </w:r>
      <w:r w:rsidR="00452E25" w:rsidRPr="00FF2E4B">
        <w:rPr>
          <w:rFonts w:cs="Times New Roman"/>
          <w:lang w:val="en-GB"/>
        </w:rPr>
        <w:t>er</w:t>
      </w:r>
      <w:r w:rsidR="00572F06" w:rsidRPr="00FF2E4B">
        <w:rPr>
          <w:rFonts w:cs="Times New Roman"/>
          <w:lang w:val="en-GB"/>
        </w:rPr>
        <w:t xml:space="preserve">s </w:t>
      </w:r>
      <w:r w:rsidR="00572F06" w:rsidRPr="00FF2E4B">
        <w:rPr>
          <w:rFonts w:cs="Times New Roman"/>
          <w:i/>
          <w:iCs/>
          <w:lang w:val="en-GB"/>
        </w:rPr>
        <w:t>K</w:t>
      </w:r>
      <w:r w:rsidR="00572F06" w:rsidRPr="00FF2E4B">
        <w:rPr>
          <w:rFonts w:cs="Times New Roman"/>
          <w:lang w:val="en-GB"/>
        </w:rPr>
        <w:t xml:space="preserve"> and </w:t>
      </w:r>
      <w:r w:rsidR="00572F06" w:rsidRPr="00FF2E4B">
        <w:rPr>
          <w:rFonts w:cs="Times New Roman"/>
          <w:i/>
          <w:iCs/>
          <w:lang w:val="en-GB"/>
        </w:rPr>
        <w:t>C</w:t>
      </w:r>
      <w:r w:rsidR="00572F06" w:rsidRPr="00FF2E4B">
        <w:rPr>
          <w:rFonts w:cs="Times New Roman"/>
          <w:lang w:val="en-GB"/>
        </w:rPr>
        <w:t xml:space="preserve">, </w:t>
      </w:r>
      <w:r w:rsidR="00572F06" w:rsidRPr="00FF2E4B">
        <w:rPr>
          <w:rFonts w:cs="Times New Roman"/>
          <w:i/>
          <w:iCs/>
          <w:lang w:val="en-GB"/>
        </w:rPr>
        <w:t>r</w:t>
      </w:r>
      <w:r w:rsidR="00572F06" w:rsidRPr="00FF2E4B">
        <w:rPr>
          <w:rFonts w:cs="Times New Roman"/>
          <w:lang w:val="en-GB"/>
        </w:rPr>
        <w:t xml:space="preserve">(205) = .47, </w:t>
      </w:r>
      <w:r w:rsidR="00572F06" w:rsidRPr="00FF2E4B">
        <w:rPr>
          <w:rFonts w:cs="Times New Roman"/>
          <w:i/>
          <w:iCs/>
          <w:lang w:val="en-GB"/>
        </w:rPr>
        <w:t>p</w:t>
      </w:r>
      <w:r w:rsidR="00572F06" w:rsidRPr="00FF2E4B">
        <w:rPr>
          <w:rFonts w:cs="Times New Roman"/>
          <w:lang w:val="en-GB"/>
        </w:rPr>
        <w:t xml:space="preserve"> &lt; .001</w:t>
      </w:r>
      <w:r w:rsidR="00BD6388">
        <w:rPr>
          <w:rFonts w:cs="Times New Roman"/>
          <w:lang w:val="en-GB"/>
        </w:rPr>
        <w:t>, as expected</w:t>
      </w:r>
      <w:r w:rsidR="00452E25" w:rsidRPr="00FF2E4B">
        <w:rPr>
          <w:rFonts w:cs="Times New Roman"/>
          <w:lang w:val="en-GB"/>
        </w:rPr>
        <w:t>, and between a</w:t>
      </w:r>
      <w:r w:rsidR="00572F06" w:rsidRPr="00FF2E4B">
        <w:rPr>
          <w:rFonts w:cs="Times New Roman"/>
          <w:lang w:val="en-GB"/>
        </w:rPr>
        <w:t xml:space="preserve">ge </w:t>
      </w:r>
      <w:r w:rsidR="00452E25" w:rsidRPr="00FF2E4B">
        <w:rPr>
          <w:rFonts w:cs="Times New Roman"/>
          <w:lang w:val="en-GB"/>
        </w:rPr>
        <w:t>and</w:t>
      </w:r>
      <w:r w:rsidR="00572F06" w:rsidRPr="00FF2E4B">
        <w:rPr>
          <w:rFonts w:cs="Times New Roman"/>
          <w:lang w:val="en-GB"/>
        </w:rPr>
        <w:t xml:space="preserve"> parameter</w:t>
      </w:r>
      <w:r w:rsidR="00452E25" w:rsidRPr="00FF2E4B">
        <w:rPr>
          <w:rFonts w:cs="Times New Roman"/>
          <w:lang w:val="en-GB"/>
        </w:rPr>
        <w:t xml:space="preserve"> </w:t>
      </w:r>
      <m:oMath>
        <m:r>
          <w:rPr>
            <w:rFonts w:ascii="Cambria Math" w:hAnsi="Cambria Math" w:cs="Times New Roman"/>
            <w:lang w:val="en-GB"/>
          </w:rPr>
          <m:t>α</m:t>
        </m:r>
      </m:oMath>
      <w:r w:rsidR="00572F06" w:rsidRPr="00FF2E4B">
        <w:rPr>
          <w:rFonts w:cs="Times New Roman"/>
          <w:lang w:val="en-GB"/>
        </w:rPr>
        <w:t xml:space="preserve">, </w:t>
      </w:r>
      <w:r w:rsidR="00572F06" w:rsidRPr="00FF2E4B">
        <w:rPr>
          <w:rFonts w:cs="Times New Roman"/>
          <w:i/>
          <w:iCs/>
          <w:lang w:val="en-GB"/>
        </w:rPr>
        <w:t>r</w:t>
      </w:r>
      <w:r w:rsidR="00572F06" w:rsidRPr="00FF2E4B">
        <w:rPr>
          <w:rFonts w:cs="Times New Roman"/>
          <w:lang w:val="en-GB"/>
        </w:rPr>
        <w:t xml:space="preserve">(205) = .18, </w:t>
      </w:r>
      <w:r w:rsidR="00572F06" w:rsidRPr="00FF2E4B">
        <w:rPr>
          <w:rFonts w:cs="Times New Roman"/>
          <w:i/>
          <w:iCs/>
          <w:lang w:val="en-GB"/>
        </w:rPr>
        <w:t>p</w:t>
      </w:r>
      <w:r w:rsidR="00572F06" w:rsidRPr="00FF2E4B">
        <w:rPr>
          <w:rFonts w:cs="Times New Roman"/>
          <w:lang w:val="en-GB"/>
        </w:rPr>
        <w:t xml:space="preserve"> = .01. </w:t>
      </w:r>
      <w:r w:rsidR="00BD6388">
        <w:rPr>
          <w:rFonts w:cs="Times New Roman"/>
          <w:lang w:val="en-GB"/>
        </w:rPr>
        <w:t>Age</w:t>
      </w:r>
      <w:r w:rsidR="00572F06" w:rsidRPr="00FF2E4B">
        <w:rPr>
          <w:rFonts w:cs="Times New Roman"/>
          <w:lang w:val="en-GB"/>
        </w:rPr>
        <w:t xml:space="preserve"> did not correlate with any of the other TVA </w:t>
      </w:r>
      <w:r w:rsidR="00185DB9">
        <w:rPr>
          <w:rFonts w:cs="Times New Roman"/>
          <w:lang w:val="en-GB"/>
        </w:rPr>
        <w:t>parameters</w:t>
      </w:r>
      <w:r w:rsidR="00572F06" w:rsidRPr="00FF2E4B">
        <w:rPr>
          <w:rFonts w:cs="Times New Roman"/>
          <w:lang w:val="en-GB"/>
        </w:rPr>
        <w:t xml:space="preserve">, </w:t>
      </w:r>
      <w:proofErr w:type="spellStart"/>
      <w:r w:rsidR="00572F06" w:rsidRPr="00FF2E4B">
        <w:rPr>
          <w:rFonts w:cs="Times New Roman"/>
          <w:i/>
          <w:iCs/>
          <w:lang w:val="en-GB"/>
        </w:rPr>
        <w:t>r</w:t>
      </w:r>
      <w:r w:rsidR="00572F06" w:rsidRPr="00FF2E4B">
        <w:rPr>
          <w:rFonts w:cs="Times New Roman"/>
          <w:lang w:val="en-GB"/>
        </w:rPr>
        <w:t>s</w:t>
      </w:r>
      <w:proofErr w:type="spellEnd"/>
      <w:r w:rsidR="00572F06" w:rsidRPr="00FF2E4B">
        <w:rPr>
          <w:rFonts w:cs="Times New Roman"/>
          <w:lang w:val="en-GB"/>
        </w:rPr>
        <w:t xml:space="preserve"> ≤ .13, </w:t>
      </w:r>
      <w:proofErr w:type="spellStart"/>
      <w:r w:rsidR="00572F06" w:rsidRPr="00FF2E4B">
        <w:rPr>
          <w:rFonts w:cs="Times New Roman"/>
          <w:lang w:val="en-GB"/>
        </w:rPr>
        <w:t>dfs</w:t>
      </w:r>
      <w:proofErr w:type="spellEnd"/>
      <w:r w:rsidR="00572F06" w:rsidRPr="00FF2E4B">
        <w:rPr>
          <w:rFonts w:cs="Times New Roman"/>
          <w:lang w:val="en-GB"/>
        </w:rPr>
        <w:t xml:space="preserve"> = 205, </w:t>
      </w:r>
      <w:proofErr w:type="spellStart"/>
      <w:r w:rsidR="00572F06" w:rsidRPr="00FF2E4B">
        <w:rPr>
          <w:rFonts w:cs="Times New Roman"/>
          <w:i/>
          <w:iCs/>
          <w:lang w:val="en-GB"/>
        </w:rPr>
        <w:t>p</w:t>
      </w:r>
      <w:r w:rsidR="00572F06" w:rsidRPr="00FF2E4B">
        <w:rPr>
          <w:rFonts w:cs="Times New Roman"/>
          <w:lang w:val="en-GB"/>
        </w:rPr>
        <w:t>s</w:t>
      </w:r>
      <w:proofErr w:type="spellEnd"/>
      <w:r w:rsidR="00572F06" w:rsidRPr="00FF2E4B">
        <w:rPr>
          <w:rFonts w:cs="Times New Roman"/>
          <w:lang w:val="en-GB"/>
        </w:rPr>
        <w:t xml:space="preserve"> ≥ .07.</w:t>
      </w:r>
    </w:p>
    <w:p w14:paraId="5FAC19A9" w14:textId="2DAED732" w:rsidR="00436871" w:rsidRPr="00FF2E4B" w:rsidRDefault="00185DB9" w:rsidP="00FF2E4B">
      <w:pPr>
        <w:autoSpaceDE w:val="0"/>
        <w:autoSpaceDN w:val="0"/>
        <w:adjustRightInd w:val="0"/>
        <w:spacing w:line="400" w:lineRule="atLeast"/>
        <w:ind w:firstLine="720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Thus, p</w:t>
      </w:r>
      <w:r w:rsidR="00D1033B" w:rsidRPr="00FF2E4B">
        <w:rPr>
          <w:rFonts w:cs="Times New Roman"/>
          <w:lang w:val="en-GB"/>
        </w:rPr>
        <w:t xml:space="preserve">articipants with greater visual short-term memory capacity also had greater processing speed (Figure </w:t>
      </w:r>
      <w:r w:rsidR="005C5D2A" w:rsidRPr="00FF2E4B">
        <w:rPr>
          <w:rFonts w:cs="Times New Roman"/>
          <w:lang w:val="en-GB"/>
        </w:rPr>
        <w:t>3</w:t>
      </w:r>
      <w:r w:rsidR="00D1033B" w:rsidRPr="00FF2E4B">
        <w:rPr>
          <w:rFonts w:cs="Times New Roman"/>
          <w:lang w:val="en-GB"/>
        </w:rPr>
        <w:t xml:space="preserve">), implying some </w:t>
      </w:r>
      <w:r>
        <w:rPr>
          <w:rFonts w:cs="Times New Roman"/>
          <w:lang w:val="en-GB"/>
        </w:rPr>
        <w:t xml:space="preserve">underlying </w:t>
      </w:r>
      <w:r w:rsidR="00452E25" w:rsidRPr="00FF2E4B">
        <w:rPr>
          <w:rFonts w:cs="Times New Roman"/>
          <w:lang w:val="en-GB"/>
        </w:rPr>
        <w:t xml:space="preserve">similarities between </w:t>
      </w:r>
      <w:r w:rsidR="00D1033B" w:rsidRPr="00FF2E4B">
        <w:rPr>
          <w:rFonts w:cs="Times New Roman"/>
          <w:lang w:val="en-GB"/>
        </w:rPr>
        <w:t>parameters</w:t>
      </w:r>
      <w:r w:rsidR="00452E25" w:rsidRPr="00FF2E4B">
        <w:rPr>
          <w:rFonts w:cs="Times New Roman"/>
          <w:lang w:val="en-GB"/>
        </w:rPr>
        <w:t xml:space="preserve"> </w:t>
      </w:r>
      <w:r w:rsidR="00452E25" w:rsidRPr="00FF2E4B">
        <w:rPr>
          <w:rFonts w:cs="Times New Roman"/>
          <w:i/>
          <w:iCs/>
          <w:lang w:val="en-GB"/>
        </w:rPr>
        <w:t>K</w:t>
      </w:r>
      <w:r w:rsidR="00452E25" w:rsidRPr="00FF2E4B">
        <w:rPr>
          <w:rFonts w:cs="Times New Roman"/>
          <w:lang w:val="en-GB"/>
        </w:rPr>
        <w:t xml:space="preserve"> and </w:t>
      </w:r>
      <w:r w:rsidR="00452E25" w:rsidRPr="00FF2E4B">
        <w:rPr>
          <w:rFonts w:cs="Times New Roman"/>
          <w:i/>
          <w:iCs/>
          <w:lang w:val="en-GB"/>
        </w:rPr>
        <w:t>C</w:t>
      </w:r>
      <w:r w:rsidR="00452E25" w:rsidRPr="00FF2E4B">
        <w:rPr>
          <w:rFonts w:cs="Times New Roman"/>
          <w:lang w:val="en-GB"/>
        </w:rPr>
        <w:t xml:space="preserve">. Further, </w:t>
      </w:r>
      <w:r w:rsidR="00BD6388">
        <w:rPr>
          <w:rFonts w:cs="Times New Roman"/>
          <w:lang w:val="en-GB"/>
        </w:rPr>
        <w:t xml:space="preserve">older </w:t>
      </w:r>
      <w:r w:rsidR="00D1033B" w:rsidRPr="00FF2E4B">
        <w:rPr>
          <w:rFonts w:eastAsiaTheme="minorEastAsia" w:cs="Times New Roman"/>
          <w:lang w:val="en-GB"/>
        </w:rPr>
        <w:lastRenderedPageBreak/>
        <w:t xml:space="preserve">participants tended to have worse selectivity than younger ones. </w:t>
      </w:r>
      <w:r w:rsidR="00BD6388">
        <w:rPr>
          <w:rFonts w:eastAsiaTheme="minorEastAsia" w:cs="Times New Roman"/>
          <w:lang w:val="en-GB"/>
        </w:rPr>
        <w:t xml:space="preserve">The lack of other age related correlations may be attributable </w:t>
      </w:r>
      <w:r w:rsidR="00D1033B" w:rsidRPr="00FF2E4B">
        <w:rPr>
          <w:rFonts w:eastAsiaTheme="minorEastAsia" w:cs="Times New Roman"/>
          <w:lang w:val="en-GB"/>
        </w:rPr>
        <w:t>to the distribution of age in our sample.</w:t>
      </w:r>
    </w:p>
    <w:p w14:paraId="23562A61" w14:textId="77777777" w:rsidR="005C5D2A" w:rsidRPr="00FF2E4B" w:rsidRDefault="00572F06" w:rsidP="00FF2E4B">
      <w:pPr>
        <w:keepNext/>
        <w:jc w:val="both"/>
        <w:rPr>
          <w:lang w:val="en-GB"/>
        </w:rPr>
      </w:pPr>
      <w:r w:rsidRPr="00FF2E4B">
        <w:rPr>
          <w:noProof/>
          <w:lang w:val="en-GB"/>
        </w:rPr>
        <w:drawing>
          <wp:inline distT="0" distB="0" distL="0" distR="0" wp14:anchorId="71A80196" wp14:editId="2E0DB6C4">
            <wp:extent cx="5673004" cy="3555051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4526" cy="35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4D05" w14:textId="4CA2A17C" w:rsidR="00436871" w:rsidRPr="00FF2E4B" w:rsidRDefault="005C5D2A" w:rsidP="00FF2E4B">
      <w:pPr>
        <w:pStyle w:val="Caption"/>
        <w:jc w:val="both"/>
        <w:rPr>
          <w:lang w:val="en-GB"/>
        </w:rPr>
      </w:pPr>
      <w:r w:rsidRPr="00FF2E4B">
        <w:rPr>
          <w:lang w:val="en-GB"/>
        </w:rPr>
        <w:t>Figur</w:t>
      </w:r>
      <w:r w:rsidR="00FF2E4B" w:rsidRPr="00FF2E4B">
        <w:rPr>
          <w:lang w:val="en-GB"/>
        </w:rPr>
        <w:t>e</w:t>
      </w:r>
      <w:r w:rsidRPr="00FF2E4B">
        <w:rPr>
          <w:lang w:val="en-GB"/>
        </w:rPr>
        <w:t xml:space="preserve"> </w:t>
      </w:r>
      <w:r w:rsidRPr="00FF2E4B">
        <w:rPr>
          <w:lang w:val="en-GB"/>
        </w:rPr>
        <w:fldChar w:fldCharType="begin"/>
      </w:r>
      <w:r w:rsidRPr="00FF2E4B">
        <w:rPr>
          <w:lang w:val="en-GB"/>
        </w:rPr>
        <w:instrText xml:space="preserve"> SEQ Figur \* ARABIC </w:instrText>
      </w:r>
      <w:r w:rsidRPr="00FF2E4B">
        <w:rPr>
          <w:lang w:val="en-GB"/>
        </w:rPr>
        <w:fldChar w:fldCharType="separate"/>
      </w:r>
      <w:r w:rsidRPr="00FF2E4B">
        <w:rPr>
          <w:noProof/>
          <w:lang w:val="en-GB"/>
        </w:rPr>
        <w:t>3</w:t>
      </w:r>
      <w:r w:rsidRPr="00FF2E4B">
        <w:rPr>
          <w:lang w:val="en-GB"/>
        </w:rPr>
        <w:fldChar w:fldCharType="end"/>
      </w:r>
      <w:r w:rsidRPr="00FF2E4B">
        <w:rPr>
          <w:lang w:val="en-GB"/>
        </w:rPr>
        <w:t>: Scatterplot displaying significant positive correlation between parameters K and C.</w:t>
      </w:r>
    </w:p>
    <w:p w14:paraId="77D4B6D8" w14:textId="1791266C" w:rsidR="00436871" w:rsidRPr="00FF2E4B" w:rsidRDefault="003E30EC" w:rsidP="00FF2E4B">
      <w:pPr>
        <w:pStyle w:val="Heading2"/>
        <w:jc w:val="both"/>
        <w:rPr>
          <w:lang w:val="en-GB"/>
        </w:rPr>
      </w:pPr>
      <w:r>
        <w:rPr>
          <w:lang w:val="en-GB"/>
        </w:rPr>
        <w:t>Female participants did not distribute there attentional resources equally</w:t>
      </w:r>
    </w:p>
    <w:p w14:paraId="7ED509D1" w14:textId="444BEB55" w:rsidR="004A1CC5" w:rsidRPr="00FF2E4B" w:rsidRDefault="00AB2DCB" w:rsidP="00FF2E4B">
      <w:pPr>
        <w:jc w:val="both"/>
        <w:rPr>
          <w:lang w:val="en-GB"/>
        </w:rPr>
      </w:pPr>
      <w:r>
        <w:rPr>
          <w:lang w:val="en-GB"/>
        </w:rPr>
        <w:t>Independent</w:t>
      </w:r>
      <w:r w:rsidR="004A1CC5" w:rsidRPr="00FF2E4B">
        <w:rPr>
          <w:lang w:val="en-GB"/>
        </w:rPr>
        <w:t xml:space="preserve">-samples </w:t>
      </w:r>
      <w:r w:rsidR="004A1CC5" w:rsidRPr="00FF2E4B">
        <w:rPr>
          <w:i/>
          <w:iCs/>
          <w:lang w:val="en-GB"/>
        </w:rPr>
        <w:t>t</w:t>
      </w:r>
      <w:r w:rsidR="004A1CC5" w:rsidRPr="00FF2E4B">
        <w:rPr>
          <w:lang w:val="en-GB"/>
        </w:rPr>
        <w:t xml:space="preserve">-tests </w:t>
      </w:r>
      <w:r w:rsidR="00BD6388" w:rsidRPr="00FF2E4B">
        <w:rPr>
          <w:rFonts w:cs="Times New Roman"/>
          <w:lang w:val="en-GB"/>
        </w:rPr>
        <w:t xml:space="preserve">(two-tailed, </w:t>
      </w:r>
      <m:oMath>
        <m:r>
          <w:rPr>
            <w:rFonts w:ascii="Cambria Math" w:hAnsi="Cambria Math" w:cs="Times New Roman"/>
            <w:lang w:val="en-GB"/>
          </w:rPr>
          <m:t>α</m:t>
        </m:r>
      </m:oMath>
      <w:r w:rsidR="00BD6388" w:rsidRPr="00FF2E4B">
        <w:rPr>
          <w:rFonts w:cs="Times New Roman"/>
          <w:lang w:val="en-GB"/>
        </w:rPr>
        <w:t xml:space="preserve"> = .05) </w:t>
      </w:r>
      <w:r w:rsidR="004A1CC5" w:rsidRPr="00FF2E4B">
        <w:rPr>
          <w:lang w:val="en-GB"/>
        </w:rPr>
        <w:t>were used to test for</w:t>
      </w:r>
      <w:r w:rsidR="00185DB9">
        <w:rPr>
          <w:lang w:val="en-GB"/>
        </w:rPr>
        <w:t xml:space="preserve"> </w:t>
      </w:r>
      <w:r w:rsidR="000D5F87">
        <w:rPr>
          <w:lang w:val="en-GB"/>
        </w:rPr>
        <w:t>gender</w:t>
      </w:r>
      <w:r w:rsidR="004A1CC5" w:rsidRPr="00FF2E4B">
        <w:rPr>
          <w:lang w:val="en-GB"/>
        </w:rPr>
        <w:t xml:space="preserve"> differences in all TVA parameters. Results are shown in Table 1.</w:t>
      </w:r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1058"/>
        <w:gridCol w:w="1327"/>
        <w:gridCol w:w="160"/>
        <w:gridCol w:w="1059"/>
        <w:gridCol w:w="1327"/>
        <w:gridCol w:w="200"/>
        <w:gridCol w:w="972"/>
        <w:gridCol w:w="615"/>
        <w:gridCol w:w="972"/>
      </w:tblGrid>
      <w:tr w:rsidR="00572F06" w:rsidRPr="005A251E" w14:paraId="1E33840C" w14:textId="77777777" w:rsidTr="004929CB">
        <w:trPr>
          <w:trHeight w:val="645"/>
        </w:trPr>
        <w:tc>
          <w:tcPr>
            <w:tcW w:w="90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6776A3D" w14:textId="375576FF" w:rsidR="00572F06" w:rsidRPr="00FF2E4B" w:rsidRDefault="00572F06" w:rsidP="005A251E">
            <w:pPr>
              <w:spacing w:line="240" w:lineRule="auto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Tab</w:t>
            </w:r>
            <w:r w:rsidR="00331F6F" w:rsidRPr="00FF2E4B">
              <w:rPr>
                <w:rFonts w:eastAsia="Times New Roman" w:cs="Times New Roman"/>
                <w:color w:val="000000"/>
                <w:lang w:val="en-GB" w:eastAsia="da-DK"/>
              </w:rPr>
              <w:t>le</w:t>
            </w:r>
            <w:r w:rsidR="005A251E">
              <w:rPr>
                <w:rFonts w:eastAsia="Times New Roman" w:cs="Times New Roman"/>
                <w:color w:val="000000"/>
                <w:lang w:val="en-GB" w:eastAsia="da-DK"/>
              </w:rPr>
              <w:t xml:space="preserve"> </w:t>
            </w:r>
            <w:bookmarkStart w:id="0" w:name="_GoBack"/>
            <w:bookmarkEnd w:id="0"/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1</w:t>
            </w: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br/>
            </w:r>
            <w:r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>Mean</w:t>
            </w: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 xml:space="preserve"> </w:t>
            </w:r>
            <w:r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 xml:space="preserve">TVA estimates and error rates distributed across </w:t>
            </w:r>
            <w:r w:rsidR="000D5F87">
              <w:rPr>
                <w:rFonts w:eastAsia="Times New Roman" w:cs="Times New Roman"/>
                <w:i/>
                <w:color w:val="000000"/>
                <w:lang w:val="en-GB" w:eastAsia="da-DK"/>
              </w:rPr>
              <w:t>gender</w:t>
            </w:r>
            <w:r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 xml:space="preserve"> with relevant t-tests</w:t>
            </w:r>
            <w:r w:rsidR="00FF2E4B"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>.</w:t>
            </w:r>
          </w:p>
        </w:tc>
      </w:tr>
      <w:tr w:rsidR="00572F06" w:rsidRPr="00FF2E4B" w14:paraId="0DF82742" w14:textId="77777777" w:rsidTr="004929CB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8AB0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</w:p>
        </w:tc>
        <w:tc>
          <w:tcPr>
            <w:tcW w:w="23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E62F8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Female (</w:t>
            </w:r>
            <w:r w:rsidRPr="00FF2E4B">
              <w:rPr>
                <w:rFonts w:eastAsia="Times New Roman" w:cs="Times New Roman"/>
                <w:i/>
                <w:iCs/>
                <w:color w:val="000000"/>
                <w:lang w:val="en-GB" w:eastAsia="da-DK"/>
              </w:rPr>
              <w:t>N</w:t>
            </w: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 xml:space="preserve"> = 169)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A68C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D3C9F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Male (</w:t>
            </w:r>
            <w:r w:rsidRPr="00FF2E4B">
              <w:rPr>
                <w:rFonts w:eastAsia="Times New Roman" w:cs="Times New Roman"/>
                <w:i/>
                <w:iCs/>
                <w:color w:val="000000"/>
                <w:lang w:val="en-GB" w:eastAsia="da-DK"/>
              </w:rPr>
              <w:t>N</w:t>
            </w: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 xml:space="preserve"> = 37)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91F3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</w:p>
        </w:tc>
        <w:tc>
          <w:tcPr>
            <w:tcW w:w="2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3B1095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>t</w:t>
            </w: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-tests</w:t>
            </w:r>
          </w:p>
        </w:tc>
      </w:tr>
      <w:tr w:rsidR="00572F06" w:rsidRPr="00FF2E4B" w14:paraId="0206E807" w14:textId="77777777" w:rsidTr="004929CB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6BDA9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6B618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i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>M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464F3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i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>SD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19AE4" w14:textId="5B11670F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i/>
                <w:color w:val="000000"/>
                <w:lang w:val="en-GB" w:eastAsia="da-DK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FE3C9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i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>M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27063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i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>SD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E3BB0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i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4B1D8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i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>t</w:t>
            </w: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(204)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77C51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i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>p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908E4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i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>d</w:t>
            </w:r>
          </w:p>
        </w:tc>
      </w:tr>
      <w:tr w:rsidR="00572F06" w:rsidRPr="00FF2E4B" w14:paraId="124BAE50" w14:textId="77777777" w:rsidTr="004929CB">
        <w:trPr>
          <w:trHeight w:val="312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FF5CF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i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>t</w:t>
            </w:r>
            <w:r w:rsidRPr="00FF2E4B">
              <w:rPr>
                <w:rFonts w:eastAsia="Times New Roman" w:cs="Times New Roman"/>
                <w:color w:val="000000"/>
                <w:vertAlign w:val="subscript"/>
                <w:lang w:val="en-GB" w:eastAsia="da-DK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F8EB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18.55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1D60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(9.20)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A2B8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6B8C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16.49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B9B1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(8.26)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A15B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E2AB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1.25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A651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.21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565B" w14:textId="5C5E06C3" w:rsidR="00572F06" w:rsidRPr="00FF2E4B" w:rsidRDefault="00D8766C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>
              <w:rPr>
                <w:rFonts w:eastAsia="Times New Roman" w:cs="Times New Roman"/>
                <w:color w:val="000000"/>
                <w:lang w:val="en-GB" w:eastAsia="da-DK"/>
              </w:rPr>
              <w:t>0.24</w:t>
            </w:r>
          </w:p>
        </w:tc>
      </w:tr>
      <w:tr w:rsidR="00572F06" w:rsidRPr="00FF2E4B" w14:paraId="4681F109" w14:textId="77777777" w:rsidTr="004929CB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AF0F3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i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>C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9BD4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51.47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F01B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(19.62)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F85B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658B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52.61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5EF7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(22.21)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D890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D3F1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-0.31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B743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.76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8924" w14:textId="082E09D3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-0.</w:t>
            </w:r>
            <w:r w:rsidR="00D8766C">
              <w:rPr>
                <w:rFonts w:eastAsia="Times New Roman" w:cs="Times New Roman"/>
                <w:color w:val="000000"/>
                <w:lang w:val="en-GB" w:eastAsia="da-DK"/>
              </w:rPr>
              <w:t>05</w:t>
            </w:r>
          </w:p>
        </w:tc>
      </w:tr>
      <w:tr w:rsidR="00572F06" w:rsidRPr="00FF2E4B" w14:paraId="6215258D" w14:textId="77777777" w:rsidTr="004929CB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C0A3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i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>K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E2F1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3.10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F418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(0.65)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2491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C570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3.18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2FC8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(0.68)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DA2E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FE57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-0.71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0B2C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.48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8056" w14:textId="382064FF" w:rsidR="00572F06" w:rsidRPr="00FF2E4B" w:rsidRDefault="00D8766C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>
              <w:rPr>
                <w:rFonts w:eastAsia="Times New Roman" w:cs="Times New Roman"/>
                <w:color w:val="000000"/>
                <w:lang w:val="en-GB" w:eastAsia="da-DK"/>
              </w:rPr>
              <w:t>-0.13</w:t>
            </w:r>
          </w:p>
        </w:tc>
      </w:tr>
      <w:tr w:rsidR="00572F06" w:rsidRPr="00FF2E4B" w14:paraId="198D8512" w14:textId="77777777" w:rsidTr="004929CB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88E8" w14:textId="79748055" w:rsidR="00572F06" w:rsidRPr="00FF2E4B" w:rsidRDefault="007100B9" w:rsidP="00FF2E4B">
            <w:pPr>
              <w:spacing w:line="240" w:lineRule="auto"/>
              <w:jc w:val="both"/>
              <w:rPr>
                <w:rFonts w:eastAsia="Times New Roman" w:cs="Times New Roman"/>
                <w:i/>
                <w:color w:val="000000"/>
                <w:lang w:val="en-GB" w:eastAsia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α</m:t>
                </m:r>
              </m:oMath>
            </m:oMathPara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21B2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0.40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7558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(0.31)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75FA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DCD3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0.35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5ECD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(0.36)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9146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0A1D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0.89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E9A7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.38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93E4" w14:textId="294DB06D" w:rsidR="00572F06" w:rsidRPr="00FF2E4B" w:rsidRDefault="00D8766C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>
              <w:rPr>
                <w:rFonts w:eastAsia="Times New Roman" w:cs="Times New Roman"/>
                <w:color w:val="000000"/>
                <w:lang w:val="en-GB" w:eastAsia="da-DK"/>
              </w:rPr>
              <w:t>0.15</w:t>
            </w:r>
          </w:p>
        </w:tc>
      </w:tr>
      <w:tr w:rsidR="00572F06" w:rsidRPr="00FF2E4B" w14:paraId="2F495C44" w14:textId="77777777" w:rsidTr="004929CB">
        <w:trPr>
          <w:trHeight w:val="312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6C519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i/>
                <w:color w:val="000000"/>
                <w:lang w:val="en-GB" w:eastAsia="da-DK"/>
              </w:rPr>
            </w:pPr>
            <w:proofErr w:type="spellStart"/>
            <w:r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>w</w:t>
            </w:r>
            <w:r w:rsidRPr="00FF2E4B">
              <w:rPr>
                <w:rFonts w:eastAsia="Times New Roman" w:cs="Times New Roman"/>
                <w:i/>
                <w:color w:val="000000"/>
                <w:vertAlign w:val="subscript"/>
                <w:lang w:val="en-GB" w:eastAsia="da-DK"/>
              </w:rPr>
              <w:t>index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4DD1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0.54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F675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(0.10)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D4CE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89CC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0.50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4255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(0.10)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8DF3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594D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2.23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B764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.03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37B1" w14:textId="7EF0B085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0.</w:t>
            </w:r>
            <w:r w:rsidR="00D8766C">
              <w:rPr>
                <w:rFonts w:eastAsia="Times New Roman" w:cs="Times New Roman"/>
                <w:color w:val="000000"/>
                <w:lang w:val="en-GB" w:eastAsia="da-DK"/>
              </w:rPr>
              <w:t>41</w:t>
            </w:r>
          </w:p>
        </w:tc>
      </w:tr>
      <w:tr w:rsidR="00572F06" w:rsidRPr="00FF2E4B" w14:paraId="2195F1F6" w14:textId="77777777" w:rsidTr="004929CB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563D0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i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i/>
                <w:color w:val="000000"/>
                <w:lang w:val="en-GB" w:eastAsia="da-DK"/>
              </w:rPr>
              <w:t>Error rate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E480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0.15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D659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(0.07)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D19F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B0EE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0.16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7128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(0.07)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C514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56EC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-0.51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8097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 w:rsidRPr="00FF2E4B">
              <w:rPr>
                <w:rFonts w:eastAsia="Times New Roman" w:cs="Times New Roman"/>
                <w:color w:val="000000"/>
                <w:lang w:val="en-GB" w:eastAsia="da-DK"/>
              </w:rPr>
              <w:t>.61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E737" w14:textId="4EE89FEA" w:rsidR="00572F06" w:rsidRPr="00FF2E4B" w:rsidRDefault="00D8766C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lang w:val="en-GB" w:eastAsia="da-DK"/>
              </w:rPr>
            </w:pPr>
            <w:r>
              <w:rPr>
                <w:rFonts w:eastAsia="Times New Roman" w:cs="Times New Roman"/>
                <w:color w:val="000000"/>
                <w:lang w:val="en-GB" w:eastAsia="da-DK"/>
              </w:rPr>
              <w:t>-0.09</w:t>
            </w:r>
          </w:p>
        </w:tc>
      </w:tr>
      <w:tr w:rsidR="00572F06" w:rsidRPr="005A251E" w14:paraId="3D7CBC5C" w14:textId="77777777" w:rsidTr="004929CB">
        <w:trPr>
          <w:trHeight w:val="600"/>
        </w:trPr>
        <w:tc>
          <w:tcPr>
            <w:tcW w:w="906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04110" w14:textId="77777777" w:rsidR="00572F06" w:rsidRPr="00FF2E4B" w:rsidRDefault="00572F06" w:rsidP="00FF2E4B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18"/>
                <w:szCs w:val="18"/>
                <w:lang w:val="en-GB" w:eastAsia="da-DK"/>
              </w:rPr>
            </w:pPr>
            <w:r w:rsidRPr="00FF2E4B">
              <w:rPr>
                <w:rFonts w:eastAsia="Times New Roman" w:cs="Times New Roman"/>
                <w:i/>
                <w:color w:val="000000"/>
                <w:sz w:val="18"/>
                <w:szCs w:val="18"/>
                <w:lang w:val="en-GB" w:eastAsia="da-DK"/>
              </w:rPr>
              <w:t>Note</w:t>
            </w:r>
            <w:r w:rsidRPr="00FF2E4B">
              <w:rPr>
                <w:rFonts w:eastAsia="Times New Roman" w:cs="Times New Roman"/>
                <w:color w:val="000000"/>
                <w:sz w:val="18"/>
                <w:szCs w:val="18"/>
                <w:lang w:val="en-GB" w:eastAsia="da-DK"/>
              </w:rPr>
              <w:t xml:space="preserve">. Units: </w:t>
            </w:r>
            <w:r w:rsidRPr="00FF2E4B">
              <w:rPr>
                <w:rFonts w:eastAsia="Times New Roman" w:cs="Times New Roman"/>
                <w:i/>
                <w:color w:val="000000"/>
                <w:sz w:val="18"/>
                <w:szCs w:val="18"/>
                <w:lang w:val="en-GB" w:eastAsia="da-DK"/>
              </w:rPr>
              <w:t>t</w:t>
            </w:r>
            <w:r w:rsidRPr="00FF2E4B">
              <w:rPr>
                <w:rFonts w:eastAsia="Times New Roman" w:cs="Times New Roman"/>
                <w:color w:val="000000"/>
                <w:sz w:val="18"/>
                <w:szCs w:val="18"/>
                <w:vertAlign w:val="subscript"/>
                <w:lang w:val="en-GB" w:eastAsia="da-DK"/>
              </w:rPr>
              <w:t>0</w:t>
            </w:r>
            <w:r w:rsidRPr="00FF2E4B">
              <w:rPr>
                <w:rFonts w:eastAsia="Times New Roman" w:cs="Times New Roman"/>
                <w:color w:val="000000"/>
                <w:sz w:val="18"/>
                <w:szCs w:val="18"/>
                <w:lang w:val="en-GB" w:eastAsia="da-DK"/>
              </w:rPr>
              <w:t xml:space="preserve"> (</w:t>
            </w:r>
            <w:proofErr w:type="spellStart"/>
            <w:r w:rsidRPr="00FF2E4B">
              <w:rPr>
                <w:rFonts w:eastAsia="Times New Roman" w:cs="Times New Roman"/>
                <w:color w:val="000000"/>
                <w:sz w:val="18"/>
                <w:szCs w:val="18"/>
                <w:lang w:val="en-GB" w:eastAsia="da-DK"/>
              </w:rPr>
              <w:t>ms</w:t>
            </w:r>
            <w:proofErr w:type="spellEnd"/>
            <w:r w:rsidRPr="00FF2E4B">
              <w:rPr>
                <w:rFonts w:eastAsia="Times New Roman" w:cs="Times New Roman"/>
                <w:color w:val="000000"/>
                <w:sz w:val="18"/>
                <w:szCs w:val="18"/>
                <w:lang w:val="en-GB" w:eastAsia="da-DK"/>
              </w:rPr>
              <w:t xml:space="preserve">), </w:t>
            </w:r>
            <w:r w:rsidRPr="00FF2E4B">
              <w:rPr>
                <w:rFonts w:eastAsia="Times New Roman" w:cs="Times New Roman"/>
                <w:i/>
                <w:color w:val="000000"/>
                <w:sz w:val="18"/>
                <w:szCs w:val="18"/>
                <w:lang w:val="en-GB" w:eastAsia="da-DK"/>
              </w:rPr>
              <w:t>C</w:t>
            </w:r>
            <w:r w:rsidRPr="00FF2E4B">
              <w:rPr>
                <w:rFonts w:eastAsia="Times New Roman" w:cs="Times New Roman"/>
                <w:color w:val="000000"/>
                <w:sz w:val="18"/>
                <w:szCs w:val="18"/>
                <w:lang w:val="en-GB" w:eastAsia="da-DK"/>
              </w:rPr>
              <w:t xml:space="preserve"> (letters/second), K (letters), </w:t>
            </w:r>
            <w:r w:rsidRPr="00FF2E4B">
              <w:rPr>
                <w:rFonts w:eastAsia="Times New Roman" w:cs="Times New Roman"/>
                <w:i/>
                <w:color w:val="000000"/>
                <w:sz w:val="18"/>
                <w:szCs w:val="18"/>
                <w:lang w:val="en-GB" w:eastAsia="da-DK"/>
              </w:rPr>
              <w:t>α</w:t>
            </w:r>
            <w:r w:rsidRPr="00FF2E4B">
              <w:rPr>
                <w:rFonts w:eastAsia="Times New Roman" w:cs="Times New Roman"/>
                <w:color w:val="000000"/>
                <w:sz w:val="18"/>
                <w:szCs w:val="18"/>
                <w:lang w:val="en-GB" w:eastAsia="da-DK"/>
              </w:rPr>
              <w:t xml:space="preserve"> runs from perfect selectivity at 0.0 to no selectivity at 1.0, </w:t>
            </w:r>
            <w:proofErr w:type="spellStart"/>
            <w:r w:rsidRPr="00FF2E4B">
              <w:rPr>
                <w:rFonts w:eastAsia="Times New Roman" w:cs="Times New Roman"/>
                <w:i/>
                <w:color w:val="000000"/>
                <w:sz w:val="18"/>
                <w:szCs w:val="18"/>
                <w:lang w:val="en-GB" w:eastAsia="da-DK"/>
              </w:rPr>
              <w:t>w</w:t>
            </w:r>
            <w:r w:rsidRPr="00FF2E4B">
              <w:rPr>
                <w:rFonts w:eastAsia="Times New Roman" w:cs="Times New Roman"/>
                <w:color w:val="000000"/>
                <w:sz w:val="18"/>
                <w:szCs w:val="18"/>
                <w:vertAlign w:val="subscript"/>
                <w:lang w:val="en-GB" w:eastAsia="da-DK"/>
              </w:rPr>
              <w:t>index</w:t>
            </w:r>
            <w:proofErr w:type="spellEnd"/>
            <w:r w:rsidRPr="00FF2E4B">
              <w:rPr>
                <w:rFonts w:eastAsia="Times New Roman" w:cs="Times New Roman"/>
                <w:color w:val="000000"/>
                <w:sz w:val="18"/>
                <w:szCs w:val="18"/>
                <w:lang w:val="en-GB" w:eastAsia="da-DK"/>
              </w:rPr>
              <w:t xml:space="preserve">  (&lt; 0.5 = right side weighting, &gt; 0.5 = left side weighting).</w:t>
            </w:r>
          </w:p>
        </w:tc>
      </w:tr>
    </w:tbl>
    <w:p w14:paraId="7552DC14" w14:textId="05498041" w:rsidR="00572F06" w:rsidRPr="00FF2E4B" w:rsidRDefault="00BD6388" w:rsidP="00FF2E4B">
      <w:pPr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These</w:t>
      </w:r>
      <w:r w:rsidR="00572F06" w:rsidRPr="00FF2E4B">
        <w:rPr>
          <w:rFonts w:cs="Times New Roman"/>
          <w:lang w:val="en-GB"/>
        </w:rPr>
        <w:t xml:space="preserve"> showed a significant difference between </w:t>
      </w:r>
      <w:proofErr w:type="spellStart"/>
      <w:r w:rsidR="00572F06" w:rsidRPr="00FF2E4B">
        <w:rPr>
          <w:rFonts w:cs="Times New Roman"/>
          <w:i/>
          <w:iCs/>
          <w:lang w:val="en-GB"/>
        </w:rPr>
        <w:t>w</w:t>
      </w:r>
      <w:r w:rsidR="00572F06" w:rsidRPr="00FF2E4B">
        <w:rPr>
          <w:rFonts w:cs="Times New Roman"/>
          <w:vertAlign w:val="subscript"/>
          <w:lang w:val="en-GB"/>
        </w:rPr>
        <w:t>index</w:t>
      </w:r>
      <w:proofErr w:type="spellEnd"/>
      <w:r w:rsidR="00572F06" w:rsidRPr="00FF2E4B">
        <w:rPr>
          <w:rFonts w:cs="Times New Roman"/>
          <w:lang w:val="en-GB"/>
        </w:rPr>
        <w:t xml:space="preserve"> for women versus for </w:t>
      </w:r>
      <w:r w:rsidR="00FF2E4B" w:rsidRPr="00FF2E4B">
        <w:rPr>
          <w:rFonts w:cs="Times New Roman"/>
          <w:lang w:val="en-GB"/>
        </w:rPr>
        <w:t>men (Table 1)</w:t>
      </w:r>
      <w:r w:rsidR="00572F06" w:rsidRPr="00FF2E4B">
        <w:rPr>
          <w:rFonts w:cs="Times New Roman"/>
          <w:lang w:val="en-GB"/>
        </w:rPr>
        <w:t>, but no significant differences between women and men for any of the other TVA parameters (Table 1).</w:t>
      </w:r>
    </w:p>
    <w:p w14:paraId="4D192A34" w14:textId="6C811B17" w:rsidR="004A1CC5" w:rsidRPr="00FF2E4B" w:rsidRDefault="004A1CC5" w:rsidP="00FF2E4B">
      <w:pPr>
        <w:jc w:val="both"/>
        <w:rPr>
          <w:rFonts w:cs="Times New Roman"/>
          <w:lang w:val="en-GB"/>
        </w:rPr>
      </w:pPr>
      <w:r w:rsidRPr="00FF2E4B">
        <w:rPr>
          <w:rFonts w:cs="Times New Roman"/>
          <w:lang w:val="en-GB"/>
        </w:rPr>
        <w:tab/>
        <w:t xml:space="preserve">This means that men and women </w:t>
      </w:r>
      <w:r w:rsidR="007100B9" w:rsidRPr="00FF2E4B">
        <w:rPr>
          <w:rFonts w:cs="Times New Roman"/>
          <w:lang w:val="en-GB"/>
        </w:rPr>
        <w:t xml:space="preserve">perform similarly on the TVA task, obtaining similar estimates of all parameters except for </w:t>
      </w:r>
      <w:proofErr w:type="spellStart"/>
      <w:r w:rsidR="007100B9" w:rsidRPr="00FF2E4B">
        <w:rPr>
          <w:rFonts w:cs="Times New Roman"/>
          <w:i/>
          <w:iCs/>
          <w:lang w:val="en-GB"/>
        </w:rPr>
        <w:t>w</w:t>
      </w:r>
      <w:r w:rsidR="007100B9" w:rsidRPr="00FF2E4B">
        <w:rPr>
          <w:rFonts w:cs="Times New Roman"/>
          <w:vertAlign w:val="subscript"/>
          <w:lang w:val="en-GB"/>
        </w:rPr>
        <w:t>index</w:t>
      </w:r>
      <w:proofErr w:type="spellEnd"/>
      <w:r w:rsidR="007100B9" w:rsidRPr="00FF2E4B">
        <w:rPr>
          <w:rFonts w:cs="Times New Roman"/>
          <w:lang w:val="en-GB"/>
        </w:rPr>
        <w:t xml:space="preserve">. </w:t>
      </w:r>
      <w:r w:rsidR="003E30EC">
        <w:rPr>
          <w:rFonts w:cs="Times New Roman"/>
          <w:lang w:val="en-GB"/>
        </w:rPr>
        <w:t>Men seem to</w:t>
      </w:r>
      <w:r w:rsidR="007100B9" w:rsidRPr="00FF2E4B">
        <w:rPr>
          <w:rFonts w:cs="Times New Roman"/>
          <w:lang w:val="en-GB"/>
        </w:rPr>
        <w:t xml:space="preserve"> distribute their attentional resources equally </w:t>
      </w:r>
      <w:r w:rsidR="007100B9" w:rsidRPr="00FF2E4B">
        <w:rPr>
          <w:rFonts w:cs="Times New Roman"/>
          <w:lang w:val="en-GB"/>
        </w:rPr>
        <w:lastRenderedPageBreak/>
        <w:t>between the two visual fields, whereas women have a slight tendency to favour left visual field</w:t>
      </w:r>
      <w:r w:rsidR="00BD6388">
        <w:rPr>
          <w:rFonts w:cs="Times New Roman"/>
          <w:lang w:val="en-GB"/>
        </w:rPr>
        <w:t xml:space="preserve"> stimuli</w:t>
      </w:r>
      <w:r w:rsidR="007100B9" w:rsidRPr="00FF2E4B">
        <w:rPr>
          <w:rFonts w:cs="Times New Roman"/>
          <w:lang w:val="en-GB"/>
        </w:rPr>
        <w:t xml:space="preserve">. However, the distribution </w:t>
      </w:r>
      <w:r w:rsidR="00BD6388">
        <w:rPr>
          <w:rFonts w:cs="Times New Roman"/>
          <w:lang w:val="en-GB"/>
        </w:rPr>
        <w:t>of</w:t>
      </w:r>
      <w:r w:rsidR="007100B9" w:rsidRPr="00FF2E4B">
        <w:rPr>
          <w:rFonts w:cs="Times New Roman"/>
          <w:lang w:val="en-GB"/>
        </w:rPr>
        <w:t xml:space="preserve"> </w:t>
      </w:r>
      <w:r w:rsidR="000D5F87">
        <w:rPr>
          <w:rFonts w:cs="Times New Roman"/>
          <w:lang w:val="en-GB"/>
        </w:rPr>
        <w:t>gender</w:t>
      </w:r>
      <w:r w:rsidR="007100B9" w:rsidRPr="00FF2E4B">
        <w:rPr>
          <w:rFonts w:cs="Times New Roman"/>
          <w:lang w:val="en-GB"/>
        </w:rPr>
        <w:t xml:space="preserve"> in this study was very skewed, providing a biased standard for comparison.</w:t>
      </w:r>
    </w:p>
    <w:p w14:paraId="699DD035" w14:textId="66496DAC" w:rsidR="00D8328C" w:rsidRPr="00FF2E4B" w:rsidRDefault="00D8328C" w:rsidP="00FF2E4B">
      <w:pPr>
        <w:jc w:val="both"/>
        <w:rPr>
          <w:rFonts w:cs="Times New Roman"/>
          <w:lang w:val="en-GB"/>
        </w:rPr>
      </w:pPr>
    </w:p>
    <w:p w14:paraId="2A015952" w14:textId="39C10C8E" w:rsidR="00D8328C" w:rsidRPr="00FF2E4B" w:rsidRDefault="00D8328C" w:rsidP="00FF2E4B">
      <w:pPr>
        <w:jc w:val="both"/>
        <w:rPr>
          <w:rFonts w:cs="Times New Roman"/>
          <w:lang w:val="en-GB"/>
        </w:rPr>
      </w:pPr>
      <w:r w:rsidRPr="00FF2E4B">
        <w:rPr>
          <w:rFonts w:cs="Times New Roman"/>
          <w:lang w:val="en-GB"/>
        </w:rPr>
        <w:t xml:space="preserve">A one-sample </w:t>
      </w:r>
      <w:r w:rsidRPr="00FF2E4B">
        <w:rPr>
          <w:rFonts w:cs="Times New Roman"/>
          <w:i/>
          <w:iCs/>
          <w:lang w:val="en-GB"/>
        </w:rPr>
        <w:t>t</w:t>
      </w:r>
      <w:r w:rsidRPr="00FF2E4B">
        <w:rPr>
          <w:rFonts w:cs="Times New Roman"/>
          <w:lang w:val="en-GB"/>
        </w:rPr>
        <w:t xml:space="preserve">-test (two-tailed, </w:t>
      </w:r>
      <m:oMath>
        <m:r>
          <w:rPr>
            <w:rFonts w:ascii="Cambria Math" w:hAnsi="Cambria Math" w:cs="Times New Roman"/>
            <w:lang w:val="en-GB"/>
          </w:rPr>
          <m:t>α</m:t>
        </m:r>
      </m:oMath>
      <w:r w:rsidRPr="00FF2E4B">
        <w:rPr>
          <w:rFonts w:cs="Times New Roman"/>
          <w:lang w:val="en-GB"/>
        </w:rPr>
        <w:t xml:space="preserve"> = .05) </w:t>
      </w:r>
      <w:r w:rsidR="00FF2E4B" w:rsidRPr="00FF2E4B">
        <w:rPr>
          <w:rFonts w:cs="Times New Roman"/>
          <w:lang w:val="en-GB"/>
        </w:rPr>
        <w:t xml:space="preserve">showed that </w:t>
      </w:r>
      <w:proofErr w:type="spellStart"/>
      <w:r w:rsidR="00FF2E4B" w:rsidRPr="00FF2E4B">
        <w:rPr>
          <w:rFonts w:cs="Times New Roman"/>
          <w:i/>
          <w:iCs/>
          <w:lang w:val="en-GB"/>
        </w:rPr>
        <w:t>w</w:t>
      </w:r>
      <w:r w:rsidR="00FF2E4B" w:rsidRPr="00FF2E4B">
        <w:rPr>
          <w:rFonts w:cs="Times New Roman"/>
          <w:vertAlign w:val="subscript"/>
          <w:lang w:val="en-GB"/>
        </w:rPr>
        <w:t>index</w:t>
      </w:r>
      <w:proofErr w:type="spellEnd"/>
      <w:r w:rsidR="00FF2E4B" w:rsidRPr="00FF2E4B">
        <w:rPr>
          <w:rFonts w:cs="Times New Roman"/>
          <w:lang w:val="en-GB"/>
        </w:rPr>
        <w:t xml:space="preserve"> was significantly different from 0.5 for the entire sample, </w:t>
      </w:r>
      <w:r w:rsidRPr="00FF2E4B">
        <w:rPr>
          <w:rFonts w:cs="Times New Roman"/>
          <w:i/>
          <w:iCs/>
          <w:lang w:val="en-GB"/>
        </w:rPr>
        <w:t>t</w:t>
      </w:r>
      <w:r w:rsidRPr="00FF2E4B">
        <w:rPr>
          <w:rFonts w:cs="Times New Roman"/>
          <w:lang w:val="en-GB"/>
        </w:rPr>
        <w:t xml:space="preserve">(206) = 5.33, </w:t>
      </w:r>
      <w:r w:rsidRPr="00FF2E4B">
        <w:rPr>
          <w:rFonts w:cs="Times New Roman"/>
          <w:i/>
          <w:iCs/>
          <w:lang w:val="en-GB"/>
        </w:rPr>
        <w:t>p</w:t>
      </w:r>
      <w:r w:rsidRPr="00FF2E4B">
        <w:rPr>
          <w:rFonts w:cs="Times New Roman"/>
          <w:lang w:val="en-GB"/>
        </w:rPr>
        <w:t xml:space="preserve"> &lt; .001, </w:t>
      </w:r>
      <w:r w:rsidRPr="00FF2E4B">
        <w:rPr>
          <w:rFonts w:cs="Times New Roman"/>
          <w:i/>
          <w:iCs/>
          <w:lang w:val="en-GB"/>
        </w:rPr>
        <w:t>d</w:t>
      </w:r>
      <w:r w:rsidRPr="00FF2E4B">
        <w:rPr>
          <w:rFonts w:cs="Times New Roman"/>
          <w:lang w:val="en-GB"/>
        </w:rPr>
        <w:t xml:space="preserve"> = 0.37. This means participants </w:t>
      </w:r>
      <w:r w:rsidR="00FF2E4B" w:rsidRPr="00FF2E4B">
        <w:rPr>
          <w:rFonts w:cs="Times New Roman"/>
          <w:lang w:val="en-GB"/>
        </w:rPr>
        <w:t xml:space="preserve">generally </w:t>
      </w:r>
      <w:r w:rsidRPr="00FF2E4B">
        <w:rPr>
          <w:rFonts w:cs="Times New Roman"/>
          <w:lang w:val="en-GB"/>
        </w:rPr>
        <w:t xml:space="preserve">had a slight tendency </w:t>
      </w:r>
      <w:r w:rsidR="00FF2E4B" w:rsidRPr="00FF2E4B">
        <w:rPr>
          <w:rFonts w:cs="Times New Roman"/>
          <w:lang w:val="en-GB"/>
        </w:rPr>
        <w:t>to favour left visual field stimuli</w:t>
      </w:r>
      <w:r w:rsidRPr="00FF2E4B">
        <w:rPr>
          <w:rFonts w:cs="Times New Roman"/>
          <w:lang w:val="en-GB"/>
        </w:rPr>
        <w:t xml:space="preserve"> (</w:t>
      </w:r>
      <w:r w:rsidRPr="00FF2E4B">
        <w:rPr>
          <w:rFonts w:cs="Times New Roman"/>
          <w:i/>
          <w:iCs/>
          <w:lang w:val="en-GB"/>
        </w:rPr>
        <w:t>M</w:t>
      </w:r>
      <w:r w:rsidRPr="00FF2E4B">
        <w:rPr>
          <w:rFonts w:cs="Times New Roman"/>
          <w:lang w:val="en-GB"/>
        </w:rPr>
        <w:t xml:space="preserve"> = 0.54, </w:t>
      </w:r>
      <w:r w:rsidRPr="00FF2E4B">
        <w:rPr>
          <w:rFonts w:cs="Times New Roman"/>
          <w:i/>
          <w:iCs/>
          <w:lang w:val="en-GB"/>
        </w:rPr>
        <w:t>SD</w:t>
      </w:r>
      <w:r w:rsidRPr="00FF2E4B">
        <w:rPr>
          <w:rFonts w:cs="Times New Roman"/>
          <w:lang w:val="en-GB"/>
        </w:rPr>
        <w:t xml:space="preserve"> = 0.10).</w:t>
      </w:r>
    </w:p>
    <w:p w14:paraId="77A6CBBD" w14:textId="77777777" w:rsidR="00436871" w:rsidRPr="00FF2E4B" w:rsidRDefault="00436871" w:rsidP="00FF2E4B">
      <w:pPr>
        <w:jc w:val="both"/>
        <w:rPr>
          <w:lang w:val="en-GB"/>
        </w:rPr>
      </w:pPr>
    </w:p>
    <w:p w14:paraId="54E30EB7" w14:textId="30D53D27" w:rsidR="00436871" w:rsidRPr="00FF2E4B" w:rsidRDefault="00AB2DCB" w:rsidP="00FF2E4B">
      <w:pPr>
        <w:pStyle w:val="Heading2"/>
        <w:jc w:val="both"/>
        <w:rPr>
          <w:lang w:val="en-GB"/>
        </w:rPr>
      </w:pPr>
      <w:r>
        <w:rPr>
          <w:lang w:val="en-GB"/>
        </w:rPr>
        <w:t>Imperfect selection</w:t>
      </w:r>
    </w:p>
    <w:p w14:paraId="62D8FBB4" w14:textId="20A93EA6" w:rsidR="00331F6F" w:rsidRPr="00FF2E4B" w:rsidRDefault="003E30EC" w:rsidP="00FF2E4B">
      <w:pPr>
        <w:jc w:val="both"/>
        <w:rPr>
          <w:lang w:val="en-GB"/>
        </w:rPr>
      </w:pPr>
      <w:r>
        <w:rPr>
          <w:lang w:val="en-GB"/>
        </w:rPr>
        <w:t xml:space="preserve">If </w:t>
      </w:r>
      <w:r w:rsidR="00331F6F" w:rsidRPr="00FF2E4B">
        <w:rPr>
          <w:lang w:val="en-GB"/>
        </w:rPr>
        <w:t xml:space="preserve">selectivity </w:t>
      </w:r>
      <w:r>
        <w:rPr>
          <w:lang w:val="en-GB"/>
        </w:rPr>
        <w:t xml:space="preserve">was perfect </w:t>
      </w:r>
      <w:r w:rsidR="00331F6F" w:rsidRPr="00FF2E4B">
        <w:rPr>
          <w:lang w:val="en-GB"/>
        </w:rPr>
        <w:t xml:space="preserve">then </w:t>
      </w:r>
      <w:r>
        <w:rPr>
          <w:lang w:val="en-GB"/>
        </w:rPr>
        <w:t>participants</w:t>
      </w:r>
      <w:r w:rsidR="00331F6F" w:rsidRPr="00FF2E4B">
        <w:rPr>
          <w:lang w:val="en-GB"/>
        </w:rPr>
        <w:t xml:space="preserve"> should be able to correctly identify the two </w:t>
      </w:r>
      <w:r w:rsidR="00FF2E4B">
        <w:rPr>
          <w:lang w:val="en-GB"/>
        </w:rPr>
        <w:t xml:space="preserve">target </w:t>
      </w:r>
      <w:r w:rsidR="00331F6F" w:rsidRPr="00FF2E4B">
        <w:rPr>
          <w:lang w:val="en-GB"/>
        </w:rPr>
        <w:t xml:space="preserve">letters </w:t>
      </w:r>
      <w:r w:rsidR="00FF2E4B">
        <w:rPr>
          <w:lang w:val="en-GB"/>
        </w:rPr>
        <w:t>in the two targets and four distractors displays</w:t>
      </w:r>
      <w:r w:rsidR="00331F6F" w:rsidRPr="00FF2E4B">
        <w:rPr>
          <w:lang w:val="en-GB"/>
        </w:rPr>
        <w:t>. However, Figure 1 implies this was not the case.</w:t>
      </w:r>
    </w:p>
    <w:p w14:paraId="6F53133F" w14:textId="0758287A" w:rsidR="00572F06" w:rsidRPr="00FF2E4B" w:rsidRDefault="00572F06" w:rsidP="008A01D0">
      <w:pPr>
        <w:ind w:firstLine="720"/>
        <w:jc w:val="both"/>
        <w:rPr>
          <w:rFonts w:cs="Times New Roman"/>
          <w:lang w:val="en-GB"/>
        </w:rPr>
      </w:pPr>
      <w:r w:rsidRPr="00FF2E4B">
        <w:rPr>
          <w:rFonts w:cs="Times New Roman"/>
          <w:lang w:val="en-GB"/>
        </w:rPr>
        <w:t xml:space="preserve">A one-sample </w:t>
      </w:r>
      <w:r w:rsidRPr="00FF2E4B">
        <w:rPr>
          <w:rFonts w:cs="Times New Roman"/>
          <w:i/>
          <w:iCs/>
          <w:lang w:val="en-GB"/>
        </w:rPr>
        <w:t>t</w:t>
      </w:r>
      <w:r w:rsidRPr="00FF2E4B">
        <w:rPr>
          <w:rFonts w:cs="Times New Roman"/>
          <w:lang w:val="en-GB"/>
        </w:rPr>
        <w:t xml:space="preserve">-test </w:t>
      </w:r>
      <w:r w:rsidR="00D8328C" w:rsidRPr="00FF2E4B">
        <w:rPr>
          <w:rFonts w:cs="Times New Roman"/>
          <w:lang w:val="en-GB"/>
        </w:rPr>
        <w:t xml:space="preserve">(two-tailed, </w:t>
      </w:r>
      <m:oMath>
        <m:r>
          <w:rPr>
            <w:rFonts w:ascii="Cambria Math" w:hAnsi="Cambria Math" w:cs="Times New Roman"/>
            <w:lang w:val="en-GB"/>
          </w:rPr>
          <m:t>α</m:t>
        </m:r>
      </m:oMath>
      <w:r w:rsidR="00D8328C" w:rsidRPr="00FF2E4B">
        <w:rPr>
          <w:rFonts w:cs="Times New Roman"/>
          <w:lang w:val="en-GB"/>
        </w:rPr>
        <w:t xml:space="preserve"> = .05) </w:t>
      </w:r>
      <w:r w:rsidRPr="00FF2E4B">
        <w:rPr>
          <w:rFonts w:cs="Times New Roman"/>
          <w:lang w:val="en-GB"/>
        </w:rPr>
        <w:t xml:space="preserve">showed </w:t>
      </w:r>
      <w:r w:rsidR="00331F6F" w:rsidRPr="00FF2E4B">
        <w:rPr>
          <w:rFonts w:cs="Times New Roman"/>
          <w:lang w:val="en-GB"/>
        </w:rPr>
        <w:t xml:space="preserve">a significant difference from 2 for mean number of correctly identified letters in </w:t>
      </w:r>
      <w:r w:rsidR="00FF2E4B">
        <w:rPr>
          <w:rFonts w:cs="Times New Roman"/>
          <w:lang w:val="en-GB"/>
        </w:rPr>
        <w:t>these</w:t>
      </w:r>
      <w:r w:rsidR="00331F6F" w:rsidRPr="00FF2E4B">
        <w:rPr>
          <w:rFonts w:cs="Times New Roman"/>
          <w:lang w:val="en-GB"/>
        </w:rPr>
        <w:t xml:space="preserve"> displays</w:t>
      </w:r>
      <w:r w:rsidRPr="00FF2E4B">
        <w:rPr>
          <w:rFonts w:cs="Times New Roman"/>
          <w:lang w:val="en-GB"/>
        </w:rPr>
        <w:t xml:space="preserve">, </w:t>
      </w:r>
      <w:r w:rsidRPr="00FF2E4B">
        <w:rPr>
          <w:rFonts w:cs="Times New Roman"/>
          <w:i/>
          <w:iCs/>
          <w:lang w:val="en-GB"/>
        </w:rPr>
        <w:t>t</w:t>
      </w:r>
      <w:r w:rsidRPr="00FF2E4B">
        <w:rPr>
          <w:rFonts w:cs="Times New Roman"/>
          <w:lang w:val="en-GB"/>
        </w:rPr>
        <w:t xml:space="preserve">(206) = -29,47, </w:t>
      </w:r>
      <w:r w:rsidRPr="00FF2E4B">
        <w:rPr>
          <w:rFonts w:cs="Times New Roman"/>
          <w:i/>
          <w:iCs/>
          <w:lang w:val="en-GB"/>
        </w:rPr>
        <w:t>p</w:t>
      </w:r>
      <w:r w:rsidRPr="00FF2E4B">
        <w:rPr>
          <w:rFonts w:cs="Times New Roman"/>
          <w:lang w:val="en-GB"/>
        </w:rPr>
        <w:t xml:space="preserve"> &lt; .001, </w:t>
      </w:r>
      <w:r w:rsidRPr="00FF2E4B">
        <w:rPr>
          <w:rFonts w:cs="Times New Roman"/>
          <w:i/>
          <w:iCs/>
          <w:lang w:val="en-GB"/>
        </w:rPr>
        <w:t>d</w:t>
      </w:r>
      <w:r w:rsidRPr="00FF2E4B">
        <w:rPr>
          <w:rFonts w:cs="Times New Roman"/>
          <w:lang w:val="en-GB"/>
        </w:rPr>
        <w:t xml:space="preserve"> = -2.05.</w:t>
      </w:r>
      <w:r w:rsidR="00331F6F" w:rsidRPr="00FF2E4B">
        <w:rPr>
          <w:rFonts w:cs="Times New Roman"/>
          <w:lang w:val="en-GB"/>
        </w:rPr>
        <w:t xml:space="preserve"> This confirms that participants were not able to perfectly select between targets and distractors.</w:t>
      </w:r>
    </w:p>
    <w:p w14:paraId="611638EB" w14:textId="297E83DD" w:rsidR="00436871" w:rsidRPr="00FF2E4B" w:rsidRDefault="00436871" w:rsidP="00FF2E4B">
      <w:pPr>
        <w:pStyle w:val="Heading1"/>
        <w:jc w:val="both"/>
        <w:rPr>
          <w:lang w:val="en-GB"/>
        </w:rPr>
      </w:pPr>
      <w:r w:rsidRPr="00FF2E4B">
        <w:rPr>
          <w:lang w:val="en-GB"/>
        </w:rPr>
        <w:t>Conclusion</w:t>
      </w:r>
    </w:p>
    <w:p w14:paraId="75958887" w14:textId="51C1A0B4" w:rsidR="00965CF4" w:rsidRPr="00FF2E4B" w:rsidRDefault="00965CF4" w:rsidP="00FF2E4B">
      <w:pPr>
        <w:jc w:val="both"/>
        <w:rPr>
          <w:lang w:val="en-GB"/>
        </w:rPr>
      </w:pPr>
      <w:r w:rsidRPr="00FF2E4B">
        <w:rPr>
          <w:lang w:val="en-GB"/>
        </w:rPr>
        <w:t xml:space="preserve">Our results provide evidence that longer display times allow people to correctly identify more </w:t>
      </w:r>
      <w:r w:rsidR="00FF2E4B">
        <w:rPr>
          <w:lang w:val="en-GB"/>
        </w:rPr>
        <w:t xml:space="preserve">visual </w:t>
      </w:r>
      <w:r w:rsidRPr="00FF2E4B">
        <w:rPr>
          <w:lang w:val="en-GB"/>
        </w:rPr>
        <w:t xml:space="preserve">stimuli, however, top-down selection between such stimuli is not perfect. From our sample, there seems to be few differences in performance on the TVA-test across </w:t>
      </w:r>
      <w:r w:rsidR="000D5F87">
        <w:rPr>
          <w:lang w:val="en-GB"/>
        </w:rPr>
        <w:t>gender</w:t>
      </w:r>
      <w:r w:rsidRPr="00FF2E4B">
        <w:rPr>
          <w:lang w:val="en-GB"/>
        </w:rPr>
        <w:t xml:space="preserve"> and age.</w:t>
      </w:r>
    </w:p>
    <w:p w14:paraId="4B3F763B" w14:textId="5CA7A526" w:rsidR="00965CF4" w:rsidRPr="00FF2E4B" w:rsidRDefault="00965CF4" w:rsidP="00965CF4">
      <w:pPr>
        <w:rPr>
          <w:lang w:val="en-GB"/>
        </w:rPr>
      </w:pPr>
    </w:p>
    <w:p w14:paraId="28E3BF23" w14:textId="77777777" w:rsidR="00965CF4" w:rsidRPr="00FF2E4B" w:rsidRDefault="00965CF4">
      <w:pPr>
        <w:spacing w:line="240" w:lineRule="auto"/>
        <w:rPr>
          <w:rFonts w:asciiTheme="majorHAnsi" w:eastAsiaTheme="majorEastAsia" w:hAnsiTheme="majorHAnsi" w:cstheme="majorBidi"/>
          <w:b/>
          <w:sz w:val="32"/>
          <w:szCs w:val="32"/>
          <w:lang w:val="en-GB"/>
        </w:rPr>
      </w:pPr>
      <w:r w:rsidRPr="00FF2E4B">
        <w:rPr>
          <w:lang w:val="en-GB"/>
        </w:rPr>
        <w:br w:type="page"/>
      </w:r>
    </w:p>
    <w:p w14:paraId="26779C57" w14:textId="5279E219" w:rsidR="00965CF4" w:rsidRPr="00FF2E4B" w:rsidRDefault="00965CF4" w:rsidP="00965CF4">
      <w:pPr>
        <w:pStyle w:val="Heading1"/>
        <w:rPr>
          <w:lang w:val="en-GB"/>
        </w:rPr>
      </w:pPr>
      <w:r w:rsidRPr="00FF2E4B">
        <w:rPr>
          <w:lang w:val="en-GB"/>
        </w:rPr>
        <w:lastRenderedPageBreak/>
        <w:t>Literature</w:t>
      </w:r>
    </w:p>
    <w:p w14:paraId="5C9DB059" w14:textId="28832B43" w:rsidR="00965CF4" w:rsidRPr="00FF2E4B" w:rsidRDefault="00965CF4" w:rsidP="00965CF4">
      <w:pPr>
        <w:rPr>
          <w:rFonts w:ascii="Times" w:eastAsia="Times New Roman" w:hAnsi="Times" w:cs="Times New Roman"/>
          <w:i/>
          <w:iCs/>
          <w:color w:val="252525"/>
          <w:spacing w:val="5"/>
          <w:lang w:val="en-GB"/>
        </w:rPr>
      </w:pPr>
      <w:r w:rsidRPr="00FF2E4B">
        <w:rPr>
          <w:rFonts w:ascii="Times" w:eastAsia="Times New Roman" w:hAnsi="Times" w:cs="Times New Roman"/>
          <w:color w:val="252525"/>
          <w:spacing w:val="5"/>
          <w:lang w:val="en-GB"/>
        </w:rPr>
        <w:t>Habekost, T. (2015). Clinical TVA-based studies: a general review. </w:t>
      </w:r>
      <w:r w:rsidRPr="00FF2E4B">
        <w:rPr>
          <w:rFonts w:ascii="Times" w:eastAsia="Times New Roman" w:hAnsi="Times" w:cs="Times New Roman"/>
          <w:i/>
          <w:iCs/>
          <w:color w:val="252525"/>
          <w:spacing w:val="5"/>
          <w:lang w:val="en-GB"/>
        </w:rPr>
        <w:t>Frontiers in psycho-</w:t>
      </w:r>
    </w:p>
    <w:p w14:paraId="1298371B" w14:textId="44286453" w:rsidR="00965CF4" w:rsidRPr="00FF2E4B" w:rsidRDefault="00965CF4" w:rsidP="00965CF4">
      <w:pPr>
        <w:ind w:firstLine="720"/>
        <w:rPr>
          <w:rFonts w:ascii="Times" w:eastAsia="Times New Roman" w:hAnsi="Times" w:cs="Times New Roman"/>
          <w:color w:val="252525"/>
          <w:spacing w:val="5"/>
          <w:lang w:val="en-GB"/>
        </w:rPr>
      </w:pPr>
      <w:r w:rsidRPr="00FF2E4B">
        <w:rPr>
          <w:rFonts w:ascii="Times" w:eastAsia="Times New Roman" w:hAnsi="Times" w:cs="Times New Roman"/>
          <w:i/>
          <w:iCs/>
          <w:color w:val="252525"/>
          <w:spacing w:val="5"/>
          <w:lang w:val="en-GB"/>
        </w:rPr>
        <w:t>logy</w:t>
      </w:r>
      <w:r w:rsidRPr="00FF2E4B">
        <w:rPr>
          <w:rFonts w:ascii="Times" w:eastAsia="Times New Roman" w:hAnsi="Times" w:cs="Times New Roman"/>
          <w:color w:val="252525"/>
          <w:spacing w:val="5"/>
          <w:lang w:val="en-GB"/>
        </w:rPr>
        <w:t>, </w:t>
      </w:r>
      <w:r w:rsidRPr="00FF2E4B">
        <w:rPr>
          <w:rFonts w:ascii="Times" w:eastAsia="Times New Roman" w:hAnsi="Times" w:cs="Times New Roman"/>
          <w:i/>
          <w:iCs/>
          <w:color w:val="252525"/>
          <w:spacing w:val="5"/>
          <w:lang w:val="en-GB"/>
        </w:rPr>
        <w:t>6</w:t>
      </w:r>
      <w:r w:rsidRPr="00FF2E4B">
        <w:rPr>
          <w:rFonts w:ascii="Times" w:eastAsia="Times New Roman" w:hAnsi="Times" w:cs="Times New Roman"/>
          <w:color w:val="252525"/>
          <w:spacing w:val="5"/>
          <w:lang w:val="en-GB"/>
        </w:rPr>
        <w:t>:290.</w:t>
      </w:r>
    </w:p>
    <w:p w14:paraId="1112833E" w14:textId="0E419A79" w:rsidR="00965CF4" w:rsidRPr="00FF2E4B" w:rsidRDefault="00965CF4" w:rsidP="00965CF4">
      <w:pPr>
        <w:rPr>
          <w:rFonts w:ascii="Times" w:eastAsia="Times New Roman" w:hAnsi="Times" w:cs="Times New Roman"/>
          <w:color w:val="252525"/>
          <w:spacing w:val="5"/>
          <w:lang w:val="en-GB"/>
        </w:rPr>
      </w:pPr>
      <w:proofErr w:type="spellStart"/>
      <w:r w:rsidRPr="00FF2E4B">
        <w:rPr>
          <w:rFonts w:ascii="Times" w:eastAsia="Times New Roman" w:hAnsi="Times" w:cs="Times New Roman"/>
          <w:color w:val="252525"/>
          <w:spacing w:val="5"/>
          <w:lang w:val="en-GB"/>
        </w:rPr>
        <w:t>Vangkilde</w:t>
      </w:r>
      <w:proofErr w:type="spellEnd"/>
      <w:r w:rsidRPr="00FF2E4B">
        <w:rPr>
          <w:rFonts w:ascii="Times" w:eastAsia="Times New Roman" w:hAnsi="Times" w:cs="Times New Roman"/>
          <w:color w:val="252525"/>
          <w:spacing w:val="5"/>
          <w:lang w:val="en-GB"/>
        </w:rPr>
        <w:t xml:space="preserve">, S., Bundesen, C. &amp; </w:t>
      </w:r>
      <w:proofErr w:type="spellStart"/>
      <w:r w:rsidRPr="00FF2E4B">
        <w:rPr>
          <w:rFonts w:ascii="Times" w:eastAsia="Times New Roman" w:hAnsi="Times" w:cs="Times New Roman"/>
          <w:color w:val="252525"/>
          <w:spacing w:val="5"/>
          <w:lang w:val="en-GB"/>
        </w:rPr>
        <w:t>Coull</w:t>
      </w:r>
      <w:proofErr w:type="spellEnd"/>
      <w:r w:rsidRPr="00FF2E4B">
        <w:rPr>
          <w:rFonts w:ascii="Times" w:eastAsia="Times New Roman" w:hAnsi="Times" w:cs="Times New Roman"/>
          <w:color w:val="252525"/>
          <w:spacing w:val="5"/>
          <w:lang w:val="en-GB"/>
        </w:rPr>
        <w:t xml:space="preserve">, J. T. (2011). Prompt but inefficient: nicotine </w:t>
      </w:r>
      <w:proofErr w:type="spellStart"/>
      <w:r w:rsidRPr="00FF2E4B">
        <w:rPr>
          <w:rFonts w:ascii="Times" w:eastAsia="Times New Roman" w:hAnsi="Times" w:cs="Times New Roman"/>
          <w:color w:val="252525"/>
          <w:spacing w:val="5"/>
          <w:lang w:val="en-GB"/>
        </w:rPr>
        <w:t>differen</w:t>
      </w:r>
      <w:proofErr w:type="spellEnd"/>
      <w:r w:rsidRPr="00FF2E4B">
        <w:rPr>
          <w:rFonts w:ascii="Times" w:eastAsia="Times New Roman" w:hAnsi="Times" w:cs="Times New Roman"/>
          <w:color w:val="252525"/>
          <w:spacing w:val="5"/>
          <w:lang w:val="en-GB"/>
        </w:rPr>
        <w:t>-</w:t>
      </w:r>
    </w:p>
    <w:p w14:paraId="2B404878" w14:textId="4B1F7684" w:rsidR="00965CF4" w:rsidRPr="00FF2E4B" w:rsidRDefault="00965CF4" w:rsidP="00965CF4">
      <w:pPr>
        <w:ind w:firstLine="720"/>
        <w:rPr>
          <w:lang w:val="en-GB"/>
        </w:rPr>
      </w:pPr>
      <w:proofErr w:type="spellStart"/>
      <w:r w:rsidRPr="00FF2E4B">
        <w:rPr>
          <w:rFonts w:ascii="Times" w:eastAsia="Times New Roman" w:hAnsi="Times" w:cs="Times New Roman"/>
          <w:color w:val="252525"/>
          <w:spacing w:val="5"/>
          <w:lang w:val="en-GB"/>
        </w:rPr>
        <w:t>tially</w:t>
      </w:r>
      <w:proofErr w:type="spellEnd"/>
      <w:r w:rsidRPr="00FF2E4B">
        <w:rPr>
          <w:rFonts w:ascii="Times" w:eastAsia="Times New Roman" w:hAnsi="Times" w:cs="Times New Roman"/>
          <w:color w:val="252525"/>
          <w:spacing w:val="5"/>
          <w:lang w:val="en-GB"/>
        </w:rPr>
        <w:t xml:space="preserve"> modulates discrete components of attention. </w:t>
      </w:r>
      <w:r w:rsidRPr="00FF2E4B">
        <w:rPr>
          <w:rFonts w:ascii="Times" w:eastAsia="Times New Roman" w:hAnsi="Times" w:cs="Times New Roman"/>
          <w:i/>
          <w:iCs/>
          <w:color w:val="252525"/>
          <w:spacing w:val="5"/>
          <w:lang w:val="en-GB"/>
        </w:rPr>
        <w:t>Psychopharmacology, 218</w:t>
      </w:r>
      <w:r w:rsidRPr="00FF2E4B">
        <w:rPr>
          <w:rFonts w:ascii="Times" w:eastAsia="Times New Roman" w:hAnsi="Times" w:cs="Times New Roman"/>
          <w:color w:val="252525"/>
          <w:spacing w:val="5"/>
          <w:lang w:val="en-GB"/>
        </w:rPr>
        <w:t>, 667-680.</w:t>
      </w:r>
    </w:p>
    <w:p w14:paraId="378F1FEA" w14:textId="77777777" w:rsidR="003E30EC" w:rsidRPr="003E30EC" w:rsidRDefault="003E30EC" w:rsidP="003E30EC">
      <w:pPr>
        <w:spacing w:line="240" w:lineRule="auto"/>
        <w:rPr>
          <w:rFonts w:eastAsia="Times New Roman" w:cs="Times New Roman"/>
          <w:lang w:eastAsia="en-GB"/>
        </w:rPr>
      </w:pPr>
      <w:r w:rsidRPr="003E30EC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Radvansky, G. A. &amp; Ashcraft, M. H. (2014). </w:t>
      </w:r>
      <w:proofErr w:type="spellStart"/>
      <w:r w:rsidRPr="003E30EC">
        <w:rPr>
          <w:rFonts w:eastAsia="Times New Roman" w:cs="Times New Roman"/>
          <w:i/>
          <w:iCs/>
          <w:color w:val="252525"/>
          <w:spacing w:val="5"/>
          <w:shd w:val="clear" w:color="auto" w:fill="FFFFFF"/>
          <w:lang w:eastAsia="en-GB"/>
        </w:rPr>
        <w:t>Cognition</w:t>
      </w:r>
      <w:proofErr w:type="spellEnd"/>
      <w:r w:rsidRPr="003E30EC">
        <w:rPr>
          <w:rFonts w:eastAsia="Times New Roman" w:cs="Times New Roman"/>
          <w:i/>
          <w:iCs/>
          <w:color w:val="252525"/>
          <w:spacing w:val="5"/>
          <w:shd w:val="clear" w:color="auto" w:fill="FFFFFF"/>
          <w:lang w:eastAsia="en-GB"/>
        </w:rPr>
        <w:t> </w:t>
      </w:r>
      <w:r w:rsidRPr="003E30EC">
        <w:rPr>
          <w:rFonts w:eastAsia="Times New Roman" w:cs="Times New Roman"/>
          <w:color w:val="252525"/>
          <w:spacing w:val="5"/>
          <w:shd w:val="clear" w:color="auto" w:fill="FFFFFF"/>
          <w:lang w:eastAsia="en-GB"/>
        </w:rPr>
        <w:t>(6. udg.). Pearson Education.</w:t>
      </w:r>
    </w:p>
    <w:p w14:paraId="6C2C7FA7" w14:textId="031E2C1E" w:rsidR="00965CF4" w:rsidRPr="00FF2E4B" w:rsidRDefault="00965CF4" w:rsidP="003E30EC">
      <w:pPr>
        <w:rPr>
          <w:lang w:val="en-GB"/>
        </w:rPr>
      </w:pPr>
    </w:p>
    <w:sectPr w:rsidR="00965CF4" w:rsidRPr="00FF2E4B" w:rsidSect="003B61C9">
      <w:headerReference w:type="even" r:id="rId10"/>
      <w:head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CC0F4" w14:textId="77777777" w:rsidR="00C446D4" w:rsidRDefault="00C446D4" w:rsidP="003E30EC">
      <w:pPr>
        <w:spacing w:line="240" w:lineRule="auto"/>
      </w:pPr>
      <w:r>
        <w:separator/>
      </w:r>
    </w:p>
  </w:endnote>
  <w:endnote w:type="continuationSeparator" w:id="0">
    <w:p w14:paraId="7436F13A" w14:textId="77777777" w:rsidR="00C446D4" w:rsidRDefault="00C446D4" w:rsidP="003E30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0F29B" w14:textId="77777777" w:rsidR="00C446D4" w:rsidRDefault="00C446D4" w:rsidP="003E30EC">
      <w:pPr>
        <w:spacing w:line="240" w:lineRule="auto"/>
      </w:pPr>
      <w:r>
        <w:separator/>
      </w:r>
    </w:p>
  </w:footnote>
  <w:footnote w:type="continuationSeparator" w:id="0">
    <w:p w14:paraId="471927ED" w14:textId="77777777" w:rsidR="00C446D4" w:rsidRDefault="00C446D4" w:rsidP="003E30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9110297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7FB2338" w14:textId="46B0D375" w:rsidR="003E30EC" w:rsidRDefault="003E30EC" w:rsidP="0031154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77A605" w14:textId="77777777" w:rsidR="003E30EC" w:rsidRDefault="003E30EC" w:rsidP="003E30E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  <w:szCs w:val="20"/>
      </w:rPr>
      <w:id w:val="-45580462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0B77CBC" w14:textId="504F3009" w:rsidR="003E30EC" w:rsidRPr="005A251E" w:rsidRDefault="003E30EC" w:rsidP="0031154B">
        <w:pPr>
          <w:pStyle w:val="Header"/>
          <w:framePr w:wrap="none" w:vAnchor="text" w:hAnchor="margin" w:xAlign="right" w:y="1"/>
          <w:rPr>
            <w:rStyle w:val="PageNumber"/>
            <w:sz w:val="20"/>
            <w:szCs w:val="20"/>
            <w:lang w:val="en-US"/>
          </w:rPr>
        </w:pPr>
        <w:r w:rsidRPr="005A251E">
          <w:rPr>
            <w:rStyle w:val="PageNumber"/>
            <w:sz w:val="20"/>
            <w:szCs w:val="20"/>
            <w:lang w:val="en-US"/>
          </w:rPr>
          <w:t xml:space="preserve">Page </w:t>
        </w:r>
        <w:r w:rsidRPr="003E30EC">
          <w:rPr>
            <w:rStyle w:val="PageNumber"/>
            <w:sz w:val="20"/>
            <w:szCs w:val="20"/>
          </w:rPr>
          <w:fldChar w:fldCharType="begin"/>
        </w:r>
        <w:r w:rsidRPr="005A251E">
          <w:rPr>
            <w:rStyle w:val="PageNumber"/>
            <w:sz w:val="20"/>
            <w:szCs w:val="20"/>
            <w:lang w:val="en-US"/>
          </w:rPr>
          <w:instrText xml:space="preserve"> PAGE </w:instrText>
        </w:r>
        <w:r w:rsidRPr="003E30EC">
          <w:rPr>
            <w:rStyle w:val="PageNumber"/>
            <w:sz w:val="20"/>
            <w:szCs w:val="20"/>
          </w:rPr>
          <w:fldChar w:fldCharType="separate"/>
        </w:r>
        <w:r w:rsidRPr="005A251E">
          <w:rPr>
            <w:rStyle w:val="PageNumber"/>
            <w:noProof/>
            <w:sz w:val="20"/>
            <w:szCs w:val="20"/>
            <w:lang w:val="en-US"/>
          </w:rPr>
          <w:t>1</w:t>
        </w:r>
        <w:r w:rsidRPr="003E30EC">
          <w:rPr>
            <w:rStyle w:val="PageNumber"/>
            <w:sz w:val="20"/>
            <w:szCs w:val="20"/>
          </w:rPr>
          <w:fldChar w:fldCharType="end"/>
        </w:r>
        <w:r w:rsidRPr="005A251E">
          <w:rPr>
            <w:rStyle w:val="PageNumber"/>
            <w:sz w:val="20"/>
            <w:szCs w:val="20"/>
            <w:lang w:val="en-US"/>
          </w:rPr>
          <w:t xml:space="preserve"> of 6</w:t>
        </w:r>
      </w:p>
    </w:sdtContent>
  </w:sdt>
  <w:p w14:paraId="0AB7757E" w14:textId="0B2B03BC" w:rsidR="003E30EC" w:rsidRPr="003E30EC" w:rsidRDefault="003E30EC" w:rsidP="003E30EC">
    <w:pPr>
      <w:pStyle w:val="Header"/>
      <w:spacing w:line="360" w:lineRule="auto"/>
      <w:ind w:right="360"/>
      <w:rPr>
        <w:sz w:val="20"/>
        <w:szCs w:val="20"/>
        <w:lang w:val="en-US"/>
      </w:rPr>
    </w:pPr>
    <w:r w:rsidRPr="003E30EC">
      <w:rPr>
        <w:sz w:val="20"/>
        <w:szCs w:val="20"/>
        <w:lang w:val="en-US"/>
      </w:rPr>
      <w:t>Cecilie F. Strandsbjerg</w:t>
    </w:r>
    <w:r w:rsidRPr="003E30EC">
      <w:rPr>
        <w:sz w:val="20"/>
        <w:szCs w:val="20"/>
        <w:lang w:val="en-US"/>
      </w:rPr>
      <w:tab/>
      <w:t>Exam number: 49</w:t>
    </w:r>
    <w:r w:rsidRPr="003E30EC">
      <w:rPr>
        <w:sz w:val="20"/>
        <w:szCs w:val="20"/>
        <w:lang w:val="en-US"/>
      </w:rPr>
      <w:tab/>
    </w:r>
  </w:p>
  <w:p w14:paraId="0C3AF760" w14:textId="27B5A7B7" w:rsidR="003E30EC" w:rsidRPr="003E30EC" w:rsidRDefault="003E30EC" w:rsidP="003E30EC">
    <w:pPr>
      <w:pStyle w:val="Header"/>
      <w:spacing w:line="360" w:lineRule="auto"/>
      <w:rPr>
        <w:sz w:val="20"/>
        <w:szCs w:val="20"/>
        <w:lang w:val="en-US"/>
      </w:rPr>
    </w:pPr>
    <w:r w:rsidRPr="003E30EC">
      <w:rPr>
        <w:sz w:val="20"/>
        <w:szCs w:val="20"/>
        <w:lang w:val="en-US"/>
      </w:rPr>
      <w:t>Characters: 7.19</w:t>
    </w:r>
    <w:r w:rsidR="000D5F87">
      <w:rPr>
        <w:sz w:val="20"/>
        <w:szCs w:val="20"/>
        <w:lang w:val="en-US"/>
      </w:rPr>
      <w:t>5</w:t>
    </w:r>
    <w:r w:rsidRPr="003E30EC">
      <w:rPr>
        <w:sz w:val="20"/>
        <w:szCs w:val="20"/>
        <w:lang w:val="en-US"/>
      </w:rPr>
      <w:tab/>
    </w:r>
    <w:r w:rsidRPr="003E30EC">
      <w:rPr>
        <w:sz w:val="20"/>
        <w:szCs w:val="20"/>
        <w:lang w:val="en-US"/>
      </w:rPr>
      <w:tab/>
      <w:t>TVA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767E"/>
    <w:multiLevelType w:val="hybridMultilevel"/>
    <w:tmpl w:val="3D7E5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E43E6"/>
    <w:multiLevelType w:val="hybridMultilevel"/>
    <w:tmpl w:val="4662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F30B0"/>
    <w:multiLevelType w:val="hybridMultilevel"/>
    <w:tmpl w:val="F294CD12"/>
    <w:lvl w:ilvl="0" w:tplc="F24E4E9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71"/>
    <w:rsid w:val="00031D22"/>
    <w:rsid w:val="000761CC"/>
    <w:rsid w:val="000911AF"/>
    <w:rsid w:val="00091AF3"/>
    <w:rsid w:val="000D5F87"/>
    <w:rsid w:val="0010722D"/>
    <w:rsid w:val="00185DB9"/>
    <w:rsid w:val="001B1B1E"/>
    <w:rsid w:val="00260DE7"/>
    <w:rsid w:val="0026170B"/>
    <w:rsid w:val="002B392E"/>
    <w:rsid w:val="00331F6F"/>
    <w:rsid w:val="003B61C9"/>
    <w:rsid w:val="003E30EC"/>
    <w:rsid w:val="00433087"/>
    <w:rsid w:val="00436871"/>
    <w:rsid w:val="00452E25"/>
    <w:rsid w:val="004A1CC5"/>
    <w:rsid w:val="004A4285"/>
    <w:rsid w:val="00572F06"/>
    <w:rsid w:val="005A251E"/>
    <w:rsid w:val="005C1E19"/>
    <w:rsid w:val="005C5D2A"/>
    <w:rsid w:val="00646B9A"/>
    <w:rsid w:val="00655AC9"/>
    <w:rsid w:val="00681850"/>
    <w:rsid w:val="006930CE"/>
    <w:rsid w:val="007100B9"/>
    <w:rsid w:val="00783A24"/>
    <w:rsid w:val="00810D14"/>
    <w:rsid w:val="0084644B"/>
    <w:rsid w:val="008A01D0"/>
    <w:rsid w:val="00965CF4"/>
    <w:rsid w:val="009707F7"/>
    <w:rsid w:val="009E4577"/>
    <w:rsid w:val="00AB2DCB"/>
    <w:rsid w:val="00AF61C0"/>
    <w:rsid w:val="00B04D6D"/>
    <w:rsid w:val="00BC137A"/>
    <w:rsid w:val="00BD6388"/>
    <w:rsid w:val="00BE088B"/>
    <w:rsid w:val="00C446D4"/>
    <w:rsid w:val="00C54072"/>
    <w:rsid w:val="00D011E5"/>
    <w:rsid w:val="00D1033B"/>
    <w:rsid w:val="00D1398D"/>
    <w:rsid w:val="00D73A0C"/>
    <w:rsid w:val="00D8328C"/>
    <w:rsid w:val="00D8766C"/>
    <w:rsid w:val="00DD13D5"/>
    <w:rsid w:val="00DE3DCE"/>
    <w:rsid w:val="00E049CE"/>
    <w:rsid w:val="00EA33AF"/>
    <w:rsid w:val="00FF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5292A"/>
  <w15:chartTrackingRefBased/>
  <w15:docId w15:val="{5BF97C3A-889B-C943-B52B-EDA74D81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871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8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87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871"/>
    <w:rPr>
      <w:rFonts w:asciiTheme="majorHAnsi" w:eastAsiaTheme="majorEastAsia" w:hAnsiTheme="majorHAnsi" w:cstheme="majorBidi"/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F06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0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F06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72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F06"/>
    <w:pPr>
      <w:spacing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F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E25"/>
    <w:pPr>
      <w:spacing w:after="0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E25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52E2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C5D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30EC"/>
    <w:pPr>
      <w:tabs>
        <w:tab w:val="center" w:pos="4986"/>
        <w:tab w:val="right" w:pos="99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0E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E30EC"/>
    <w:pPr>
      <w:tabs>
        <w:tab w:val="center" w:pos="4986"/>
        <w:tab w:val="right" w:pos="99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0EC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3E30EC"/>
  </w:style>
  <w:style w:type="character" w:styleId="Emphasis">
    <w:name w:val="Emphasis"/>
    <w:basedOn w:val="DefaultParagraphFont"/>
    <w:uiPriority w:val="20"/>
    <w:qFormat/>
    <w:rsid w:val="003E3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F025C8-1F2F-470A-BD49-C88810D3EB09}"/>
</file>

<file path=customXml/itemProps2.xml><?xml version="1.0" encoding="utf-8"?>
<ds:datastoreItem xmlns:ds="http://schemas.openxmlformats.org/officeDocument/2006/customXml" ds:itemID="{A39F2461-67B1-4B76-B8C8-F5783D4E3551}"/>
</file>

<file path=customXml/itemProps3.xml><?xml version="1.0" encoding="utf-8"?>
<ds:datastoreItem xmlns:ds="http://schemas.openxmlformats.org/officeDocument/2006/customXml" ds:itemID="{BE0B1B3B-0DB3-4D59-92B3-3779F6178E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1173</Words>
  <Characters>6618</Characters>
  <Application>Microsoft Office Word</Application>
  <DocSecurity>0</DocSecurity>
  <Lines>132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Strandsbjerg</dc:creator>
  <cp:keywords/>
  <dc:description/>
  <cp:lastModifiedBy>Cecilie Strandsbjerg</cp:lastModifiedBy>
  <cp:revision>6</cp:revision>
  <dcterms:created xsi:type="dcterms:W3CDTF">2019-12-03T15:06:00Z</dcterms:created>
  <dcterms:modified xsi:type="dcterms:W3CDTF">2020-01-10T12:46:00Z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</Properties>
</file>