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356E7" w14:textId="4D08E358" w:rsidR="00441B93" w:rsidRPr="00780F68" w:rsidRDefault="00412B5A" w:rsidP="00CD0078">
      <w:pPr>
        <w:spacing w:after="160" w:line="259" w:lineRule="auto"/>
        <w:jc w:val="both"/>
        <w:rPr>
          <w:rFonts w:ascii="Arial" w:hAnsi="Arial" w:cs="Arial"/>
          <w:b/>
          <w:bCs/>
          <w:color w:val="000000"/>
          <w:sz w:val="36"/>
          <w:lang w:val="en-GB"/>
        </w:rPr>
      </w:pPr>
      <w:r>
        <w:rPr>
          <w:rFonts w:ascii="Arial" w:hAnsi="Arial" w:cs="Arial"/>
          <w:b/>
          <w:bCs/>
          <w:color w:val="000000"/>
          <w:sz w:val="36"/>
          <w:lang w:val="en-GB"/>
        </w:rPr>
        <w:t>Theory of Visual Attention</w:t>
      </w:r>
    </w:p>
    <w:p w14:paraId="7EB2F007" w14:textId="5DA27210" w:rsidR="001078C3" w:rsidRPr="00780F68" w:rsidRDefault="006F034F" w:rsidP="00CD0078">
      <w:pPr>
        <w:pStyle w:val="Overskrift1"/>
        <w:jc w:val="both"/>
        <w:rPr>
          <w:lang w:val="en-GB"/>
        </w:rPr>
      </w:pPr>
      <w:bookmarkStart w:id="0" w:name="_Toc25244892"/>
      <w:r w:rsidRPr="00780F68">
        <w:rPr>
          <w:lang w:val="en-GB"/>
        </w:rPr>
        <w:t>Introduction</w:t>
      </w:r>
      <w:bookmarkEnd w:id="0"/>
    </w:p>
    <w:p w14:paraId="3B7E968F" w14:textId="0126A862" w:rsidR="006F034F" w:rsidRPr="00780F68" w:rsidRDefault="004A72A0" w:rsidP="00CD0078">
      <w:pPr>
        <w:jc w:val="both"/>
        <w:rPr>
          <w:lang w:val="en-GB"/>
        </w:rPr>
      </w:pPr>
      <w:r w:rsidRPr="00780F68">
        <w:rPr>
          <w:lang w:val="en-GB"/>
        </w:rPr>
        <w:t>This paper</w:t>
      </w:r>
      <w:r w:rsidR="00F1453C" w:rsidRPr="00780F68">
        <w:rPr>
          <w:lang w:val="en-GB"/>
        </w:rPr>
        <w:t xml:space="preserve"> examines attention through a</w:t>
      </w:r>
      <w:r w:rsidR="000C3A46" w:rsidRPr="00780F68">
        <w:rPr>
          <w:lang w:val="en-GB"/>
        </w:rPr>
        <w:t xml:space="preserve">n experiment in the theory of visual attention </w:t>
      </w:r>
      <w:r w:rsidR="005A6FF2" w:rsidRPr="00780F68">
        <w:rPr>
          <w:lang w:val="en-GB"/>
        </w:rPr>
        <w:t xml:space="preserve">(TVA) </w:t>
      </w:r>
      <w:r w:rsidR="000C3A46" w:rsidRPr="00780F68">
        <w:rPr>
          <w:lang w:val="en-GB"/>
        </w:rPr>
        <w:t>paradigm</w:t>
      </w:r>
      <w:r w:rsidR="00EF78D6" w:rsidRPr="00780F68">
        <w:rPr>
          <w:lang w:val="en-GB"/>
        </w:rPr>
        <w:t xml:space="preserve"> </w:t>
      </w:r>
      <w:r w:rsidR="00EF78D6" w:rsidRPr="00780F68">
        <w:rPr>
          <w:lang w:val="en-GB"/>
        </w:rPr>
        <w:fldChar w:fldCharType="begin" w:fldLock="1"/>
      </w:r>
      <w:r w:rsidR="00364D85">
        <w:rPr>
          <w:lang w:val="en-GB"/>
        </w:rPr>
        <w:instrText>ADDIN CSL_CITATION {"citationItems":[{"id":"ITEM-1","itemData":{"abstract":"Rationale Nicotine has been shown to improve both memory and attention when assessed through speeded motor responses. Since very few studies have assessed effects of nicotine on visual attention using measures that are uncontaminated by motoric effects, nicotine's atten-tional effects may, at least partially, be due to speeding of motor function. Objectives Using an unspeeded, accuracy-based test, the CombiTVA paradigm, we examined whether nicotine enhances attention when it is measured independently of motor processing. Methods We modelled data with a computational theory of visual attention (TVA; Bundesen 1990) so as to derive independent estimates of several distinct components of attention from performance of the single task: threshold of visual perception, perceptual processing speed, visual short-term memory storage capacity and top-down controlled selectivity. Acute effects of nicotine (2 mg gum) on performance were assessed in 24 healthy young non-smokers in a placebo-controlled counterbalanced, crossover design. Chronic effects of nicotine were investigated in 24 age-and education-matched minimally deprived smokers. Results Both an acute dose of nicotine in non-smokers and chronic nicotine use in temporarily abstaining smokers improved perceptual thresholds but slowed subsequent perceptual speed. Moreover, both acute and chronic nicotine use reduced attentional selectivity though visual short-term memory capacity was unimpaired. Conclusions Nicotine differentially affected discrete components of visual attention, with acute and chronic doses revealing identical patterns of performance. We challenge prior reports of nicotine-induced speeding of information processing by showing, for the first time, that nicotine slows down perceptual processing speed when assessed using accuracy-based measures of cognitive performance.","author":[{"dropping-particle":"","family":"Vangkilde","given":"Signe","non-dropping-particle":"","parse-names":false,"suffix":""},{"dropping-particle":"","family":"Bundesen","given":"Claus","non-dropping-particle":"","parse-names":false,"suffix":""},{"dropping-particle":"","family":"Coull","given":"Jennifer T","non-dropping-particle":"","parse-names":false,"suffix":""}],"container-title":"Psychopharmacology","id":"ITEM-1","issued":{"date-parts":[["2011"]]},"page":"667-680","title":"Prompt but inefficient: nicotine differentially modulates discrete components of attention","type":"article-journal","volume":"218"},"uris":["http://www.mendeley.com/documents/?uuid=3b28e765-c6eb-4f59-994e-799655227c7a"]}],"mendeley":{"formattedCitation":"(Vangkilde, Bundesen, &amp; Coull, 2011)","plainTextFormattedCitation":"(Vangkilde, Bundesen, &amp; Coull, 2011)","previouslyFormattedCitation":"(Vangkilde, Bundesen, &amp; Coull, 2011)"},"properties":{"noteIndex":0},"schema":"https://github.com/citation-style-language/schema/raw/master/csl-citation.json"}</w:instrText>
      </w:r>
      <w:r w:rsidR="00EF78D6" w:rsidRPr="00780F68">
        <w:rPr>
          <w:lang w:val="en-GB"/>
        </w:rPr>
        <w:fldChar w:fldCharType="separate"/>
      </w:r>
      <w:r w:rsidR="00EF78D6" w:rsidRPr="00780F68">
        <w:rPr>
          <w:noProof/>
          <w:lang w:val="en-GB"/>
        </w:rPr>
        <w:t>(Vangkilde, Bundesen, &amp; Coull, 2011)</w:t>
      </w:r>
      <w:r w:rsidR="00EF78D6" w:rsidRPr="00780F68">
        <w:rPr>
          <w:lang w:val="en-GB"/>
        </w:rPr>
        <w:fldChar w:fldCharType="end"/>
      </w:r>
      <w:r w:rsidR="00EF78D6" w:rsidRPr="00780F68">
        <w:rPr>
          <w:lang w:val="en-GB"/>
        </w:rPr>
        <w:t>.</w:t>
      </w:r>
    </w:p>
    <w:p w14:paraId="536E1C8B" w14:textId="23E98437" w:rsidR="003C5B55" w:rsidRDefault="002D04D5" w:rsidP="00C4438E">
      <w:pPr>
        <w:ind w:firstLine="567"/>
        <w:jc w:val="both"/>
        <w:rPr>
          <w:lang w:val="en-GB"/>
        </w:rPr>
      </w:pPr>
      <w:r w:rsidRPr="00780F68">
        <w:rPr>
          <w:lang w:val="en-GB"/>
        </w:rPr>
        <w:t xml:space="preserve">The </w:t>
      </w:r>
      <w:r w:rsidR="00BA204F" w:rsidRPr="00780F68">
        <w:rPr>
          <w:lang w:val="en-GB"/>
        </w:rPr>
        <w:t>experiment</w:t>
      </w:r>
      <w:r w:rsidRPr="00780F68">
        <w:rPr>
          <w:lang w:val="en-GB"/>
        </w:rPr>
        <w:t xml:space="preserve"> examines</w:t>
      </w:r>
      <w:r w:rsidR="005B0885" w:rsidRPr="00780F68">
        <w:rPr>
          <w:lang w:val="en-GB"/>
        </w:rPr>
        <w:t xml:space="preserve"> which elements in the visual field </w:t>
      </w:r>
      <w:r w:rsidR="006F25F6" w:rsidRPr="00780F68">
        <w:rPr>
          <w:lang w:val="en-GB"/>
        </w:rPr>
        <w:t>reaches conscious awareness</w:t>
      </w:r>
      <w:r w:rsidR="002B5555" w:rsidRPr="00780F68">
        <w:rPr>
          <w:lang w:val="en-GB"/>
        </w:rPr>
        <w:t xml:space="preserve"> and the capacity </w:t>
      </w:r>
      <w:r w:rsidR="00AB1BCB" w:rsidRPr="00780F68">
        <w:rPr>
          <w:lang w:val="en-GB"/>
        </w:rPr>
        <w:t>of</w:t>
      </w:r>
      <w:r w:rsidR="002B5555" w:rsidRPr="00780F68">
        <w:rPr>
          <w:lang w:val="en-GB"/>
        </w:rPr>
        <w:t xml:space="preserve"> the visual short term memory</w:t>
      </w:r>
      <w:r w:rsidR="00FA2FC9" w:rsidRPr="00780F68">
        <w:rPr>
          <w:lang w:val="en-GB"/>
        </w:rPr>
        <w:t xml:space="preserve"> (VSTM)</w:t>
      </w:r>
      <w:r w:rsidRPr="00780F68">
        <w:rPr>
          <w:lang w:val="en-GB"/>
        </w:rPr>
        <w:t xml:space="preserve"> – in short, how many resources are available and how they are distributed.</w:t>
      </w:r>
      <w:r w:rsidR="004A72A0" w:rsidRPr="00780F68">
        <w:rPr>
          <w:lang w:val="en-GB"/>
        </w:rPr>
        <w:t xml:space="preserve"> </w:t>
      </w:r>
      <w:r w:rsidR="00CD0078" w:rsidRPr="00780F68">
        <w:rPr>
          <w:lang w:val="en-GB"/>
        </w:rPr>
        <w:t>Spatial distribution of attention</w:t>
      </w:r>
      <w:r w:rsidR="00436328" w:rsidRPr="00780F68">
        <w:rPr>
          <w:lang w:val="en-GB"/>
        </w:rPr>
        <w:t xml:space="preserve"> and selection between </w:t>
      </w:r>
      <w:r w:rsidR="002A5DCA" w:rsidRPr="00780F68">
        <w:rPr>
          <w:lang w:val="en-GB"/>
        </w:rPr>
        <w:t xml:space="preserve">relevant and irrelevant elements are also </w:t>
      </w:r>
      <w:r w:rsidR="004A72A0" w:rsidRPr="00780F68">
        <w:rPr>
          <w:lang w:val="en-GB"/>
        </w:rPr>
        <w:t>examined.</w:t>
      </w:r>
      <w:r w:rsidR="005A6FF2" w:rsidRPr="00780F68">
        <w:rPr>
          <w:lang w:val="en-GB"/>
        </w:rPr>
        <w:t xml:space="preserve"> Through the mathematical models of TVA</w:t>
      </w:r>
      <w:r w:rsidR="0045502B" w:rsidRPr="00780F68">
        <w:rPr>
          <w:lang w:val="en-GB"/>
        </w:rPr>
        <w:t xml:space="preserve"> measures of processing speed (</w:t>
      </w:r>
      <w:r w:rsidR="0045502B" w:rsidRPr="00780F68">
        <w:rPr>
          <w:i/>
          <w:iCs/>
          <w:lang w:val="en-GB"/>
        </w:rPr>
        <w:t>C</w:t>
      </w:r>
      <w:r w:rsidR="0045502B" w:rsidRPr="00780F68">
        <w:rPr>
          <w:lang w:val="en-GB"/>
        </w:rPr>
        <w:t xml:space="preserve">), </w:t>
      </w:r>
      <w:r w:rsidR="002E2947" w:rsidRPr="00780F68">
        <w:rPr>
          <w:lang w:val="en-GB"/>
        </w:rPr>
        <w:t>VSTM capacity (</w:t>
      </w:r>
      <w:r w:rsidR="002E2947" w:rsidRPr="00780F68">
        <w:rPr>
          <w:i/>
          <w:iCs/>
          <w:lang w:val="en-GB"/>
        </w:rPr>
        <w:t>K</w:t>
      </w:r>
      <w:r w:rsidR="002E2947" w:rsidRPr="00780F68">
        <w:rPr>
          <w:lang w:val="en-GB"/>
        </w:rPr>
        <w:t xml:space="preserve">), </w:t>
      </w:r>
      <w:r w:rsidR="00F96A9E" w:rsidRPr="00780F68">
        <w:rPr>
          <w:lang w:val="en-GB"/>
        </w:rPr>
        <w:t>selectivity between relevant and irrelevant elements (</w:t>
      </w:r>
      <m:oMath>
        <m:r>
          <w:rPr>
            <w:rFonts w:ascii="Cambria Math" w:hAnsi="Cambria Math"/>
            <w:lang w:val="en-GB"/>
          </w:rPr>
          <m:t>α</m:t>
        </m:r>
      </m:oMath>
      <w:r w:rsidR="007A420F" w:rsidRPr="00780F68">
        <w:rPr>
          <w:lang w:val="en-GB"/>
        </w:rPr>
        <w:t>)</w:t>
      </w:r>
      <w:r w:rsidR="0048155B" w:rsidRPr="00780F68">
        <w:rPr>
          <w:lang w:val="en-GB"/>
        </w:rPr>
        <w:t>, the perceptual threshold</w:t>
      </w:r>
      <w:r w:rsidR="00FD74D9" w:rsidRPr="00780F68">
        <w:rPr>
          <w:lang w:val="en-GB"/>
        </w:rPr>
        <w:t xml:space="preserve"> in </w:t>
      </w:r>
      <w:r w:rsidR="00AC4C24" w:rsidRPr="00780F68">
        <w:rPr>
          <w:lang w:val="en-GB"/>
        </w:rPr>
        <w:t>milliseconds (</w:t>
      </w:r>
      <w:r w:rsidR="00015AA9" w:rsidRPr="00780F68">
        <w:rPr>
          <w:i/>
          <w:iCs/>
          <w:lang w:val="en-GB"/>
        </w:rPr>
        <w:t>t</w:t>
      </w:r>
      <w:r w:rsidR="00015AA9" w:rsidRPr="00780F68">
        <w:rPr>
          <w:i/>
          <w:iCs/>
          <w:vertAlign w:val="subscript"/>
          <w:lang w:val="en-GB"/>
        </w:rPr>
        <w:t>0</w:t>
      </w:r>
      <w:r w:rsidR="00015AA9" w:rsidRPr="00780F68">
        <w:rPr>
          <w:lang w:val="en-GB"/>
        </w:rPr>
        <w:t>)</w:t>
      </w:r>
      <w:r w:rsidR="00DB243F" w:rsidRPr="00780F68">
        <w:rPr>
          <w:lang w:val="en-GB"/>
        </w:rPr>
        <w:t xml:space="preserve"> </w:t>
      </w:r>
      <w:r w:rsidR="005434E3">
        <w:rPr>
          <w:lang w:val="en-GB"/>
        </w:rPr>
        <w:t xml:space="preserve">and </w:t>
      </w:r>
      <w:r w:rsidR="008F60E1">
        <w:rPr>
          <w:lang w:val="en-GB"/>
        </w:rPr>
        <w:t>lateral attention weight (</w:t>
      </w:r>
      <w:r w:rsidR="008F60E1" w:rsidRPr="008F60E1">
        <w:rPr>
          <w:i/>
          <w:iCs/>
          <w:sz w:val="22"/>
          <w:szCs w:val="22"/>
          <w:lang w:val="en-GB"/>
        </w:rPr>
        <w:t>W</w:t>
      </w:r>
      <w:r w:rsidR="002C11AF">
        <w:rPr>
          <w:i/>
          <w:iCs/>
          <w:sz w:val="22"/>
          <w:szCs w:val="22"/>
          <w:vertAlign w:val="subscript"/>
          <w:lang w:val="en-GB"/>
        </w:rPr>
        <w:t>index</w:t>
      </w:r>
      <w:r w:rsidR="002C11AF">
        <w:rPr>
          <w:i/>
          <w:iCs/>
          <w:sz w:val="22"/>
          <w:szCs w:val="22"/>
          <w:lang w:val="en-GB"/>
        </w:rPr>
        <w:t xml:space="preserve">) </w:t>
      </w:r>
      <w:r w:rsidR="00DB243F" w:rsidRPr="008F60E1">
        <w:rPr>
          <w:sz w:val="22"/>
          <w:szCs w:val="22"/>
          <w:lang w:val="en-GB"/>
        </w:rPr>
        <w:t>will</w:t>
      </w:r>
      <w:r w:rsidR="00DB243F" w:rsidRPr="00780F68">
        <w:rPr>
          <w:lang w:val="en-GB"/>
        </w:rPr>
        <w:t xml:space="preserve"> also be investigated.</w:t>
      </w:r>
    </w:p>
    <w:p w14:paraId="5081F57D" w14:textId="5492422B" w:rsidR="002662AC" w:rsidRPr="000F5344" w:rsidRDefault="00306303" w:rsidP="00C4438E">
      <w:pPr>
        <w:ind w:firstLine="567"/>
        <w:jc w:val="both"/>
        <w:rPr>
          <w:lang w:val="en-GB"/>
        </w:rPr>
      </w:pPr>
      <w:r>
        <w:rPr>
          <w:lang w:val="en-GB"/>
        </w:rPr>
        <w:t>In accordance with other TVA</w:t>
      </w:r>
      <w:r w:rsidR="00B73BE0">
        <w:rPr>
          <w:lang w:val="en-GB"/>
        </w:rPr>
        <w:t xml:space="preserve"> paradigm experiments, </w:t>
      </w:r>
      <w:r w:rsidR="001677E1">
        <w:rPr>
          <w:lang w:val="en-GB"/>
        </w:rPr>
        <w:t xml:space="preserve">results for this experiment are expected to show an increase in correctly reported letters as RT increases </w:t>
      </w:r>
      <w:r w:rsidR="006E632E">
        <w:rPr>
          <w:lang w:val="en-GB"/>
        </w:rPr>
        <w:t>and a</w:t>
      </w:r>
      <w:r w:rsidR="00F605EF">
        <w:rPr>
          <w:lang w:val="en-GB"/>
        </w:rPr>
        <w:t xml:space="preserve"> correlation between </w:t>
      </w:r>
      <w:r w:rsidR="000F5344">
        <w:rPr>
          <w:lang w:val="en-GB"/>
        </w:rPr>
        <w:t xml:space="preserve">TVA parameters </w:t>
      </w:r>
      <w:r w:rsidR="000F5344">
        <w:rPr>
          <w:i/>
          <w:iCs/>
          <w:lang w:val="en-GB"/>
        </w:rPr>
        <w:t>C</w:t>
      </w:r>
      <w:r w:rsidR="000F5344">
        <w:rPr>
          <w:lang w:val="en-GB"/>
        </w:rPr>
        <w:t xml:space="preserve"> and </w:t>
      </w:r>
      <w:r w:rsidR="000F5344">
        <w:rPr>
          <w:i/>
          <w:iCs/>
          <w:lang w:val="en-GB"/>
        </w:rPr>
        <w:t>K</w:t>
      </w:r>
      <w:r w:rsidR="00507968">
        <w:rPr>
          <w:i/>
          <w:iCs/>
          <w:lang w:val="en-GB"/>
        </w:rPr>
        <w:t>.</w:t>
      </w:r>
      <w:r w:rsidR="00507968">
        <w:rPr>
          <w:lang w:val="en-GB"/>
        </w:rPr>
        <w:t xml:space="preserve"> It is </w:t>
      </w:r>
      <w:r w:rsidR="000115FE">
        <w:rPr>
          <w:lang w:val="en-GB"/>
        </w:rPr>
        <w:t xml:space="preserve">further expected that distractors in </w:t>
      </w:r>
      <w:r w:rsidR="000115FE">
        <w:rPr>
          <w:i/>
          <w:iCs/>
          <w:lang w:val="en-GB"/>
        </w:rPr>
        <w:t>partial report</w:t>
      </w:r>
      <w:r w:rsidR="000115FE">
        <w:rPr>
          <w:lang w:val="en-GB"/>
        </w:rPr>
        <w:t xml:space="preserve"> trials will decrease the number of </w:t>
      </w:r>
      <w:r w:rsidR="008C0798">
        <w:rPr>
          <w:lang w:val="en-GB"/>
        </w:rPr>
        <w:t>correctly reported letters</w:t>
      </w:r>
      <w:r w:rsidR="00AE372D">
        <w:rPr>
          <w:lang w:val="en-GB"/>
        </w:rPr>
        <w:t xml:space="preserve"> and that participants will show a laterally balanced attentional weig</w:t>
      </w:r>
      <w:r w:rsidR="00480B29">
        <w:rPr>
          <w:lang w:val="en-GB"/>
        </w:rPr>
        <w:t>hting of</w:t>
      </w:r>
      <w:r w:rsidR="00F562CC">
        <w:rPr>
          <w:lang w:val="en-GB"/>
        </w:rPr>
        <w:t xml:space="preserve"> stimuli</w:t>
      </w:r>
      <w:r w:rsidR="00CD6291">
        <w:rPr>
          <w:lang w:val="en-GB"/>
        </w:rPr>
        <w:t xml:space="preserve">. Men and women are expected to display similar performances while age is expected to correlate with most or all TVA parameters </w:t>
      </w:r>
      <w:r w:rsidR="0039493E">
        <w:rPr>
          <w:lang w:val="en-GB"/>
        </w:rPr>
        <w:fldChar w:fldCharType="begin" w:fldLock="1"/>
      </w:r>
      <w:r w:rsidR="00364D85">
        <w:rPr>
          <w:lang w:val="en-GB"/>
        </w:rPr>
        <w:instrText>ADDIN CSL_CITATION {"citationItems":[{"id":"ITEM-1","itemData":{"ISSN":"1664-1078","abstract":"In combination with whole report and partial report tasks, the Theory of Visual Attention (TVA) can be used to estimate individual differences in five basic attentional parameters: The visual processing speed, the storage capacity of visual short-term memory, the perceptual threshold, the efficiency of top-down selectivity, and the spatial bias of attentional weighting. TVA-based assessment has been used in about 30 studies to investigate attentional deficits in a range of neurological and psychiatric conditions: (a) neglect and simultanagnosia, (b) reading disturbances, (c) aging and neurodegenerative diseases, and most recently (d) neurodevelopmental disorders. The article introduces TVA based assessment, discusses its methodology and psychometric properties, and reviews the progress made in each of the four research fields. The empirical results demonstrate the general usefulness of TVA-based assessment for many types of clinical neuropsychological research. The method’s most important qualities are cognitive specificity and theoretical grounding, but it is also characterized by good reliability and sensitivity to minor deficits. The review concludes by pointing to promising new areas for clinical TVA-based research.","author":[{"dropping-particle":"","family":"Habekost","given":"Thomas","non-dropping-particle":"","parse-names":false,"suffix":""}],"container-title":"Frontiers in Psychology","id":"ITEM-1","issued":{"date-parts":[["2015"]]},"page":"1-18","title":"Clinical TVA-based studies: a general review","type":"article-journal","volume":"6:290"},"uris":["http://www.mendeley.com/documents/?uuid=e8dd6b85-15ac-4a8c-908f-841d151568dd"]}],"mendeley":{"formattedCitation":"(Habekost, 2015)","plainTextFormattedCitation":"(Habekost, 2015)","previouslyFormattedCitation":"(Habekost, 2015)"},"properties":{"noteIndex":0},"schema":"https://github.com/citation-style-language/schema/raw/master/csl-citation.json"}</w:instrText>
      </w:r>
      <w:r w:rsidR="0039493E">
        <w:rPr>
          <w:lang w:val="en-GB"/>
        </w:rPr>
        <w:fldChar w:fldCharType="separate"/>
      </w:r>
      <w:r w:rsidR="0039493E" w:rsidRPr="0039493E">
        <w:rPr>
          <w:noProof/>
          <w:lang w:val="en-GB"/>
        </w:rPr>
        <w:t>(Habekost, 2015)</w:t>
      </w:r>
      <w:r w:rsidR="0039493E">
        <w:rPr>
          <w:lang w:val="en-GB"/>
        </w:rPr>
        <w:fldChar w:fldCharType="end"/>
      </w:r>
      <w:r w:rsidR="0039493E">
        <w:rPr>
          <w:lang w:val="en-GB"/>
        </w:rPr>
        <w:t>.</w:t>
      </w:r>
      <w:r w:rsidR="00507968">
        <w:rPr>
          <w:lang w:val="en-GB"/>
        </w:rPr>
        <w:t xml:space="preserve"> </w:t>
      </w:r>
    </w:p>
    <w:p w14:paraId="33F0F61A" w14:textId="3838A956" w:rsidR="001078C3" w:rsidRPr="00780F68" w:rsidRDefault="006F034F" w:rsidP="00CD0078">
      <w:pPr>
        <w:pStyle w:val="Overskrift1"/>
        <w:jc w:val="both"/>
        <w:rPr>
          <w:lang w:val="en-GB"/>
        </w:rPr>
      </w:pPr>
      <w:bookmarkStart w:id="1" w:name="_Toc25244893"/>
      <w:r w:rsidRPr="00780F68">
        <w:rPr>
          <w:lang w:val="en-GB"/>
        </w:rPr>
        <w:t>Method</w:t>
      </w:r>
      <w:bookmarkEnd w:id="1"/>
    </w:p>
    <w:p w14:paraId="476407FE" w14:textId="0C2F20B0" w:rsidR="00DD04C9" w:rsidRDefault="00DD04C9" w:rsidP="00DD04C9">
      <w:pPr>
        <w:jc w:val="both"/>
        <w:rPr>
          <w:rStyle w:val="normaltextrun"/>
          <w:color w:val="000000"/>
          <w:shd w:val="clear" w:color="auto" w:fill="FFFFFF"/>
          <w:lang w:val="en-GB"/>
        </w:rPr>
      </w:pPr>
      <w:r w:rsidRPr="00780F68">
        <w:rPr>
          <w:rStyle w:val="normaltextrun"/>
          <w:color w:val="000000"/>
          <w:shd w:val="clear" w:color="auto" w:fill="FFFFFF"/>
          <w:lang w:val="en-GB"/>
        </w:rPr>
        <w:t xml:space="preserve">This experiment included </w:t>
      </w:r>
      <w:r w:rsidRPr="00780F68">
        <w:rPr>
          <w:rStyle w:val="normaltextrun"/>
          <w:i/>
          <w:iCs/>
          <w:color w:val="000000"/>
          <w:shd w:val="clear" w:color="auto" w:fill="FFFFFF"/>
          <w:lang w:val="en-GB"/>
        </w:rPr>
        <w:t xml:space="preserve">N </w:t>
      </w:r>
      <w:r w:rsidRPr="00780F68">
        <w:rPr>
          <w:rStyle w:val="normaltextrun"/>
          <w:color w:val="000000"/>
          <w:shd w:val="clear" w:color="auto" w:fill="FFFFFF"/>
          <w:lang w:val="en-GB"/>
        </w:rPr>
        <w:t xml:space="preserve">= </w:t>
      </w:r>
      <w:r w:rsidR="003E1805" w:rsidRPr="00780F68">
        <w:rPr>
          <w:rStyle w:val="normaltextrun"/>
          <w:shd w:val="clear" w:color="auto" w:fill="FFFFFF"/>
          <w:lang w:val="en-GB"/>
        </w:rPr>
        <w:t>20</w:t>
      </w:r>
      <w:r w:rsidR="000122EF">
        <w:rPr>
          <w:rStyle w:val="normaltextrun"/>
          <w:shd w:val="clear" w:color="auto" w:fill="FFFFFF"/>
          <w:lang w:val="en-GB"/>
        </w:rPr>
        <w:t>7</w:t>
      </w:r>
      <w:bookmarkStart w:id="2" w:name="_GoBack"/>
      <w:bookmarkEnd w:id="2"/>
      <w:r w:rsidRPr="00780F68">
        <w:rPr>
          <w:rStyle w:val="normaltextrun"/>
          <w:color w:val="000000"/>
          <w:shd w:val="clear" w:color="auto" w:fill="FFFFFF"/>
          <w:lang w:val="en-GB"/>
        </w:rPr>
        <w:t xml:space="preserve"> participants, </w:t>
      </w:r>
      <w:r w:rsidR="004D7338" w:rsidRPr="00780F68">
        <w:rPr>
          <w:rStyle w:val="normaltextrun"/>
          <w:color w:val="000000"/>
          <w:shd w:val="clear" w:color="auto" w:fill="FFFFFF"/>
          <w:lang w:val="en-GB"/>
        </w:rPr>
        <w:t xml:space="preserve">37 male, 169 </w:t>
      </w:r>
      <w:r w:rsidR="00636DD0">
        <w:rPr>
          <w:rStyle w:val="normaltextrun"/>
          <w:color w:val="000000"/>
          <w:shd w:val="clear" w:color="auto" w:fill="FFFFFF"/>
          <w:lang w:val="en-GB"/>
        </w:rPr>
        <w:t>fe</w:t>
      </w:r>
      <w:r w:rsidR="004D7338" w:rsidRPr="00780F68">
        <w:rPr>
          <w:rStyle w:val="normaltextrun"/>
          <w:color w:val="000000"/>
          <w:shd w:val="clear" w:color="auto" w:fill="FFFFFF"/>
          <w:lang w:val="en-GB"/>
        </w:rPr>
        <w:t xml:space="preserve">male, </w:t>
      </w:r>
      <w:r w:rsidRPr="00780F68">
        <w:rPr>
          <w:rStyle w:val="normaltextrun"/>
          <w:color w:val="000000"/>
          <w:shd w:val="clear" w:color="auto" w:fill="FFFFFF"/>
          <w:lang w:val="en-GB"/>
        </w:rPr>
        <w:t>all psychology students at UCPH. Age differences were not considered.</w:t>
      </w:r>
    </w:p>
    <w:p w14:paraId="73799937" w14:textId="7C76551A" w:rsidR="00594936" w:rsidRDefault="00594936" w:rsidP="00594936">
      <w:pPr>
        <w:pStyle w:val="Overskrift2"/>
        <w:rPr>
          <w:shd w:val="clear" w:color="auto" w:fill="FFFFFF"/>
          <w:lang w:val="en-GB"/>
        </w:rPr>
      </w:pPr>
      <w:bookmarkStart w:id="3" w:name="_Toc25244894"/>
      <w:r>
        <w:rPr>
          <w:shd w:val="clear" w:color="auto" w:fill="FFFFFF"/>
          <w:lang w:val="en-GB"/>
        </w:rPr>
        <w:t>Materials</w:t>
      </w:r>
      <w:bookmarkEnd w:id="3"/>
    </w:p>
    <w:p w14:paraId="62ABB4BD" w14:textId="49C7FE1A" w:rsidR="00594936" w:rsidRDefault="00C27767" w:rsidP="00594936">
      <w:pPr>
        <w:pStyle w:val="Listeafsnit"/>
        <w:numPr>
          <w:ilvl w:val="0"/>
          <w:numId w:val="1"/>
        </w:numPr>
        <w:rPr>
          <w:lang w:val="en-GB"/>
        </w:rPr>
      </w:pPr>
      <w:r>
        <w:rPr>
          <w:lang w:val="en-GB"/>
        </w:rPr>
        <w:t xml:space="preserve">Computer </w:t>
      </w:r>
      <w:r w:rsidR="004C7278">
        <w:rPr>
          <w:lang w:val="en-GB"/>
        </w:rPr>
        <w:t>with CombiTVA programme</w:t>
      </w:r>
    </w:p>
    <w:p w14:paraId="25FCFDD8" w14:textId="61A642B1" w:rsidR="00594936" w:rsidRDefault="00594936" w:rsidP="00594936">
      <w:pPr>
        <w:pStyle w:val="Overskrift2"/>
        <w:rPr>
          <w:lang w:val="en-GB"/>
        </w:rPr>
      </w:pPr>
      <w:bookmarkStart w:id="4" w:name="_Toc25244895"/>
      <w:r>
        <w:rPr>
          <w:lang w:val="en-GB"/>
        </w:rPr>
        <w:t>Procedure</w:t>
      </w:r>
      <w:bookmarkEnd w:id="4"/>
    </w:p>
    <w:p w14:paraId="42595C9D" w14:textId="2CB84A7A" w:rsidR="00594936" w:rsidRPr="00A2158F" w:rsidRDefault="00FD0D37" w:rsidP="00C27767">
      <w:pPr>
        <w:jc w:val="both"/>
        <w:rPr>
          <w:lang w:val="en-GB"/>
        </w:rPr>
      </w:pPr>
      <w:r>
        <w:rPr>
          <w:lang w:val="en-GB"/>
        </w:rPr>
        <w:t xml:space="preserve">This computer-based experiment combines </w:t>
      </w:r>
      <w:r w:rsidR="00C32411">
        <w:rPr>
          <w:lang w:val="en-GB"/>
        </w:rPr>
        <w:t xml:space="preserve">two classical </w:t>
      </w:r>
      <w:r w:rsidR="00E32F37">
        <w:rPr>
          <w:lang w:val="en-GB"/>
        </w:rPr>
        <w:t xml:space="preserve">paradigms for </w:t>
      </w:r>
      <w:r w:rsidR="004C156C">
        <w:rPr>
          <w:lang w:val="en-GB"/>
        </w:rPr>
        <w:t xml:space="preserve">studying attention, </w:t>
      </w:r>
      <w:r w:rsidR="00F36FBD" w:rsidRPr="00F36FBD">
        <w:rPr>
          <w:i/>
          <w:iCs/>
          <w:lang w:val="en-GB"/>
        </w:rPr>
        <w:t>whole report</w:t>
      </w:r>
      <w:r w:rsidR="00F36FBD">
        <w:rPr>
          <w:lang w:val="en-GB"/>
        </w:rPr>
        <w:t xml:space="preserve"> and </w:t>
      </w:r>
      <w:r w:rsidR="00F36FBD">
        <w:rPr>
          <w:i/>
          <w:iCs/>
          <w:lang w:val="en-GB"/>
        </w:rPr>
        <w:t>partial report</w:t>
      </w:r>
      <w:r w:rsidR="00F36FBD">
        <w:rPr>
          <w:lang w:val="en-GB"/>
        </w:rPr>
        <w:t xml:space="preserve">. </w:t>
      </w:r>
      <w:r w:rsidR="004C3F7A">
        <w:rPr>
          <w:lang w:val="en-GB"/>
        </w:rPr>
        <w:t xml:space="preserve">Participants, </w:t>
      </w:r>
      <w:r w:rsidR="009825EF">
        <w:rPr>
          <w:lang w:val="en-GB"/>
        </w:rPr>
        <w:t xml:space="preserve">are instructed to report either red or blue </w:t>
      </w:r>
      <w:r w:rsidR="00F85AC2">
        <w:rPr>
          <w:lang w:val="en-GB"/>
        </w:rPr>
        <w:t>letters, ignoring the opposite. They are then presented with a fixation cross</w:t>
      </w:r>
      <w:r w:rsidR="00EF6D9B">
        <w:rPr>
          <w:lang w:val="en-GB"/>
        </w:rPr>
        <w:t xml:space="preserve"> for 1000ms</w:t>
      </w:r>
      <w:r w:rsidR="00BF32AB">
        <w:rPr>
          <w:lang w:val="en-GB"/>
        </w:rPr>
        <w:t xml:space="preserve">, before </w:t>
      </w:r>
      <w:r w:rsidR="009F2474">
        <w:rPr>
          <w:lang w:val="en-GB"/>
        </w:rPr>
        <w:t>a display of six letters appear</w:t>
      </w:r>
      <w:r w:rsidR="0002132D">
        <w:rPr>
          <w:lang w:val="en-GB"/>
        </w:rPr>
        <w:t xml:space="preserve">. This display is exposed for </w:t>
      </w:r>
      <w:r w:rsidR="002F1607">
        <w:rPr>
          <w:lang w:val="en-GB"/>
        </w:rPr>
        <w:t>10-200ms depending on test condition</w:t>
      </w:r>
      <w:r w:rsidR="009542E0">
        <w:rPr>
          <w:lang w:val="en-GB"/>
        </w:rPr>
        <w:t>. All letters are then masked for 500ms, before participants are asked to report as many letters in the target colour as possible.</w:t>
      </w:r>
      <w:r w:rsidR="00A2158F">
        <w:rPr>
          <w:lang w:val="en-GB"/>
        </w:rPr>
        <w:t xml:space="preserve"> For </w:t>
      </w:r>
      <w:r w:rsidR="00A2158F">
        <w:rPr>
          <w:i/>
          <w:iCs/>
          <w:lang w:val="en-GB"/>
        </w:rPr>
        <w:lastRenderedPageBreak/>
        <w:t>whole report</w:t>
      </w:r>
      <w:r w:rsidR="00A2158F">
        <w:rPr>
          <w:lang w:val="en-GB"/>
        </w:rPr>
        <w:t xml:space="preserve"> conditions, all letters are the target colour, while </w:t>
      </w:r>
      <w:r w:rsidR="00A2158F">
        <w:rPr>
          <w:i/>
          <w:iCs/>
          <w:lang w:val="en-GB"/>
        </w:rPr>
        <w:t>partial report</w:t>
      </w:r>
      <w:r w:rsidR="00A2158F">
        <w:rPr>
          <w:lang w:val="en-GB"/>
        </w:rPr>
        <w:t xml:space="preserve"> conditions include distractors of the other colour.</w:t>
      </w:r>
      <w:r w:rsidR="006C00AA">
        <w:rPr>
          <w:lang w:val="en-GB"/>
        </w:rPr>
        <w:t xml:space="preserve"> The experiment is conducted in nine blocks of 27 trials.</w:t>
      </w:r>
    </w:p>
    <w:p w14:paraId="4D0C6EEB" w14:textId="266EE80D" w:rsidR="001078C3" w:rsidRPr="00780F68" w:rsidRDefault="00734925" w:rsidP="00CD0078">
      <w:pPr>
        <w:pStyle w:val="Overskrift1"/>
        <w:jc w:val="both"/>
        <w:rPr>
          <w:lang w:val="en-GB"/>
        </w:rPr>
      </w:pPr>
      <w:bookmarkStart w:id="5" w:name="_Toc25244896"/>
      <w:r w:rsidRPr="00780F68">
        <w:rPr>
          <w:lang w:val="en-GB"/>
        </w:rPr>
        <w:t>Results</w:t>
      </w:r>
      <w:bookmarkEnd w:id="5"/>
    </w:p>
    <w:p w14:paraId="64C54522" w14:textId="77777777" w:rsidR="001824A3" w:rsidRDefault="001824A3" w:rsidP="001824A3">
      <w:pPr>
        <w:jc w:val="both"/>
        <w:rPr>
          <w:lang w:val="en-GB"/>
        </w:rPr>
      </w:pPr>
      <w:r w:rsidRPr="00780F68">
        <w:rPr>
          <w:lang w:val="en-GB"/>
        </w:rPr>
        <w:t>Figure 1 displays the number of correctly reported letters for various display conditions. There is a clear trend towards more letters reported as display time increases. Further, participants, on average, report more than half of the two possible letters correctly in the two-targets-four-distractors displays, implying that their attentional selectivity (</w:t>
      </w:r>
      <m:oMath>
        <m:r>
          <w:rPr>
            <w:rFonts w:ascii="Cambria Math" w:hAnsi="Cambria Math"/>
            <w:lang w:val="en-GB"/>
          </w:rPr>
          <m:t>α</m:t>
        </m:r>
      </m:oMath>
      <w:r w:rsidRPr="00780F68">
        <w:rPr>
          <w:lang w:val="en-GB"/>
        </w:rPr>
        <w:t>) is</w:t>
      </w:r>
      <w:r>
        <w:rPr>
          <w:lang w:val="en-GB"/>
        </w:rPr>
        <w:t xml:space="preserve"> good yet imperfect</w:t>
      </w:r>
      <w:r w:rsidRPr="00780F68">
        <w:rPr>
          <w:lang w:val="en-GB"/>
        </w:rPr>
        <w:t>.</w:t>
      </w:r>
      <w:r>
        <w:rPr>
          <w:lang w:val="en-GB"/>
        </w:rPr>
        <w:t xml:space="preserve"> This display type, which has an exposure time of 150ms, shows a markedly lower number of correctly reported letters than for the same exposure time without distractors, suggesting that distractors influence perception.</w:t>
      </w:r>
    </w:p>
    <w:p w14:paraId="184091A5" w14:textId="77777777" w:rsidR="00355645" w:rsidRDefault="0054735C" w:rsidP="00355645">
      <w:pPr>
        <w:keepNext/>
        <w:jc w:val="both"/>
      </w:pPr>
      <w:r w:rsidRPr="00780F68">
        <w:rPr>
          <w:noProof/>
          <w:lang w:val="en-GB"/>
        </w:rPr>
        <w:drawing>
          <wp:inline distT="0" distB="0" distL="0" distR="0" wp14:anchorId="06420266" wp14:editId="12FB8DC6">
            <wp:extent cx="6120130" cy="375666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56660"/>
                    </a:xfrm>
                    <a:prstGeom prst="rect">
                      <a:avLst/>
                    </a:prstGeom>
                  </pic:spPr>
                </pic:pic>
              </a:graphicData>
            </a:graphic>
          </wp:inline>
        </w:drawing>
      </w:r>
    </w:p>
    <w:p w14:paraId="2C144465" w14:textId="1F598ED5" w:rsidR="00AF5B21" w:rsidRPr="001824A3" w:rsidRDefault="00355645" w:rsidP="001824A3">
      <w:pPr>
        <w:pStyle w:val="Billedtekst"/>
        <w:jc w:val="both"/>
        <w:rPr>
          <w:b/>
          <w:bCs/>
          <w:lang w:val="en-GB"/>
        </w:rPr>
      </w:pPr>
      <w:r w:rsidRPr="00017EF9">
        <w:rPr>
          <w:lang w:val="en-US"/>
        </w:rPr>
        <w:t xml:space="preserve">Figure </w:t>
      </w:r>
      <w:r w:rsidR="00D36E37">
        <w:fldChar w:fldCharType="begin"/>
      </w:r>
      <w:r w:rsidR="00D36E37" w:rsidRPr="00017EF9">
        <w:rPr>
          <w:lang w:val="en-US"/>
        </w:rPr>
        <w:instrText xml:space="preserve"> SEQ Figure \* ARABIC </w:instrText>
      </w:r>
      <w:r w:rsidR="00D36E37">
        <w:fldChar w:fldCharType="separate"/>
      </w:r>
      <w:r w:rsidR="009765EB" w:rsidRPr="00017EF9">
        <w:rPr>
          <w:noProof/>
          <w:lang w:val="en-US"/>
        </w:rPr>
        <w:t>1</w:t>
      </w:r>
      <w:r w:rsidR="00D36E37">
        <w:rPr>
          <w:noProof/>
        </w:rPr>
        <w:fldChar w:fldCharType="end"/>
      </w:r>
      <w:r w:rsidRPr="00017EF9">
        <w:rPr>
          <w:lang w:val="en-US"/>
        </w:rPr>
        <w:t>: Letters correctly reported</w:t>
      </w:r>
    </w:p>
    <w:p w14:paraId="77B3BDEF" w14:textId="77D7AA6D" w:rsidR="009F3765" w:rsidRPr="00780F68" w:rsidRDefault="009F3765" w:rsidP="00CD0078">
      <w:pPr>
        <w:jc w:val="both"/>
        <w:rPr>
          <w:lang w:val="en-GB"/>
        </w:rPr>
      </w:pPr>
      <w:r w:rsidRPr="00780F68">
        <w:rPr>
          <w:lang w:val="en-GB"/>
        </w:rPr>
        <w:t>To further investigate these observations, a repeated measures ANOVA of effect of display time on number of correctly reported letters was conducted.</w:t>
      </w:r>
    </w:p>
    <w:p w14:paraId="334058CE" w14:textId="0BB75358" w:rsidR="006D0E02" w:rsidRDefault="009F3765" w:rsidP="00C4438E">
      <w:pPr>
        <w:ind w:firstLine="567"/>
        <w:jc w:val="both"/>
        <w:rPr>
          <w:rFonts w:eastAsiaTheme="minorEastAsia"/>
          <w:lang w:val="en-GB"/>
        </w:rPr>
      </w:pPr>
      <w:r w:rsidRPr="00780F68">
        <w:rPr>
          <w:lang w:val="en-GB"/>
        </w:rPr>
        <w:t xml:space="preserve">The test </w:t>
      </w:r>
      <w:r w:rsidR="00920AC2" w:rsidRPr="00780F68">
        <w:rPr>
          <w:lang w:val="en-GB"/>
        </w:rPr>
        <w:t xml:space="preserve">showed a significant main effect of display time on number of correctly identified letters, </w:t>
      </w:r>
      <w:r w:rsidR="00920AC2" w:rsidRPr="00780F68">
        <w:rPr>
          <w:i/>
          <w:iCs/>
          <w:lang w:val="en-GB"/>
        </w:rPr>
        <w:t>F</w:t>
      </w:r>
      <w:r w:rsidR="00920AC2" w:rsidRPr="00780F68">
        <w:rPr>
          <w:lang w:val="en-GB"/>
        </w:rPr>
        <w:t xml:space="preserve">(2.00, 411.36) = 3018.09, </w:t>
      </w:r>
      <w:r w:rsidR="00920AC2" w:rsidRPr="00780F68">
        <w:rPr>
          <w:i/>
          <w:iCs/>
          <w:lang w:val="en-GB"/>
        </w:rPr>
        <w:t>p</w:t>
      </w:r>
      <w:r w:rsidR="00920AC2" w:rsidRPr="00780F68">
        <w:rPr>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920AC2" w:rsidRPr="00780F68">
        <w:rPr>
          <w:rFonts w:eastAsiaTheme="minorEastAsia"/>
          <w:lang w:val="en-GB"/>
        </w:rPr>
        <w:t xml:space="preserve"> = .94 (Huyhn-Feldt corrected)</w:t>
      </w:r>
      <w:r w:rsidR="0069465A" w:rsidRPr="00780F68">
        <w:rPr>
          <w:rFonts w:eastAsiaTheme="minorEastAsia"/>
          <w:lang w:val="en-GB"/>
        </w:rPr>
        <w:t xml:space="preserve">, confirming the </w:t>
      </w:r>
      <w:r w:rsidR="00024083" w:rsidRPr="00780F68">
        <w:rPr>
          <w:rFonts w:eastAsiaTheme="minorEastAsia"/>
          <w:lang w:val="en-GB"/>
        </w:rPr>
        <w:t>observ</w:t>
      </w:r>
      <w:r w:rsidR="00CC68B1">
        <w:rPr>
          <w:rFonts w:eastAsiaTheme="minorEastAsia"/>
          <w:lang w:val="en-GB"/>
        </w:rPr>
        <w:t>ed effect of display time</w:t>
      </w:r>
      <w:r w:rsidR="00024083" w:rsidRPr="00780F68">
        <w:rPr>
          <w:rFonts w:eastAsiaTheme="minorEastAsia"/>
          <w:lang w:val="en-GB"/>
        </w:rPr>
        <w:t xml:space="preserve"> from Figure 1.</w:t>
      </w:r>
    </w:p>
    <w:p w14:paraId="31517DD5" w14:textId="6EC0AA3D" w:rsidR="003F05AA" w:rsidRDefault="003F05AA" w:rsidP="003F05AA">
      <w:pPr>
        <w:jc w:val="both"/>
        <w:rPr>
          <w:rFonts w:eastAsiaTheme="minorEastAsia"/>
          <w:lang w:val="en-GB"/>
        </w:rPr>
      </w:pPr>
    </w:p>
    <w:p w14:paraId="4203899A" w14:textId="77777777" w:rsidR="003F05AA" w:rsidRDefault="003F05AA" w:rsidP="003F05AA">
      <w:pPr>
        <w:keepNext/>
        <w:jc w:val="both"/>
      </w:pPr>
      <w:r w:rsidRPr="00780F68">
        <w:rPr>
          <w:noProof/>
          <w:lang w:val="en-GB"/>
        </w:rPr>
        <w:lastRenderedPageBreak/>
        <w:drawing>
          <wp:inline distT="0" distB="0" distL="0" distR="0" wp14:anchorId="69F4BCC0" wp14:editId="6CF9FBEC">
            <wp:extent cx="6120130" cy="3643630"/>
            <wp:effectExtent l="0" t="0" r="13970" b="13970"/>
            <wp:docPr id="3" name="Diagram 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C2B0B0" w14:textId="4BFE3340" w:rsidR="003F05AA" w:rsidRPr="00780F68" w:rsidRDefault="003F05AA" w:rsidP="003F05AA">
      <w:pPr>
        <w:pStyle w:val="Billedtekst"/>
        <w:jc w:val="both"/>
        <w:rPr>
          <w:lang w:val="en-GB"/>
        </w:rPr>
      </w:pPr>
      <w:r w:rsidRPr="00F2041E">
        <w:rPr>
          <w:lang w:val="en-US"/>
        </w:rPr>
        <w:t xml:space="preserve">Figure </w:t>
      </w:r>
      <w:r w:rsidRPr="00017EF9">
        <w:rPr>
          <w:lang w:val="en-US"/>
        </w:rPr>
        <w:t>2</w:t>
      </w:r>
      <w:r w:rsidRPr="00F2041E">
        <w:rPr>
          <w:lang w:val="en-US"/>
        </w:rPr>
        <w:t>: TVA plot for FP19201</w:t>
      </w:r>
    </w:p>
    <w:p w14:paraId="704FD74D" w14:textId="1F19EB6F" w:rsidR="003F05AA" w:rsidRPr="003F05AA" w:rsidRDefault="003F05AA" w:rsidP="003F05AA">
      <w:pPr>
        <w:jc w:val="both"/>
        <w:rPr>
          <w:vertAlign w:val="subscript"/>
          <w:lang w:val="en-GB"/>
        </w:rPr>
      </w:pPr>
      <w:r>
        <w:rPr>
          <w:lang w:val="en-GB"/>
        </w:rPr>
        <w:t xml:space="preserve">Figure 2 is an example of a TVA plot, from which one can estimate </w:t>
      </w:r>
      <w:r>
        <w:rPr>
          <w:i/>
          <w:iCs/>
          <w:lang w:val="en-GB"/>
        </w:rPr>
        <w:t>K, C,</w:t>
      </w:r>
      <w:r>
        <w:rPr>
          <w:lang w:val="en-GB"/>
        </w:rPr>
        <w:t xml:space="preserve"> and </w:t>
      </w:r>
      <w:r>
        <w:rPr>
          <w:i/>
          <w:iCs/>
          <w:lang w:val="en-GB"/>
        </w:rPr>
        <w:t>t</w:t>
      </w:r>
      <w:r>
        <w:rPr>
          <w:i/>
          <w:iCs/>
          <w:vertAlign w:val="subscript"/>
          <w:lang w:val="en-GB"/>
        </w:rPr>
        <w:t>0</w:t>
      </w:r>
      <w:r>
        <w:rPr>
          <w:i/>
          <w:iCs/>
          <w:lang w:val="en-GB"/>
        </w:rPr>
        <w:t>.</w:t>
      </w:r>
      <w:r>
        <w:rPr>
          <w:lang w:val="en-GB"/>
        </w:rPr>
        <w:t xml:space="preserve"> FP19201 also reports more letters as exposure time increases.</w:t>
      </w:r>
      <w:r>
        <w:rPr>
          <w:vertAlign w:val="subscript"/>
          <w:lang w:val="en-GB"/>
        </w:rPr>
        <w:t xml:space="preserve"> </w:t>
      </w:r>
    </w:p>
    <w:p w14:paraId="22B6F061" w14:textId="78569433" w:rsidR="00AB6802" w:rsidRPr="00A96B83" w:rsidRDefault="00D116D0" w:rsidP="00A96B83">
      <w:pPr>
        <w:pStyle w:val="Overskrift2"/>
        <w:rPr>
          <w:lang w:val="en-US"/>
        </w:rPr>
      </w:pPr>
      <w:r w:rsidRPr="00A96B83">
        <w:rPr>
          <w:rFonts w:eastAsiaTheme="minorEastAsia"/>
          <w:lang w:val="en-US"/>
        </w:rPr>
        <w:t>Capacity and processing speed correlate</w:t>
      </w:r>
    </w:p>
    <w:p w14:paraId="69D9EACD" w14:textId="711CE2EE" w:rsidR="00290525" w:rsidRPr="00780F68" w:rsidRDefault="000358A1" w:rsidP="00CD0078">
      <w:pPr>
        <w:autoSpaceDE w:val="0"/>
        <w:autoSpaceDN w:val="0"/>
        <w:adjustRightInd w:val="0"/>
        <w:spacing w:line="400" w:lineRule="atLeast"/>
        <w:jc w:val="both"/>
        <w:rPr>
          <w:lang w:val="en-GB"/>
        </w:rPr>
      </w:pPr>
      <w:r w:rsidRPr="00780F68">
        <w:rPr>
          <w:lang w:val="en-GB"/>
        </w:rPr>
        <w:t xml:space="preserve">Habekost </w:t>
      </w:r>
      <w:r w:rsidRPr="00780F68">
        <w:rPr>
          <w:lang w:val="en-GB"/>
        </w:rPr>
        <w:fldChar w:fldCharType="begin" w:fldLock="1"/>
      </w:r>
      <w:r w:rsidR="00364D85">
        <w:rPr>
          <w:lang w:val="en-GB"/>
        </w:rPr>
        <w:instrText>ADDIN CSL_CITATION {"citationItems":[{"id":"ITEM-1","itemData":{"ISSN":"1664-1078","abstract":"In combination with whole report and partial report tasks, the Theory of Visual Attention (TVA) can be used to estimate individual differences in five basic attentional parameters: The visual processing speed, the storage capacity of visual short-term memory, the perceptual threshold, the efficiency of top-down selectivity, and the spatial bias of attentional weighting. TVA-based assessment has been used in about 30 studies to investigate attentional deficits in a range of neurological and psychiatric conditions: (a) neglect and simultanagnosia, (b) reading disturbances, (c) aging and neurodegenerative diseases, and most recently (d) neurodevelopmental disorders. The article introduces TVA based assessment, discusses its methodology and psychometric properties, and reviews the progress made in each of the four research fields. The empirical results demonstrate the general usefulness of TVA-based assessment for many types of clinical neuropsychological research. The method’s most important qualities are cognitive specificity and theoretical grounding, but it is also characterized by good reliability and sensitivity to minor deficits. The review concludes by pointing to promising new areas for clinical TVA-based research.","author":[{"dropping-particle":"","family":"Habekost","given":"Thomas","non-dropping-particle":"","parse-names":false,"suffix":""}],"container-title":"Frontiers in Psychology","id":"ITEM-1","issued":{"date-parts":[["2015"]]},"page":"1-18","title":"Clinical TVA-based studies: a general review","type":"article-journal","volume":"6:290"},"suppress-author":1,"uris":["http://www.mendeley.com/documents/?uuid=e8dd6b85-15ac-4a8c-908f-841d151568dd"]}],"mendeley":{"formattedCitation":"(2015)","plainTextFormattedCitation":"(2015)","previouslyFormattedCitation":"(2015)"},"properties":{"noteIndex":0},"schema":"https://github.com/citation-style-language/schema/raw/master/csl-citation.json"}</w:instrText>
      </w:r>
      <w:r w:rsidRPr="00780F68">
        <w:rPr>
          <w:lang w:val="en-GB"/>
        </w:rPr>
        <w:fldChar w:fldCharType="separate"/>
      </w:r>
      <w:r w:rsidRPr="00780F68">
        <w:rPr>
          <w:noProof/>
          <w:lang w:val="en-GB"/>
        </w:rPr>
        <w:t>(2015)</w:t>
      </w:r>
      <w:r w:rsidRPr="00780F68">
        <w:rPr>
          <w:lang w:val="en-GB"/>
        </w:rPr>
        <w:fldChar w:fldCharType="end"/>
      </w:r>
      <w:r w:rsidR="00304E09" w:rsidRPr="00780F68">
        <w:rPr>
          <w:lang w:val="en-GB"/>
        </w:rPr>
        <w:t xml:space="preserve"> </w:t>
      </w:r>
      <w:r w:rsidR="00213944" w:rsidRPr="00780F68">
        <w:rPr>
          <w:lang w:val="en-GB"/>
        </w:rPr>
        <w:t>argues</w:t>
      </w:r>
      <w:r w:rsidR="00304E09" w:rsidRPr="00780F68">
        <w:rPr>
          <w:lang w:val="en-GB"/>
        </w:rPr>
        <w:t xml:space="preserve"> that </w:t>
      </w:r>
      <w:r w:rsidR="00304E09" w:rsidRPr="00780F68">
        <w:rPr>
          <w:i/>
          <w:iCs/>
          <w:lang w:val="en-GB"/>
        </w:rPr>
        <w:t>C</w:t>
      </w:r>
      <w:r w:rsidR="00304E09" w:rsidRPr="00780F68">
        <w:rPr>
          <w:lang w:val="en-GB"/>
        </w:rPr>
        <w:t xml:space="preserve"> and </w:t>
      </w:r>
      <w:r w:rsidR="00304E09" w:rsidRPr="00780F68">
        <w:rPr>
          <w:i/>
          <w:iCs/>
          <w:lang w:val="en-GB"/>
        </w:rPr>
        <w:t>K</w:t>
      </w:r>
      <w:r w:rsidR="00304E09" w:rsidRPr="00780F68">
        <w:rPr>
          <w:lang w:val="en-GB"/>
        </w:rPr>
        <w:t xml:space="preserve"> are often </w:t>
      </w:r>
      <w:r w:rsidR="00D51DBA" w:rsidRPr="00780F68">
        <w:rPr>
          <w:lang w:val="en-GB"/>
        </w:rPr>
        <w:t>positively correlated.</w:t>
      </w:r>
      <w:r w:rsidR="0011630B" w:rsidRPr="00780F68">
        <w:rPr>
          <w:lang w:val="en-GB"/>
        </w:rPr>
        <w:t xml:space="preserve"> To test whether this was </w:t>
      </w:r>
      <w:r w:rsidR="006E4305" w:rsidRPr="00780F68">
        <w:rPr>
          <w:lang w:val="en-GB"/>
        </w:rPr>
        <w:t>replicated in these findings</w:t>
      </w:r>
      <w:r w:rsidR="00081B3C" w:rsidRPr="00780F68">
        <w:rPr>
          <w:lang w:val="en-GB"/>
        </w:rPr>
        <w:t>, a t</w:t>
      </w:r>
      <w:r w:rsidR="00290525" w:rsidRPr="00780F68">
        <w:rPr>
          <w:lang w:val="en-GB"/>
        </w:rPr>
        <w:t>wo-tailed Pearson’s correlations</w:t>
      </w:r>
      <w:r w:rsidR="00081B3C" w:rsidRPr="00780F68">
        <w:rPr>
          <w:lang w:val="en-GB"/>
        </w:rPr>
        <w:t xml:space="preserve"> test was run</w:t>
      </w:r>
      <w:r w:rsidR="00290525" w:rsidRPr="00780F68">
        <w:rPr>
          <w:lang w:val="en-GB"/>
        </w:rPr>
        <w:t xml:space="preserve"> show</w:t>
      </w:r>
      <w:r w:rsidR="002632C2" w:rsidRPr="00780F68">
        <w:rPr>
          <w:lang w:val="en-GB"/>
        </w:rPr>
        <w:t>ing</w:t>
      </w:r>
      <w:r w:rsidR="00290525" w:rsidRPr="00780F68">
        <w:rPr>
          <w:lang w:val="en-GB"/>
        </w:rPr>
        <w:t xml:space="preserve"> a significant positive correlation between </w:t>
      </w:r>
      <w:r w:rsidR="00290525" w:rsidRPr="00780F68">
        <w:rPr>
          <w:i/>
          <w:iCs/>
          <w:lang w:val="en-GB"/>
        </w:rPr>
        <w:t>C</w:t>
      </w:r>
      <w:r w:rsidR="008C60A5" w:rsidRPr="00780F68">
        <w:rPr>
          <w:i/>
          <w:iCs/>
          <w:lang w:val="en-GB"/>
        </w:rPr>
        <w:t xml:space="preserve"> </w:t>
      </w:r>
      <w:r w:rsidR="00826C66" w:rsidRPr="00780F68">
        <w:rPr>
          <w:lang w:val="en-GB"/>
        </w:rPr>
        <w:t xml:space="preserve">and </w:t>
      </w:r>
      <w:r w:rsidR="00826C66" w:rsidRPr="00780F68">
        <w:rPr>
          <w:i/>
          <w:iCs/>
          <w:lang w:val="en-GB"/>
        </w:rPr>
        <w:t>K</w:t>
      </w:r>
      <w:r w:rsidR="00290525" w:rsidRPr="00780F68">
        <w:rPr>
          <w:lang w:val="en-GB"/>
        </w:rPr>
        <w:t xml:space="preserve">, </w:t>
      </w:r>
      <w:r w:rsidR="00290525" w:rsidRPr="00780F68">
        <w:rPr>
          <w:i/>
          <w:iCs/>
          <w:lang w:val="en-GB"/>
        </w:rPr>
        <w:t>r</w:t>
      </w:r>
      <w:r w:rsidR="00290525" w:rsidRPr="00780F68">
        <w:rPr>
          <w:lang w:val="en-GB"/>
        </w:rPr>
        <w:t xml:space="preserve">(205) = .47, </w:t>
      </w:r>
      <w:r w:rsidR="00290525" w:rsidRPr="00780F68">
        <w:rPr>
          <w:i/>
          <w:iCs/>
          <w:lang w:val="en-GB"/>
        </w:rPr>
        <w:t>p</w:t>
      </w:r>
      <w:r w:rsidR="00290525" w:rsidRPr="00780F68">
        <w:rPr>
          <w:lang w:val="en-GB"/>
        </w:rPr>
        <w:t xml:space="preserve"> &lt; .001. Age was positively correlated with </w:t>
      </w:r>
      <m:oMath>
        <m:r>
          <w:rPr>
            <w:rFonts w:ascii="Cambria Math" w:hAnsi="Cambria Math"/>
            <w:lang w:val="en-GB"/>
          </w:rPr>
          <m:t>α</m:t>
        </m:r>
      </m:oMath>
      <w:r w:rsidR="00290525" w:rsidRPr="00780F68">
        <w:rPr>
          <w:lang w:val="en-GB"/>
        </w:rPr>
        <w:t xml:space="preserve">, </w:t>
      </w:r>
      <w:r w:rsidR="00290525" w:rsidRPr="00780F68">
        <w:rPr>
          <w:i/>
          <w:iCs/>
          <w:lang w:val="en-GB"/>
        </w:rPr>
        <w:t>r</w:t>
      </w:r>
      <w:r w:rsidR="00290525" w:rsidRPr="00780F68">
        <w:rPr>
          <w:lang w:val="en-GB"/>
        </w:rPr>
        <w:t xml:space="preserve">(205) = .18, </w:t>
      </w:r>
      <w:r w:rsidR="00290525" w:rsidRPr="00780F68">
        <w:rPr>
          <w:i/>
          <w:iCs/>
          <w:lang w:val="en-GB"/>
        </w:rPr>
        <w:t>p</w:t>
      </w:r>
      <w:r w:rsidR="00290525" w:rsidRPr="00780F68">
        <w:rPr>
          <w:lang w:val="en-GB"/>
        </w:rPr>
        <w:t xml:space="preserve"> = .01. However, age did not correlate with any of the other TVA parameters </w:t>
      </w:r>
      <w:r w:rsidR="00290525" w:rsidRPr="00C1626F">
        <w:rPr>
          <w:lang w:val="en-GB"/>
        </w:rPr>
        <w:t>or with error-rate</w:t>
      </w:r>
      <w:r w:rsidR="00290525" w:rsidRPr="00780F68">
        <w:rPr>
          <w:lang w:val="en-GB"/>
        </w:rPr>
        <w:t xml:space="preserve">, </w:t>
      </w:r>
      <w:r w:rsidR="00290525" w:rsidRPr="00780F68">
        <w:rPr>
          <w:i/>
          <w:iCs/>
          <w:lang w:val="en-GB"/>
        </w:rPr>
        <w:t>r</w:t>
      </w:r>
      <w:r w:rsidR="00290525" w:rsidRPr="00780F68">
        <w:rPr>
          <w:lang w:val="en-GB"/>
        </w:rPr>
        <w:t xml:space="preserve">s ≤ .13, dfs = 205, </w:t>
      </w:r>
      <w:r w:rsidR="00290525" w:rsidRPr="00780F68">
        <w:rPr>
          <w:i/>
          <w:iCs/>
          <w:lang w:val="en-GB"/>
        </w:rPr>
        <w:t>p</w:t>
      </w:r>
      <w:r w:rsidR="00290525" w:rsidRPr="00780F68">
        <w:rPr>
          <w:lang w:val="en-GB"/>
        </w:rPr>
        <w:t>s ≥ .07.</w:t>
      </w:r>
    </w:p>
    <w:p w14:paraId="7E768BB9" w14:textId="655DE3C3" w:rsidR="002632C2" w:rsidRPr="001F636B" w:rsidRDefault="001F636B" w:rsidP="001F636B">
      <w:pPr>
        <w:pStyle w:val="Billedtekst"/>
        <w:jc w:val="both"/>
        <w:rPr>
          <w:i w:val="0"/>
          <w:iCs w:val="0"/>
          <w:lang w:val="en-GB"/>
        </w:rPr>
      </w:pPr>
      <w:r w:rsidRPr="00780F68">
        <w:rPr>
          <w:noProof/>
          <w:lang w:val="en-GB"/>
        </w:rPr>
        <w:lastRenderedPageBreak/>
        <w:drawing>
          <wp:inline distT="0" distB="0" distL="0" distR="0" wp14:anchorId="07A6E659" wp14:editId="5182A501">
            <wp:extent cx="6120130" cy="375475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54755"/>
                    </a:xfrm>
                    <a:prstGeom prst="rect">
                      <a:avLst/>
                    </a:prstGeom>
                  </pic:spPr>
                </pic:pic>
              </a:graphicData>
            </a:graphic>
          </wp:inline>
        </w:drawing>
      </w:r>
      <w:r w:rsidRPr="001F636B">
        <w:rPr>
          <w:lang w:val="en-US"/>
        </w:rPr>
        <w:t xml:space="preserve"> </w:t>
      </w:r>
      <w:r w:rsidRPr="00F2041E">
        <w:rPr>
          <w:lang w:val="en-US"/>
        </w:rPr>
        <w:t xml:space="preserve">Figure </w:t>
      </w:r>
      <w:r w:rsidRPr="003F05AA">
        <w:rPr>
          <w:lang w:val="en-US"/>
        </w:rPr>
        <w:t>3</w:t>
      </w:r>
      <w:r w:rsidRPr="00F2041E">
        <w:rPr>
          <w:lang w:val="en-US"/>
        </w:rPr>
        <w:t xml:space="preserve">: Correlations between </w:t>
      </w:r>
      <w:r w:rsidRPr="00F2041E">
        <w:rPr>
          <w:i w:val="0"/>
          <w:iCs w:val="0"/>
          <w:lang w:val="en-US"/>
        </w:rPr>
        <w:t>C</w:t>
      </w:r>
      <w:r w:rsidRPr="00F2041E">
        <w:rPr>
          <w:lang w:val="en-US"/>
        </w:rPr>
        <w:t xml:space="preserve"> and </w:t>
      </w:r>
      <w:r>
        <w:rPr>
          <w:lang w:val="en-US"/>
        </w:rPr>
        <w:t>K</w:t>
      </w:r>
    </w:p>
    <w:p w14:paraId="6CF3E110" w14:textId="6EE2CCC2" w:rsidR="0016516B" w:rsidRPr="00780F68" w:rsidRDefault="00C71732" w:rsidP="00CD0078">
      <w:pPr>
        <w:autoSpaceDE w:val="0"/>
        <w:autoSpaceDN w:val="0"/>
        <w:adjustRightInd w:val="0"/>
        <w:spacing w:line="400" w:lineRule="atLeast"/>
        <w:jc w:val="both"/>
        <w:rPr>
          <w:lang w:val="en-GB"/>
        </w:rPr>
      </w:pPr>
      <w:r w:rsidRPr="00780F68">
        <w:rPr>
          <w:lang w:val="en-GB"/>
        </w:rPr>
        <w:t>As parameters within the TVA model are independent, they ought not correlate. This correlation, however, may be explained by</w:t>
      </w:r>
      <w:r w:rsidR="00DC6914" w:rsidRPr="00780F68">
        <w:rPr>
          <w:lang w:val="en-GB"/>
        </w:rPr>
        <w:t xml:space="preserve"> alleging that </w:t>
      </w:r>
      <w:r w:rsidR="00624097" w:rsidRPr="00780F68">
        <w:rPr>
          <w:lang w:val="en-GB"/>
        </w:rPr>
        <w:t xml:space="preserve">there be </w:t>
      </w:r>
      <w:r w:rsidR="005C50AF" w:rsidRPr="00780F68">
        <w:rPr>
          <w:lang w:val="en-GB"/>
        </w:rPr>
        <w:t>overlapping neural bases for the two factors</w:t>
      </w:r>
      <w:r w:rsidR="00420E4C" w:rsidRPr="00780F68">
        <w:rPr>
          <w:lang w:val="en-GB"/>
        </w:rPr>
        <w:t xml:space="preserve"> </w:t>
      </w:r>
      <w:r w:rsidR="00420E4C" w:rsidRPr="00780F68">
        <w:rPr>
          <w:lang w:val="en-GB"/>
        </w:rPr>
        <w:fldChar w:fldCharType="begin" w:fldLock="1"/>
      </w:r>
      <w:r w:rsidR="00364D85">
        <w:rPr>
          <w:lang w:val="en-GB"/>
        </w:rPr>
        <w:instrText>ADDIN CSL_CITATION {"citationItems":[{"id":"ITEM-1","itemData":{"ISSN":"1664-1078","abstract":"In combination with whole report and partial report tasks, the Theory of Visual Attention (TVA) can be used to estimate individual differences in five basic attentional parameters: The visual processing speed, the storage capacity of visual short-term memory, the perceptual threshold, the efficiency of top-down selectivity, and the spatial bias of attentional weighting. TVA-based assessment has been used in about 30 studies to investigate attentional deficits in a range of neurological and psychiatric conditions: (a) neglect and simultanagnosia, (b) reading disturbances, (c) aging and neurodegenerative diseases, and most recently (d) neurodevelopmental disorders. The article introduces TVA based assessment, discusses its methodology and psychometric properties, and reviews the progress made in each of the four research fields. The empirical results demonstrate the general usefulness of TVA-based assessment for many types of clinical neuropsychological research. The method’s most important qualities are cognitive specificity and theoretical grounding, but it is also characterized by good reliability and sensitivity to minor deficits. The review concludes by pointing to promising new areas for clinical TVA-based research.","author":[{"dropping-particle":"","family":"Habekost","given":"Thomas","non-dropping-particle":"","parse-names":false,"suffix":""}],"container-title":"Frontiers in Psychology","id":"ITEM-1","issued":{"date-parts":[["2015"]]},"page":"1-18","title":"Clinical TVA-based studies: a general review","type":"article-journal","volume":"6:290"},"uris":["http://www.mendeley.com/documents/?uuid=e8dd6b85-15ac-4a8c-908f-841d151568dd"]}],"mendeley":{"formattedCitation":"(Habekost, 2015)","plainTextFormattedCitation":"(Habekost, 2015)","previouslyFormattedCitation":"(Habekost, 2015)"},"properties":{"noteIndex":0},"schema":"https://github.com/citation-style-language/schema/raw/master/csl-citation.json"}</w:instrText>
      </w:r>
      <w:r w:rsidR="00420E4C" w:rsidRPr="00780F68">
        <w:rPr>
          <w:lang w:val="en-GB"/>
        </w:rPr>
        <w:fldChar w:fldCharType="separate"/>
      </w:r>
      <w:r w:rsidR="00420E4C" w:rsidRPr="00780F68">
        <w:rPr>
          <w:noProof/>
          <w:lang w:val="en-GB"/>
        </w:rPr>
        <w:t>(Habekost, 2015)</w:t>
      </w:r>
      <w:r w:rsidR="00420E4C" w:rsidRPr="00780F68">
        <w:rPr>
          <w:lang w:val="en-GB"/>
        </w:rPr>
        <w:fldChar w:fldCharType="end"/>
      </w:r>
      <w:r w:rsidR="0026583D" w:rsidRPr="00780F68">
        <w:rPr>
          <w:lang w:val="en-GB"/>
        </w:rPr>
        <w:t>.</w:t>
      </w:r>
    </w:p>
    <w:p w14:paraId="704FF82E" w14:textId="47AF132B" w:rsidR="009765EB" w:rsidRPr="004056F2" w:rsidRDefault="00E85321" w:rsidP="004056F2">
      <w:pPr>
        <w:autoSpaceDE w:val="0"/>
        <w:autoSpaceDN w:val="0"/>
        <w:adjustRightInd w:val="0"/>
        <w:spacing w:line="400" w:lineRule="atLeast"/>
        <w:ind w:firstLine="567"/>
        <w:jc w:val="both"/>
        <w:rPr>
          <w:lang w:val="en-GB"/>
        </w:rPr>
      </w:pPr>
      <w:r w:rsidRPr="00780F68">
        <w:rPr>
          <w:lang w:val="en-GB"/>
        </w:rPr>
        <w:t>Also of interest is the effect of age</w:t>
      </w:r>
      <w:r w:rsidR="000B52F1" w:rsidRPr="00780F68">
        <w:rPr>
          <w:lang w:val="en-GB"/>
        </w:rPr>
        <w:t>. Its correlation with</w:t>
      </w:r>
      <w:r w:rsidRPr="00780F68">
        <w:rPr>
          <w:lang w:val="en-GB"/>
        </w:rPr>
        <w:t xml:space="preserve"> </w:t>
      </w:r>
      <m:oMath>
        <m:r>
          <w:rPr>
            <w:rFonts w:ascii="Cambria Math" w:hAnsi="Cambria Math"/>
            <w:lang w:val="en-GB"/>
          </w:rPr>
          <m:t>α</m:t>
        </m:r>
      </m:oMath>
      <w:r w:rsidR="002C20F2" w:rsidRPr="00780F68">
        <w:rPr>
          <w:lang w:val="en-GB"/>
        </w:rPr>
        <w:t xml:space="preserve"> </w:t>
      </w:r>
      <w:r w:rsidR="00540237" w:rsidRPr="00780F68">
        <w:rPr>
          <w:lang w:val="en-GB"/>
        </w:rPr>
        <w:t xml:space="preserve">is significant, </w:t>
      </w:r>
      <w:r w:rsidR="00DA68FE" w:rsidRPr="00780F68">
        <w:rPr>
          <w:lang w:val="en-GB"/>
        </w:rPr>
        <w:t>yet</w:t>
      </w:r>
      <w:r w:rsidR="002F4222" w:rsidRPr="00780F68">
        <w:rPr>
          <w:lang w:val="en-GB"/>
        </w:rPr>
        <w:t xml:space="preserve"> the typical </w:t>
      </w:r>
      <w:r w:rsidR="00937452" w:rsidRPr="00780F68">
        <w:rPr>
          <w:lang w:val="en-GB"/>
        </w:rPr>
        <w:t>correlations with other TVA factors were not found</w:t>
      </w:r>
      <w:r w:rsidR="007229BC" w:rsidRPr="00780F68">
        <w:rPr>
          <w:lang w:val="en-GB"/>
        </w:rPr>
        <w:t xml:space="preserve">, though this may be due to the </w:t>
      </w:r>
      <w:r w:rsidR="00295B32" w:rsidRPr="00780F68">
        <w:rPr>
          <w:lang w:val="en-GB"/>
        </w:rPr>
        <w:t>rather narrow age spread in the sample.</w:t>
      </w:r>
    </w:p>
    <w:p w14:paraId="7E6D9D8A" w14:textId="574233F9" w:rsidR="002A14F5" w:rsidRPr="00780F68" w:rsidRDefault="004542EE" w:rsidP="004056F2">
      <w:pPr>
        <w:ind w:firstLine="567"/>
        <w:jc w:val="both"/>
        <w:rPr>
          <w:lang w:val="en-GB"/>
        </w:rPr>
      </w:pPr>
      <w:r w:rsidRPr="00780F68">
        <w:rPr>
          <w:lang w:val="en-GB"/>
        </w:rPr>
        <w:t xml:space="preserve">Figure </w:t>
      </w:r>
      <w:r w:rsidR="003F05AA">
        <w:rPr>
          <w:lang w:val="en-GB"/>
        </w:rPr>
        <w:t>3</w:t>
      </w:r>
      <w:r w:rsidRPr="00780F68">
        <w:rPr>
          <w:lang w:val="en-GB"/>
        </w:rPr>
        <w:t xml:space="preserve"> graphically displays the correlation between </w:t>
      </w:r>
      <w:r w:rsidRPr="00780F68">
        <w:rPr>
          <w:i/>
          <w:iCs/>
          <w:lang w:val="en-GB"/>
        </w:rPr>
        <w:t>C</w:t>
      </w:r>
      <w:r w:rsidRPr="00780F68">
        <w:rPr>
          <w:lang w:val="en-GB"/>
        </w:rPr>
        <w:t xml:space="preserve"> and </w:t>
      </w:r>
      <w:r w:rsidRPr="00780F68">
        <w:rPr>
          <w:i/>
          <w:iCs/>
          <w:lang w:val="en-GB"/>
        </w:rPr>
        <w:t>K</w:t>
      </w:r>
      <w:r w:rsidR="00780F68" w:rsidRPr="00780F68">
        <w:rPr>
          <w:lang w:val="en-GB"/>
        </w:rPr>
        <w:t xml:space="preserve"> </w:t>
      </w:r>
      <w:r w:rsidR="00D15F15">
        <w:rPr>
          <w:lang w:val="en-GB"/>
        </w:rPr>
        <w:t xml:space="preserve">indicating that processing speed </w:t>
      </w:r>
      <w:r w:rsidR="00AF3EFE">
        <w:rPr>
          <w:lang w:val="en-GB"/>
        </w:rPr>
        <w:t xml:space="preserve">of </w:t>
      </w:r>
      <w:r w:rsidR="00D15F15">
        <w:rPr>
          <w:lang w:val="en-GB"/>
        </w:rPr>
        <w:t xml:space="preserve">and capacity for </w:t>
      </w:r>
      <w:r w:rsidR="00AF3EFE">
        <w:rPr>
          <w:lang w:val="en-GB"/>
        </w:rPr>
        <w:t>visual stimuli are</w:t>
      </w:r>
      <w:r w:rsidR="0036631C">
        <w:rPr>
          <w:lang w:val="en-GB"/>
        </w:rPr>
        <w:t xml:space="preserve"> related. </w:t>
      </w:r>
    </w:p>
    <w:p w14:paraId="5C7621F0" w14:textId="0B7C2418" w:rsidR="005F2F3D" w:rsidRDefault="008068F9" w:rsidP="008068F9">
      <w:pPr>
        <w:pStyle w:val="Overskrift2"/>
        <w:rPr>
          <w:lang w:val="en-GB"/>
        </w:rPr>
      </w:pPr>
      <w:r>
        <w:rPr>
          <w:lang w:val="en-GB"/>
        </w:rPr>
        <w:t>Attentional weight and</w:t>
      </w:r>
      <w:r w:rsidR="00DB3BC6">
        <w:rPr>
          <w:lang w:val="en-GB"/>
        </w:rPr>
        <w:t xml:space="preserve"> sex differences</w:t>
      </w:r>
    </w:p>
    <w:p w14:paraId="0D4D382F" w14:textId="6969B0A0" w:rsidR="0064120A" w:rsidRDefault="0064120A" w:rsidP="00CD0078">
      <w:pPr>
        <w:jc w:val="both"/>
        <w:rPr>
          <w:lang w:val="en-GB"/>
        </w:rPr>
      </w:pPr>
      <w:r>
        <w:rPr>
          <w:lang w:val="en-GB"/>
        </w:rPr>
        <w:t xml:space="preserve">To examine sex differences in </w:t>
      </w:r>
      <w:r w:rsidR="00704559">
        <w:rPr>
          <w:lang w:val="en-GB"/>
        </w:rPr>
        <w:t>visual attention</w:t>
      </w:r>
      <w:r w:rsidR="00D737BE">
        <w:rPr>
          <w:lang w:val="en-GB"/>
        </w:rPr>
        <w:t xml:space="preserve">, </w:t>
      </w:r>
      <w:r w:rsidR="00737154">
        <w:rPr>
          <w:lang w:val="en-GB"/>
        </w:rPr>
        <w:t>independent</w:t>
      </w:r>
      <w:r w:rsidR="00D737BE">
        <w:rPr>
          <w:lang w:val="en-GB"/>
        </w:rPr>
        <w:t xml:space="preserve"> samples </w:t>
      </w:r>
      <w:r w:rsidR="00D737BE">
        <w:rPr>
          <w:i/>
          <w:iCs/>
          <w:lang w:val="en-GB"/>
        </w:rPr>
        <w:t>t</w:t>
      </w:r>
      <w:r w:rsidR="00D737BE">
        <w:rPr>
          <w:lang w:val="en-GB"/>
        </w:rPr>
        <w:t>-tests were conducted for each test parameter</w:t>
      </w:r>
      <w:r w:rsidR="00236D25">
        <w:rPr>
          <w:lang w:val="en-GB"/>
        </w:rPr>
        <w:t>. Results are displayed in Table 1</w:t>
      </w:r>
      <w:r w:rsidR="00D16574">
        <w:rPr>
          <w:lang w:val="en-GB"/>
        </w:rPr>
        <w:t xml:space="preserve"> along with </w:t>
      </w:r>
      <w:r w:rsidR="00441BEF">
        <w:rPr>
          <w:lang w:val="en-GB"/>
        </w:rPr>
        <w:t>estimates for all TVA parameters</w:t>
      </w:r>
      <w:r w:rsidR="00236D25">
        <w:rPr>
          <w:lang w:val="en-GB"/>
        </w:rPr>
        <w:t>.</w:t>
      </w:r>
    </w:p>
    <w:p w14:paraId="43CBD1E7" w14:textId="7D405F0F" w:rsidR="00CC67EF" w:rsidRDefault="00CC67EF" w:rsidP="00CD0078">
      <w:pPr>
        <w:jc w:val="both"/>
        <w:rPr>
          <w:lang w:val="en-GB"/>
        </w:rPr>
      </w:pPr>
    </w:p>
    <w:p w14:paraId="298BC1FB" w14:textId="719D73A7" w:rsidR="00CC67EF" w:rsidRDefault="00CC67EF" w:rsidP="00CD0078">
      <w:pPr>
        <w:jc w:val="both"/>
        <w:rPr>
          <w:lang w:val="en-GB"/>
        </w:rPr>
      </w:pPr>
    </w:p>
    <w:p w14:paraId="406AB3B8" w14:textId="587D82F8" w:rsidR="00CC67EF" w:rsidRDefault="00CC67EF" w:rsidP="00CD0078">
      <w:pPr>
        <w:jc w:val="both"/>
        <w:rPr>
          <w:lang w:val="en-GB"/>
        </w:rPr>
      </w:pPr>
    </w:p>
    <w:p w14:paraId="621637DD" w14:textId="77777777" w:rsidR="00CC67EF" w:rsidRDefault="00CC67EF" w:rsidP="00CD0078">
      <w:pPr>
        <w:jc w:val="both"/>
        <w:rPr>
          <w:lang w:val="en-GB"/>
        </w:rPr>
      </w:pPr>
    </w:p>
    <w:p w14:paraId="5415AC86" w14:textId="3CBFB86C" w:rsidR="002C2A92" w:rsidRDefault="002C2A92" w:rsidP="00CD0078">
      <w:pPr>
        <w:jc w:val="both"/>
        <w:rPr>
          <w:lang w:val="en-GB"/>
        </w:rPr>
      </w:pPr>
    </w:p>
    <w:tbl>
      <w:tblPr>
        <w:tblW w:w="9060" w:type="dxa"/>
        <w:tblCellMar>
          <w:left w:w="70" w:type="dxa"/>
          <w:right w:w="70" w:type="dxa"/>
        </w:tblCellMar>
        <w:tblLook w:val="04A0" w:firstRow="1" w:lastRow="0" w:firstColumn="1" w:lastColumn="0" w:noHBand="0" w:noVBand="1"/>
      </w:tblPr>
      <w:tblGrid>
        <w:gridCol w:w="1410"/>
        <w:gridCol w:w="1058"/>
        <w:gridCol w:w="1327"/>
        <w:gridCol w:w="200"/>
        <w:gridCol w:w="1059"/>
        <w:gridCol w:w="1327"/>
        <w:gridCol w:w="200"/>
        <w:gridCol w:w="972"/>
        <w:gridCol w:w="615"/>
        <w:gridCol w:w="972"/>
      </w:tblGrid>
      <w:tr w:rsidR="00D41070" w:rsidRPr="000122EF" w14:paraId="62F11AF1" w14:textId="77777777" w:rsidTr="0082494C">
        <w:trPr>
          <w:trHeight w:val="645"/>
        </w:trPr>
        <w:tc>
          <w:tcPr>
            <w:tcW w:w="9060" w:type="dxa"/>
            <w:gridSpan w:val="10"/>
            <w:tcBorders>
              <w:top w:val="nil"/>
              <w:left w:val="nil"/>
              <w:bottom w:val="single" w:sz="4" w:space="0" w:color="auto"/>
              <w:right w:val="nil"/>
            </w:tcBorders>
            <w:shd w:val="clear" w:color="auto" w:fill="auto"/>
            <w:vAlign w:val="bottom"/>
            <w:hideMark/>
          </w:tcPr>
          <w:p w14:paraId="482C34C4" w14:textId="0791574B" w:rsidR="00D41070" w:rsidRPr="000457E4" w:rsidRDefault="00D41070" w:rsidP="0082494C">
            <w:pPr>
              <w:spacing w:line="240" w:lineRule="auto"/>
              <w:rPr>
                <w:color w:val="000000"/>
                <w:lang w:val="en-GB"/>
              </w:rPr>
            </w:pPr>
            <w:r w:rsidRPr="000457E4">
              <w:rPr>
                <w:color w:val="000000"/>
                <w:lang w:val="en-GB"/>
              </w:rPr>
              <w:lastRenderedPageBreak/>
              <w:t>Tabl</w:t>
            </w:r>
            <w:r w:rsidR="00A72BD2">
              <w:rPr>
                <w:color w:val="000000"/>
                <w:lang w:val="en-GB"/>
              </w:rPr>
              <w:t>e</w:t>
            </w:r>
            <w:r w:rsidRPr="000457E4">
              <w:rPr>
                <w:color w:val="000000"/>
                <w:lang w:val="en-GB"/>
              </w:rPr>
              <w:t xml:space="preserve"> 1</w:t>
            </w:r>
            <w:r w:rsidRPr="000457E4">
              <w:rPr>
                <w:color w:val="000000"/>
                <w:lang w:val="en-GB"/>
              </w:rPr>
              <w:br/>
            </w:r>
            <w:r w:rsidRPr="000457E4">
              <w:rPr>
                <w:i/>
                <w:color w:val="000000"/>
                <w:lang w:val="en-GB"/>
              </w:rPr>
              <w:t>Mean</w:t>
            </w:r>
            <w:r w:rsidRPr="000457E4">
              <w:rPr>
                <w:color w:val="000000"/>
                <w:lang w:val="en-GB"/>
              </w:rPr>
              <w:t xml:space="preserve"> </w:t>
            </w:r>
            <w:r w:rsidRPr="000457E4">
              <w:rPr>
                <w:i/>
                <w:color w:val="000000"/>
                <w:lang w:val="en-GB"/>
              </w:rPr>
              <w:t>TVA estimates and error rates distributed across sex with relevant t-tests</w:t>
            </w:r>
          </w:p>
        </w:tc>
      </w:tr>
      <w:tr w:rsidR="00D41070" w:rsidRPr="00773C98" w14:paraId="72770A75" w14:textId="77777777" w:rsidTr="0082494C">
        <w:trPr>
          <w:trHeight w:val="288"/>
        </w:trPr>
        <w:tc>
          <w:tcPr>
            <w:tcW w:w="1410" w:type="dxa"/>
            <w:tcBorders>
              <w:top w:val="nil"/>
              <w:left w:val="nil"/>
              <w:bottom w:val="nil"/>
              <w:right w:val="nil"/>
            </w:tcBorders>
            <w:shd w:val="clear" w:color="auto" w:fill="auto"/>
            <w:noWrap/>
            <w:vAlign w:val="bottom"/>
            <w:hideMark/>
          </w:tcPr>
          <w:p w14:paraId="56A3844A" w14:textId="77777777" w:rsidR="00D41070" w:rsidRPr="000457E4" w:rsidRDefault="00D41070" w:rsidP="0082494C">
            <w:pPr>
              <w:spacing w:line="240" w:lineRule="auto"/>
              <w:jc w:val="both"/>
              <w:rPr>
                <w:color w:val="000000"/>
                <w:lang w:val="en-GB"/>
              </w:rPr>
            </w:pPr>
          </w:p>
        </w:tc>
        <w:tc>
          <w:tcPr>
            <w:tcW w:w="2385" w:type="dxa"/>
            <w:gridSpan w:val="2"/>
            <w:tcBorders>
              <w:top w:val="nil"/>
              <w:left w:val="nil"/>
              <w:bottom w:val="single" w:sz="4" w:space="0" w:color="auto"/>
              <w:right w:val="nil"/>
            </w:tcBorders>
            <w:shd w:val="clear" w:color="auto" w:fill="auto"/>
            <w:noWrap/>
            <w:vAlign w:val="bottom"/>
            <w:hideMark/>
          </w:tcPr>
          <w:p w14:paraId="5A16E492" w14:textId="77777777" w:rsidR="00D41070" w:rsidRPr="000457E4" w:rsidRDefault="00D41070" w:rsidP="0082494C">
            <w:pPr>
              <w:spacing w:line="240" w:lineRule="auto"/>
              <w:jc w:val="both"/>
              <w:rPr>
                <w:color w:val="000000"/>
                <w:lang w:val="en-GB"/>
              </w:rPr>
            </w:pPr>
            <w:r w:rsidRPr="000457E4">
              <w:rPr>
                <w:color w:val="000000"/>
                <w:lang w:val="en-GB"/>
              </w:rPr>
              <w:t>Female (</w:t>
            </w:r>
            <w:r w:rsidRPr="000457E4">
              <w:rPr>
                <w:i/>
                <w:iCs/>
                <w:color w:val="000000"/>
                <w:lang w:val="en-GB"/>
              </w:rPr>
              <w:t>N</w:t>
            </w:r>
            <w:r w:rsidRPr="000457E4">
              <w:rPr>
                <w:color w:val="000000"/>
                <w:lang w:val="en-GB"/>
              </w:rPr>
              <w:t xml:space="preserve"> = </w:t>
            </w:r>
            <w:r>
              <w:rPr>
                <w:color w:val="000000"/>
                <w:lang w:val="en-GB"/>
              </w:rPr>
              <w:t>169</w:t>
            </w:r>
            <w:r w:rsidRPr="000457E4">
              <w:rPr>
                <w:color w:val="000000"/>
                <w:lang w:val="en-GB"/>
              </w:rPr>
              <w:t>)</w:t>
            </w:r>
          </w:p>
        </w:tc>
        <w:tc>
          <w:tcPr>
            <w:tcW w:w="160" w:type="dxa"/>
            <w:tcBorders>
              <w:top w:val="nil"/>
              <w:left w:val="nil"/>
              <w:bottom w:val="nil"/>
              <w:right w:val="nil"/>
            </w:tcBorders>
            <w:shd w:val="clear" w:color="auto" w:fill="auto"/>
            <w:noWrap/>
            <w:vAlign w:val="bottom"/>
            <w:hideMark/>
          </w:tcPr>
          <w:p w14:paraId="3B4B9F23" w14:textId="77777777" w:rsidR="00D41070" w:rsidRPr="00773C98" w:rsidRDefault="00D41070" w:rsidP="0082494C">
            <w:pPr>
              <w:spacing w:line="240" w:lineRule="auto"/>
              <w:jc w:val="both"/>
              <w:rPr>
                <w:color w:val="000000"/>
              </w:rPr>
            </w:pPr>
          </w:p>
        </w:tc>
        <w:tc>
          <w:tcPr>
            <w:tcW w:w="2386" w:type="dxa"/>
            <w:gridSpan w:val="2"/>
            <w:tcBorders>
              <w:top w:val="nil"/>
              <w:left w:val="nil"/>
              <w:bottom w:val="single" w:sz="4" w:space="0" w:color="auto"/>
              <w:right w:val="nil"/>
            </w:tcBorders>
            <w:shd w:val="clear" w:color="auto" w:fill="auto"/>
            <w:noWrap/>
            <w:vAlign w:val="bottom"/>
            <w:hideMark/>
          </w:tcPr>
          <w:p w14:paraId="5F24E358" w14:textId="77777777" w:rsidR="00D41070" w:rsidRPr="00773C98" w:rsidRDefault="00D41070" w:rsidP="0082494C">
            <w:pPr>
              <w:spacing w:line="240" w:lineRule="auto"/>
              <w:jc w:val="both"/>
              <w:rPr>
                <w:color w:val="000000"/>
              </w:rPr>
            </w:pPr>
            <w:r w:rsidRPr="00773C98">
              <w:rPr>
                <w:color w:val="000000"/>
              </w:rPr>
              <w:t>Male (</w:t>
            </w:r>
            <w:r w:rsidRPr="0036134A">
              <w:rPr>
                <w:i/>
                <w:iCs/>
                <w:color w:val="000000"/>
              </w:rPr>
              <w:t>N</w:t>
            </w:r>
            <w:r w:rsidRPr="00773C98">
              <w:rPr>
                <w:color w:val="000000"/>
              </w:rPr>
              <w:t xml:space="preserve"> = </w:t>
            </w:r>
            <w:r>
              <w:rPr>
                <w:color w:val="000000"/>
              </w:rPr>
              <w:t>37</w:t>
            </w:r>
            <w:r w:rsidRPr="00773C98">
              <w:rPr>
                <w:color w:val="000000"/>
              </w:rPr>
              <w:t>)</w:t>
            </w:r>
          </w:p>
        </w:tc>
        <w:tc>
          <w:tcPr>
            <w:tcW w:w="160" w:type="dxa"/>
            <w:tcBorders>
              <w:top w:val="nil"/>
              <w:left w:val="nil"/>
              <w:bottom w:val="nil"/>
              <w:right w:val="nil"/>
            </w:tcBorders>
            <w:shd w:val="clear" w:color="auto" w:fill="auto"/>
            <w:noWrap/>
            <w:vAlign w:val="bottom"/>
            <w:hideMark/>
          </w:tcPr>
          <w:p w14:paraId="25329ACF" w14:textId="77777777" w:rsidR="00D41070" w:rsidRPr="00773C98" w:rsidRDefault="00D41070" w:rsidP="0082494C">
            <w:pPr>
              <w:spacing w:line="240" w:lineRule="auto"/>
              <w:jc w:val="both"/>
              <w:rPr>
                <w:color w:val="000000"/>
              </w:rPr>
            </w:pPr>
          </w:p>
        </w:tc>
        <w:tc>
          <w:tcPr>
            <w:tcW w:w="2559" w:type="dxa"/>
            <w:gridSpan w:val="3"/>
            <w:tcBorders>
              <w:top w:val="single" w:sz="4" w:space="0" w:color="auto"/>
              <w:left w:val="nil"/>
              <w:bottom w:val="single" w:sz="4" w:space="0" w:color="auto"/>
              <w:right w:val="nil"/>
            </w:tcBorders>
            <w:shd w:val="clear" w:color="auto" w:fill="auto"/>
            <w:noWrap/>
            <w:vAlign w:val="bottom"/>
            <w:hideMark/>
          </w:tcPr>
          <w:p w14:paraId="2169C9FF" w14:textId="77777777" w:rsidR="00D41070" w:rsidRPr="00773C98" w:rsidRDefault="00D41070" w:rsidP="0082494C">
            <w:pPr>
              <w:spacing w:line="240" w:lineRule="auto"/>
              <w:jc w:val="both"/>
              <w:rPr>
                <w:color w:val="000000"/>
              </w:rPr>
            </w:pPr>
            <w:r w:rsidRPr="00773C98">
              <w:rPr>
                <w:i/>
                <w:color w:val="000000"/>
              </w:rPr>
              <w:t>t</w:t>
            </w:r>
            <w:r w:rsidRPr="00773C98">
              <w:rPr>
                <w:color w:val="000000"/>
              </w:rPr>
              <w:t>-tests</w:t>
            </w:r>
          </w:p>
        </w:tc>
      </w:tr>
      <w:tr w:rsidR="00D41070" w:rsidRPr="00773C98" w14:paraId="39AD20B6" w14:textId="77777777" w:rsidTr="0082494C">
        <w:trPr>
          <w:trHeight w:val="288"/>
        </w:trPr>
        <w:tc>
          <w:tcPr>
            <w:tcW w:w="1410" w:type="dxa"/>
            <w:tcBorders>
              <w:top w:val="nil"/>
              <w:left w:val="nil"/>
              <w:bottom w:val="single" w:sz="4" w:space="0" w:color="auto"/>
              <w:right w:val="nil"/>
            </w:tcBorders>
            <w:shd w:val="clear" w:color="auto" w:fill="auto"/>
            <w:noWrap/>
            <w:vAlign w:val="bottom"/>
            <w:hideMark/>
          </w:tcPr>
          <w:p w14:paraId="5BD92E00" w14:textId="77777777" w:rsidR="00D41070" w:rsidRPr="000457E4" w:rsidRDefault="00D41070" w:rsidP="0082494C">
            <w:pPr>
              <w:spacing w:line="240" w:lineRule="auto"/>
              <w:jc w:val="both"/>
              <w:rPr>
                <w:color w:val="000000"/>
                <w:lang w:val="en-GB"/>
              </w:rPr>
            </w:pPr>
            <w:r w:rsidRPr="000457E4">
              <w:rPr>
                <w:color w:val="000000"/>
                <w:lang w:val="en-GB"/>
              </w:rPr>
              <w:t> </w:t>
            </w:r>
          </w:p>
        </w:tc>
        <w:tc>
          <w:tcPr>
            <w:tcW w:w="1058" w:type="dxa"/>
            <w:tcBorders>
              <w:top w:val="nil"/>
              <w:left w:val="nil"/>
              <w:bottom w:val="single" w:sz="4" w:space="0" w:color="auto"/>
              <w:right w:val="nil"/>
            </w:tcBorders>
            <w:shd w:val="clear" w:color="auto" w:fill="auto"/>
            <w:noWrap/>
            <w:vAlign w:val="bottom"/>
            <w:hideMark/>
          </w:tcPr>
          <w:p w14:paraId="35C6ADD0" w14:textId="77777777" w:rsidR="00D41070" w:rsidRPr="000457E4" w:rsidRDefault="00D41070" w:rsidP="0082494C">
            <w:pPr>
              <w:spacing w:line="240" w:lineRule="auto"/>
              <w:jc w:val="both"/>
              <w:rPr>
                <w:i/>
                <w:color w:val="000000"/>
                <w:lang w:val="en-GB"/>
              </w:rPr>
            </w:pPr>
            <w:r w:rsidRPr="000457E4">
              <w:rPr>
                <w:i/>
                <w:color w:val="000000"/>
                <w:lang w:val="en-GB"/>
              </w:rPr>
              <w:t>M</w:t>
            </w:r>
          </w:p>
        </w:tc>
        <w:tc>
          <w:tcPr>
            <w:tcW w:w="1327" w:type="dxa"/>
            <w:tcBorders>
              <w:top w:val="nil"/>
              <w:left w:val="nil"/>
              <w:bottom w:val="single" w:sz="4" w:space="0" w:color="auto"/>
              <w:right w:val="nil"/>
            </w:tcBorders>
            <w:shd w:val="clear" w:color="auto" w:fill="auto"/>
            <w:noWrap/>
            <w:vAlign w:val="bottom"/>
            <w:hideMark/>
          </w:tcPr>
          <w:p w14:paraId="2206C90D" w14:textId="77777777" w:rsidR="00D41070" w:rsidRPr="000457E4" w:rsidRDefault="00D41070" w:rsidP="0082494C">
            <w:pPr>
              <w:spacing w:line="240" w:lineRule="auto"/>
              <w:jc w:val="both"/>
              <w:rPr>
                <w:i/>
                <w:color w:val="000000"/>
                <w:lang w:val="en-GB"/>
              </w:rPr>
            </w:pPr>
            <w:r w:rsidRPr="000457E4">
              <w:rPr>
                <w:i/>
                <w:color w:val="000000"/>
                <w:lang w:val="en-GB"/>
              </w:rPr>
              <w:t>SD</w:t>
            </w:r>
          </w:p>
        </w:tc>
        <w:tc>
          <w:tcPr>
            <w:tcW w:w="160" w:type="dxa"/>
            <w:tcBorders>
              <w:top w:val="nil"/>
              <w:left w:val="nil"/>
              <w:bottom w:val="single" w:sz="4" w:space="0" w:color="auto"/>
              <w:right w:val="nil"/>
            </w:tcBorders>
            <w:shd w:val="clear" w:color="auto" w:fill="auto"/>
            <w:noWrap/>
            <w:vAlign w:val="bottom"/>
            <w:hideMark/>
          </w:tcPr>
          <w:p w14:paraId="795BABF2" w14:textId="77777777" w:rsidR="00D41070" w:rsidRPr="00773C98" w:rsidRDefault="00D41070" w:rsidP="0082494C">
            <w:pPr>
              <w:spacing w:line="240" w:lineRule="auto"/>
              <w:jc w:val="both"/>
              <w:rPr>
                <w:i/>
                <w:color w:val="000000"/>
              </w:rPr>
            </w:pPr>
            <w:r w:rsidRPr="00773C98">
              <w:rPr>
                <w:i/>
                <w:color w:val="000000"/>
              </w:rPr>
              <w:t> </w:t>
            </w:r>
          </w:p>
        </w:tc>
        <w:tc>
          <w:tcPr>
            <w:tcW w:w="1059" w:type="dxa"/>
            <w:tcBorders>
              <w:top w:val="nil"/>
              <w:left w:val="nil"/>
              <w:bottom w:val="single" w:sz="4" w:space="0" w:color="auto"/>
              <w:right w:val="nil"/>
            </w:tcBorders>
            <w:shd w:val="clear" w:color="auto" w:fill="auto"/>
            <w:noWrap/>
            <w:vAlign w:val="bottom"/>
            <w:hideMark/>
          </w:tcPr>
          <w:p w14:paraId="4CE053E8" w14:textId="77777777" w:rsidR="00D41070" w:rsidRPr="00773C98" w:rsidRDefault="00D41070" w:rsidP="0082494C">
            <w:pPr>
              <w:spacing w:line="240" w:lineRule="auto"/>
              <w:jc w:val="both"/>
              <w:rPr>
                <w:i/>
                <w:color w:val="000000"/>
              </w:rPr>
            </w:pPr>
            <w:r w:rsidRPr="00773C98">
              <w:rPr>
                <w:i/>
                <w:color w:val="000000"/>
              </w:rPr>
              <w:t>M</w:t>
            </w:r>
          </w:p>
        </w:tc>
        <w:tc>
          <w:tcPr>
            <w:tcW w:w="1327" w:type="dxa"/>
            <w:tcBorders>
              <w:top w:val="nil"/>
              <w:left w:val="nil"/>
              <w:bottom w:val="single" w:sz="4" w:space="0" w:color="auto"/>
              <w:right w:val="nil"/>
            </w:tcBorders>
            <w:shd w:val="clear" w:color="auto" w:fill="auto"/>
            <w:noWrap/>
            <w:vAlign w:val="bottom"/>
            <w:hideMark/>
          </w:tcPr>
          <w:p w14:paraId="54FFC1D3" w14:textId="77777777" w:rsidR="00D41070" w:rsidRPr="00773C98" w:rsidRDefault="00D41070" w:rsidP="0082494C">
            <w:pPr>
              <w:spacing w:line="240" w:lineRule="auto"/>
              <w:jc w:val="both"/>
              <w:rPr>
                <w:i/>
                <w:color w:val="000000"/>
              </w:rPr>
            </w:pPr>
            <w:r w:rsidRPr="00773C98">
              <w:rPr>
                <w:i/>
                <w:color w:val="000000"/>
              </w:rPr>
              <w:t>SD</w:t>
            </w:r>
          </w:p>
        </w:tc>
        <w:tc>
          <w:tcPr>
            <w:tcW w:w="160" w:type="dxa"/>
            <w:tcBorders>
              <w:top w:val="nil"/>
              <w:left w:val="nil"/>
              <w:bottom w:val="single" w:sz="4" w:space="0" w:color="auto"/>
              <w:right w:val="nil"/>
            </w:tcBorders>
            <w:shd w:val="clear" w:color="auto" w:fill="auto"/>
            <w:noWrap/>
            <w:vAlign w:val="bottom"/>
            <w:hideMark/>
          </w:tcPr>
          <w:p w14:paraId="72BB8D9F" w14:textId="77777777" w:rsidR="00D41070" w:rsidRPr="00773C98" w:rsidRDefault="00D41070" w:rsidP="0082494C">
            <w:pPr>
              <w:spacing w:line="240" w:lineRule="auto"/>
              <w:jc w:val="both"/>
              <w:rPr>
                <w:i/>
                <w:color w:val="000000"/>
              </w:rPr>
            </w:pPr>
            <w:r w:rsidRPr="00773C98">
              <w:rPr>
                <w:i/>
                <w:color w:val="000000"/>
              </w:rPr>
              <w:t> </w:t>
            </w:r>
          </w:p>
        </w:tc>
        <w:tc>
          <w:tcPr>
            <w:tcW w:w="972" w:type="dxa"/>
            <w:tcBorders>
              <w:top w:val="nil"/>
              <w:left w:val="nil"/>
              <w:bottom w:val="single" w:sz="4" w:space="0" w:color="auto"/>
              <w:right w:val="nil"/>
            </w:tcBorders>
            <w:shd w:val="clear" w:color="auto" w:fill="auto"/>
            <w:noWrap/>
            <w:vAlign w:val="bottom"/>
            <w:hideMark/>
          </w:tcPr>
          <w:p w14:paraId="20350207" w14:textId="77777777" w:rsidR="00D41070" w:rsidRPr="00773C98" w:rsidRDefault="00D41070" w:rsidP="0082494C">
            <w:pPr>
              <w:spacing w:line="240" w:lineRule="auto"/>
              <w:jc w:val="both"/>
              <w:rPr>
                <w:i/>
                <w:color w:val="000000"/>
              </w:rPr>
            </w:pPr>
            <w:r w:rsidRPr="00773C98">
              <w:rPr>
                <w:i/>
                <w:color w:val="000000"/>
              </w:rPr>
              <w:t>t</w:t>
            </w:r>
            <w:r w:rsidRPr="00773C98">
              <w:rPr>
                <w:color w:val="000000"/>
              </w:rPr>
              <w:t>(</w:t>
            </w:r>
            <w:r>
              <w:rPr>
                <w:color w:val="000000"/>
              </w:rPr>
              <w:t>204</w:t>
            </w:r>
            <w:r w:rsidRPr="00773C98">
              <w:rPr>
                <w:color w:val="000000"/>
              </w:rPr>
              <w:t>)</w:t>
            </w:r>
          </w:p>
        </w:tc>
        <w:tc>
          <w:tcPr>
            <w:tcW w:w="615" w:type="dxa"/>
            <w:tcBorders>
              <w:top w:val="nil"/>
              <w:left w:val="nil"/>
              <w:bottom w:val="single" w:sz="4" w:space="0" w:color="auto"/>
              <w:right w:val="nil"/>
            </w:tcBorders>
            <w:shd w:val="clear" w:color="auto" w:fill="auto"/>
            <w:noWrap/>
            <w:vAlign w:val="bottom"/>
            <w:hideMark/>
          </w:tcPr>
          <w:p w14:paraId="2C9B845C" w14:textId="77777777" w:rsidR="00D41070" w:rsidRPr="00773C98" w:rsidRDefault="00D41070" w:rsidP="0082494C">
            <w:pPr>
              <w:spacing w:line="240" w:lineRule="auto"/>
              <w:jc w:val="both"/>
              <w:rPr>
                <w:i/>
                <w:color w:val="000000"/>
              </w:rPr>
            </w:pPr>
            <w:r w:rsidRPr="00773C98">
              <w:rPr>
                <w:i/>
                <w:color w:val="000000"/>
              </w:rPr>
              <w:t>p</w:t>
            </w:r>
          </w:p>
        </w:tc>
        <w:tc>
          <w:tcPr>
            <w:tcW w:w="972" w:type="dxa"/>
            <w:tcBorders>
              <w:top w:val="nil"/>
              <w:left w:val="nil"/>
              <w:bottom w:val="single" w:sz="4" w:space="0" w:color="auto"/>
              <w:right w:val="nil"/>
            </w:tcBorders>
            <w:shd w:val="clear" w:color="auto" w:fill="auto"/>
            <w:noWrap/>
            <w:vAlign w:val="bottom"/>
            <w:hideMark/>
          </w:tcPr>
          <w:p w14:paraId="653191A4" w14:textId="77777777" w:rsidR="00D41070" w:rsidRPr="00773C98" w:rsidRDefault="00D41070" w:rsidP="0082494C">
            <w:pPr>
              <w:spacing w:line="240" w:lineRule="auto"/>
              <w:jc w:val="both"/>
              <w:rPr>
                <w:i/>
                <w:color w:val="000000"/>
              </w:rPr>
            </w:pPr>
            <w:r w:rsidRPr="00773C98">
              <w:rPr>
                <w:i/>
                <w:color w:val="000000"/>
              </w:rPr>
              <w:t>d</w:t>
            </w:r>
          </w:p>
        </w:tc>
      </w:tr>
      <w:tr w:rsidR="00D41070" w:rsidRPr="00773C98" w14:paraId="442EFE5B" w14:textId="77777777" w:rsidTr="0082494C">
        <w:trPr>
          <w:trHeight w:val="312"/>
        </w:trPr>
        <w:tc>
          <w:tcPr>
            <w:tcW w:w="1410" w:type="dxa"/>
            <w:tcBorders>
              <w:top w:val="nil"/>
              <w:left w:val="nil"/>
              <w:bottom w:val="nil"/>
              <w:right w:val="nil"/>
            </w:tcBorders>
            <w:shd w:val="clear" w:color="auto" w:fill="auto"/>
            <w:noWrap/>
            <w:vAlign w:val="center"/>
            <w:hideMark/>
          </w:tcPr>
          <w:p w14:paraId="41CCC1AE" w14:textId="77777777" w:rsidR="00D41070" w:rsidRPr="000457E4" w:rsidRDefault="00D41070" w:rsidP="0082494C">
            <w:pPr>
              <w:spacing w:line="240" w:lineRule="auto"/>
              <w:jc w:val="both"/>
              <w:rPr>
                <w:i/>
                <w:color w:val="000000"/>
                <w:lang w:val="en-GB"/>
              </w:rPr>
            </w:pPr>
            <w:r w:rsidRPr="000457E4">
              <w:rPr>
                <w:i/>
                <w:color w:val="000000"/>
                <w:lang w:val="en-GB"/>
              </w:rPr>
              <w:t>t</w:t>
            </w:r>
            <w:r w:rsidRPr="000457E4">
              <w:rPr>
                <w:color w:val="000000"/>
                <w:vertAlign w:val="subscript"/>
                <w:lang w:val="en-GB"/>
              </w:rPr>
              <w:t>0</w:t>
            </w:r>
          </w:p>
        </w:tc>
        <w:tc>
          <w:tcPr>
            <w:tcW w:w="1058" w:type="dxa"/>
            <w:tcBorders>
              <w:top w:val="nil"/>
              <w:left w:val="nil"/>
              <w:bottom w:val="nil"/>
              <w:right w:val="nil"/>
            </w:tcBorders>
            <w:shd w:val="clear" w:color="auto" w:fill="auto"/>
            <w:noWrap/>
            <w:vAlign w:val="bottom"/>
            <w:hideMark/>
          </w:tcPr>
          <w:p w14:paraId="672F08B3" w14:textId="77777777" w:rsidR="00D41070" w:rsidRPr="000457E4" w:rsidRDefault="00D41070" w:rsidP="0082494C">
            <w:pPr>
              <w:spacing w:line="240" w:lineRule="auto"/>
              <w:jc w:val="both"/>
              <w:rPr>
                <w:color w:val="000000"/>
                <w:lang w:val="en-GB"/>
              </w:rPr>
            </w:pPr>
            <w:r>
              <w:rPr>
                <w:color w:val="000000"/>
                <w:lang w:val="en-GB"/>
              </w:rPr>
              <w:t>18.55</w:t>
            </w:r>
          </w:p>
        </w:tc>
        <w:tc>
          <w:tcPr>
            <w:tcW w:w="1327" w:type="dxa"/>
            <w:tcBorders>
              <w:top w:val="nil"/>
              <w:left w:val="nil"/>
              <w:bottom w:val="nil"/>
              <w:right w:val="nil"/>
            </w:tcBorders>
            <w:shd w:val="clear" w:color="auto" w:fill="auto"/>
            <w:noWrap/>
            <w:vAlign w:val="bottom"/>
            <w:hideMark/>
          </w:tcPr>
          <w:p w14:paraId="126DA8BA" w14:textId="77777777" w:rsidR="00D41070" w:rsidRPr="000457E4" w:rsidRDefault="00D41070" w:rsidP="0082494C">
            <w:pPr>
              <w:spacing w:line="240" w:lineRule="auto"/>
              <w:jc w:val="both"/>
              <w:rPr>
                <w:color w:val="000000"/>
                <w:lang w:val="en-GB"/>
              </w:rPr>
            </w:pPr>
            <w:r w:rsidRPr="000457E4">
              <w:rPr>
                <w:color w:val="000000"/>
                <w:lang w:val="en-GB"/>
              </w:rPr>
              <w:t>(</w:t>
            </w:r>
            <w:r>
              <w:rPr>
                <w:color w:val="000000"/>
                <w:lang w:val="en-GB"/>
              </w:rPr>
              <w:t>9.20</w:t>
            </w:r>
            <w:r w:rsidRPr="000457E4">
              <w:rPr>
                <w:color w:val="000000"/>
                <w:lang w:val="en-GB"/>
              </w:rPr>
              <w:t>)</w:t>
            </w:r>
          </w:p>
        </w:tc>
        <w:tc>
          <w:tcPr>
            <w:tcW w:w="160" w:type="dxa"/>
            <w:tcBorders>
              <w:top w:val="nil"/>
              <w:left w:val="nil"/>
              <w:bottom w:val="nil"/>
              <w:right w:val="nil"/>
            </w:tcBorders>
            <w:shd w:val="clear" w:color="auto" w:fill="auto"/>
            <w:noWrap/>
            <w:vAlign w:val="bottom"/>
            <w:hideMark/>
          </w:tcPr>
          <w:p w14:paraId="13EE980D" w14:textId="77777777" w:rsidR="00D41070" w:rsidRPr="00773C98" w:rsidRDefault="00D41070" w:rsidP="0082494C">
            <w:pPr>
              <w:spacing w:line="240" w:lineRule="auto"/>
              <w:jc w:val="both"/>
              <w:rPr>
                <w:color w:val="000000"/>
              </w:rPr>
            </w:pPr>
          </w:p>
        </w:tc>
        <w:tc>
          <w:tcPr>
            <w:tcW w:w="1059" w:type="dxa"/>
            <w:tcBorders>
              <w:top w:val="nil"/>
              <w:left w:val="nil"/>
              <w:bottom w:val="nil"/>
              <w:right w:val="nil"/>
            </w:tcBorders>
            <w:shd w:val="clear" w:color="auto" w:fill="auto"/>
            <w:noWrap/>
            <w:vAlign w:val="bottom"/>
            <w:hideMark/>
          </w:tcPr>
          <w:p w14:paraId="434BF234" w14:textId="77777777" w:rsidR="00D41070" w:rsidRPr="00773C98" w:rsidRDefault="00D41070" w:rsidP="0082494C">
            <w:pPr>
              <w:spacing w:line="240" w:lineRule="auto"/>
              <w:jc w:val="both"/>
              <w:rPr>
                <w:color w:val="000000"/>
              </w:rPr>
            </w:pPr>
            <w:r>
              <w:rPr>
                <w:color w:val="000000"/>
              </w:rPr>
              <w:t>16.49</w:t>
            </w:r>
          </w:p>
        </w:tc>
        <w:tc>
          <w:tcPr>
            <w:tcW w:w="1327" w:type="dxa"/>
            <w:tcBorders>
              <w:top w:val="nil"/>
              <w:left w:val="nil"/>
              <w:bottom w:val="nil"/>
              <w:right w:val="nil"/>
            </w:tcBorders>
            <w:shd w:val="clear" w:color="auto" w:fill="auto"/>
            <w:noWrap/>
            <w:vAlign w:val="bottom"/>
            <w:hideMark/>
          </w:tcPr>
          <w:p w14:paraId="539799AB" w14:textId="77777777" w:rsidR="00D41070" w:rsidRPr="00773C98" w:rsidRDefault="00D41070" w:rsidP="0082494C">
            <w:pPr>
              <w:spacing w:line="240" w:lineRule="auto"/>
              <w:jc w:val="both"/>
              <w:rPr>
                <w:color w:val="000000"/>
              </w:rPr>
            </w:pPr>
            <w:r w:rsidRPr="00773C98">
              <w:rPr>
                <w:color w:val="000000"/>
              </w:rPr>
              <w:t>(</w:t>
            </w:r>
            <w:r>
              <w:rPr>
                <w:color w:val="000000"/>
              </w:rPr>
              <w:t>8.26</w:t>
            </w:r>
            <w:r w:rsidRPr="00773C98">
              <w:rPr>
                <w:color w:val="000000"/>
              </w:rPr>
              <w:t>)</w:t>
            </w:r>
          </w:p>
        </w:tc>
        <w:tc>
          <w:tcPr>
            <w:tcW w:w="160" w:type="dxa"/>
            <w:tcBorders>
              <w:top w:val="nil"/>
              <w:left w:val="nil"/>
              <w:bottom w:val="nil"/>
              <w:right w:val="nil"/>
            </w:tcBorders>
            <w:shd w:val="clear" w:color="auto" w:fill="auto"/>
            <w:noWrap/>
            <w:vAlign w:val="bottom"/>
            <w:hideMark/>
          </w:tcPr>
          <w:p w14:paraId="79EF1AB8" w14:textId="77777777" w:rsidR="00D41070" w:rsidRPr="00773C98" w:rsidRDefault="00D41070" w:rsidP="0082494C">
            <w:pPr>
              <w:spacing w:line="240" w:lineRule="auto"/>
              <w:jc w:val="both"/>
              <w:rPr>
                <w:color w:val="000000"/>
              </w:rPr>
            </w:pPr>
          </w:p>
        </w:tc>
        <w:tc>
          <w:tcPr>
            <w:tcW w:w="972" w:type="dxa"/>
            <w:tcBorders>
              <w:top w:val="nil"/>
              <w:left w:val="nil"/>
              <w:bottom w:val="nil"/>
              <w:right w:val="nil"/>
            </w:tcBorders>
            <w:shd w:val="clear" w:color="auto" w:fill="auto"/>
            <w:noWrap/>
            <w:vAlign w:val="bottom"/>
            <w:hideMark/>
          </w:tcPr>
          <w:p w14:paraId="64E110BC" w14:textId="77777777" w:rsidR="00D41070" w:rsidRPr="00773C98" w:rsidRDefault="00D41070" w:rsidP="0082494C">
            <w:pPr>
              <w:spacing w:line="240" w:lineRule="auto"/>
              <w:jc w:val="both"/>
              <w:rPr>
                <w:color w:val="000000"/>
              </w:rPr>
            </w:pPr>
            <w:r>
              <w:rPr>
                <w:color w:val="000000"/>
              </w:rPr>
              <w:t>1.25</w:t>
            </w:r>
          </w:p>
        </w:tc>
        <w:tc>
          <w:tcPr>
            <w:tcW w:w="615" w:type="dxa"/>
            <w:tcBorders>
              <w:top w:val="nil"/>
              <w:left w:val="nil"/>
              <w:bottom w:val="nil"/>
              <w:right w:val="nil"/>
            </w:tcBorders>
            <w:shd w:val="clear" w:color="auto" w:fill="auto"/>
            <w:noWrap/>
            <w:vAlign w:val="bottom"/>
            <w:hideMark/>
          </w:tcPr>
          <w:p w14:paraId="294BDAEF" w14:textId="77777777" w:rsidR="00D41070" w:rsidRPr="00773C98" w:rsidRDefault="00D41070" w:rsidP="0082494C">
            <w:pPr>
              <w:spacing w:line="240" w:lineRule="auto"/>
              <w:jc w:val="both"/>
              <w:rPr>
                <w:color w:val="000000"/>
              </w:rPr>
            </w:pPr>
            <w:r>
              <w:rPr>
                <w:color w:val="000000"/>
              </w:rPr>
              <w:t>.21</w:t>
            </w:r>
          </w:p>
        </w:tc>
        <w:tc>
          <w:tcPr>
            <w:tcW w:w="972" w:type="dxa"/>
            <w:tcBorders>
              <w:top w:val="nil"/>
              <w:left w:val="nil"/>
              <w:bottom w:val="nil"/>
              <w:right w:val="nil"/>
            </w:tcBorders>
            <w:shd w:val="clear" w:color="auto" w:fill="auto"/>
            <w:noWrap/>
            <w:vAlign w:val="bottom"/>
            <w:hideMark/>
          </w:tcPr>
          <w:p w14:paraId="5E1AC61C" w14:textId="77777777" w:rsidR="00D41070" w:rsidRPr="00773C98" w:rsidRDefault="00D41070" w:rsidP="0082494C">
            <w:pPr>
              <w:spacing w:line="240" w:lineRule="auto"/>
              <w:jc w:val="both"/>
              <w:rPr>
                <w:color w:val="000000"/>
              </w:rPr>
            </w:pPr>
            <w:r>
              <w:rPr>
                <w:color w:val="000000"/>
              </w:rPr>
              <w:t>0.24</w:t>
            </w:r>
          </w:p>
        </w:tc>
      </w:tr>
      <w:tr w:rsidR="00D41070" w:rsidRPr="00773C98" w14:paraId="67C25513" w14:textId="77777777" w:rsidTr="0082494C">
        <w:trPr>
          <w:trHeight w:val="288"/>
        </w:trPr>
        <w:tc>
          <w:tcPr>
            <w:tcW w:w="1410" w:type="dxa"/>
            <w:tcBorders>
              <w:top w:val="nil"/>
              <w:left w:val="nil"/>
              <w:bottom w:val="nil"/>
              <w:right w:val="nil"/>
            </w:tcBorders>
            <w:shd w:val="clear" w:color="auto" w:fill="auto"/>
            <w:noWrap/>
            <w:vAlign w:val="center"/>
            <w:hideMark/>
          </w:tcPr>
          <w:p w14:paraId="59E0CF42" w14:textId="77777777" w:rsidR="00D41070" w:rsidRPr="000457E4" w:rsidRDefault="00D41070" w:rsidP="0082494C">
            <w:pPr>
              <w:spacing w:line="240" w:lineRule="auto"/>
              <w:jc w:val="both"/>
              <w:rPr>
                <w:i/>
                <w:color w:val="000000"/>
                <w:lang w:val="en-GB"/>
              </w:rPr>
            </w:pPr>
            <w:r w:rsidRPr="000457E4">
              <w:rPr>
                <w:i/>
                <w:color w:val="000000"/>
                <w:lang w:val="en-GB"/>
              </w:rPr>
              <w:t>C</w:t>
            </w:r>
          </w:p>
        </w:tc>
        <w:tc>
          <w:tcPr>
            <w:tcW w:w="1058" w:type="dxa"/>
            <w:tcBorders>
              <w:top w:val="nil"/>
              <w:left w:val="nil"/>
              <w:bottom w:val="nil"/>
              <w:right w:val="nil"/>
            </w:tcBorders>
            <w:shd w:val="clear" w:color="auto" w:fill="auto"/>
            <w:noWrap/>
            <w:vAlign w:val="bottom"/>
            <w:hideMark/>
          </w:tcPr>
          <w:p w14:paraId="207C0DE4" w14:textId="77777777" w:rsidR="00D41070" w:rsidRPr="000457E4" w:rsidRDefault="00D41070" w:rsidP="0082494C">
            <w:pPr>
              <w:spacing w:line="240" w:lineRule="auto"/>
              <w:jc w:val="both"/>
              <w:rPr>
                <w:color w:val="000000"/>
                <w:lang w:val="en-GB"/>
              </w:rPr>
            </w:pPr>
            <w:r>
              <w:rPr>
                <w:color w:val="000000"/>
                <w:lang w:val="en-GB"/>
              </w:rPr>
              <w:t>51.47</w:t>
            </w:r>
          </w:p>
        </w:tc>
        <w:tc>
          <w:tcPr>
            <w:tcW w:w="1327" w:type="dxa"/>
            <w:tcBorders>
              <w:top w:val="nil"/>
              <w:left w:val="nil"/>
              <w:bottom w:val="nil"/>
              <w:right w:val="nil"/>
            </w:tcBorders>
            <w:shd w:val="clear" w:color="auto" w:fill="auto"/>
            <w:noWrap/>
            <w:vAlign w:val="bottom"/>
            <w:hideMark/>
          </w:tcPr>
          <w:p w14:paraId="522DA16B" w14:textId="77777777" w:rsidR="00D41070" w:rsidRPr="000457E4" w:rsidRDefault="00D41070" w:rsidP="0082494C">
            <w:pPr>
              <w:spacing w:line="240" w:lineRule="auto"/>
              <w:jc w:val="both"/>
              <w:rPr>
                <w:color w:val="000000"/>
                <w:lang w:val="en-GB"/>
              </w:rPr>
            </w:pPr>
            <w:r w:rsidRPr="000457E4">
              <w:rPr>
                <w:color w:val="000000"/>
                <w:lang w:val="en-GB"/>
              </w:rPr>
              <w:t>(</w:t>
            </w:r>
            <w:r>
              <w:rPr>
                <w:color w:val="000000"/>
                <w:lang w:val="en-GB"/>
              </w:rPr>
              <w:t>19.62</w:t>
            </w:r>
            <w:r w:rsidRPr="000457E4">
              <w:rPr>
                <w:color w:val="000000"/>
                <w:lang w:val="en-GB"/>
              </w:rPr>
              <w:t>)</w:t>
            </w:r>
          </w:p>
        </w:tc>
        <w:tc>
          <w:tcPr>
            <w:tcW w:w="160" w:type="dxa"/>
            <w:tcBorders>
              <w:top w:val="nil"/>
              <w:left w:val="nil"/>
              <w:bottom w:val="nil"/>
              <w:right w:val="nil"/>
            </w:tcBorders>
            <w:shd w:val="clear" w:color="auto" w:fill="auto"/>
            <w:noWrap/>
            <w:vAlign w:val="bottom"/>
            <w:hideMark/>
          </w:tcPr>
          <w:p w14:paraId="3B966B8D" w14:textId="77777777" w:rsidR="00D41070" w:rsidRPr="00773C98" w:rsidRDefault="00D41070" w:rsidP="0082494C">
            <w:pPr>
              <w:spacing w:line="240" w:lineRule="auto"/>
              <w:jc w:val="both"/>
              <w:rPr>
                <w:color w:val="000000"/>
              </w:rPr>
            </w:pPr>
          </w:p>
        </w:tc>
        <w:tc>
          <w:tcPr>
            <w:tcW w:w="1059" w:type="dxa"/>
            <w:tcBorders>
              <w:top w:val="nil"/>
              <w:left w:val="nil"/>
              <w:bottom w:val="nil"/>
              <w:right w:val="nil"/>
            </w:tcBorders>
            <w:shd w:val="clear" w:color="auto" w:fill="auto"/>
            <w:noWrap/>
            <w:vAlign w:val="bottom"/>
            <w:hideMark/>
          </w:tcPr>
          <w:p w14:paraId="14A8C65C" w14:textId="77777777" w:rsidR="00D41070" w:rsidRPr="00773C98" w:rsidRDefault="00D41070" w:rsidP="0082494C">
            <w:pPr>
              <w:spacing w:line="240" w:lineRule="auto"/>
              <w:jc w:val="both"/>
              <w:rPr>
                <w:color w:val="000000"/>
              </w:rPr>
            </w:pPr>
            <w:r>
              <w:rPr>
                <w:color w:val="000000"/>
              </w:rPr>
              <w:t>52.61</w:t>
            </w:r>
          </w:p>
        </w:tc>
        <w:tc>
          <w:tcPr>
            <w:tcW w:w="1327" w:type="dxa"/>
            <w:tcBorders>
              <w:top w:val="nil"/>
              <w:left w:val="nil"/>
              <w:bottom w:val="nil"/>
              <w:right w:val="nil"/>
            </w:tcBorders>
            <w:shd w:val="clear" w:color="auto" w:fill="auto"/>
            <w:noWrap/>
            <w:vAlign w:val="bottom"/>
            <w:hideMark/>
          </w:tcPr>
          <w:p w14:paraId="29CE6B80" w14:textId="77777777" w:rsidR="00D41070" w:rsidRPr="00773C98" w:rsidRDefault="00D41070" w:rsidP="0082494C">
            <w:pPr>
              <w:spacing w:line="240" w:lineRule="auto"/>
              <w:jc w:val="both"/>
              <w:rPr>
                <w:color w:val="000000"/>
              </w:rPr>
            </w:pPr>
            <w:r w:rsidRPr="00773C98">
              <w:rPr>
                <w:color w:val="000000"/>
              </w:rPr>
              <w:t>(</w:t>
            </w:r>
            <w:r>
              <w:rPr>
                <w:color w:val="000000"/>
              </w:rPr>
              <w:t>22.21</w:t>
            </w:r>
            <w:r w:rsidRPr="00773C98">
              <w:rPr>
                <w:color w:val="000000"/>
              </w:rPr>
              <w:t>)</w:t>
            </w:r>
          </w:p>
        </w:tc>
        <w:tc>
          <w:tcPr>
            <w:tcW w:w="160" w:type="dxa"/>
            <w:tcBorders>
              <w:top w:val="nil"/>
              <w:left w:val="nil"/>
              <w:bottom w:val="nil"/>
              <w:right w:val="nil"/>
            </w:tcBorders>
            <w:shd w:val="clear" w:color="auto" w:fill="auto"/>
            <w:noWrap/>
            <w:vAlign w:val="bottom"/>
            <w:hideMark/>
          </w:tcPr>
          <w:p w14:paraId="6EFECA30" w14:textId="77777777" w:rsidR="00D41070" w:rsidRPr="00773C98" w:rsidRDefault="00D41070" w:rsidP="0082494C">
            <w:pPr>
              <w:spacing w:line="240" w:lineRule="auto"/>
              <w:jc w:val="both"/>
              <w:rPr>
                <w:color w:val="000000"/>
              </w:rPr>
            </w:pPr>
          </w:p>
        </w:tc>
        <w:tc>
          <w:tcPr>
            <w:tcW w:w="972" w:type="dxa"/>
            <w:tcBorders>
              <w:top w:val="nil"/>
              <w:left w:val="nil"/>
              <w:bottom w:val="nil"/>
              <w:right w:val="nil"/>
            </w:tcBorders>
            <w:shd w:val="clear" w:color="auto" w:fill="auto"/>
            <w:noWrap/>
            <w:vAlign w:val="bottom"/>
            <w:hideMark/>
          </w:tcPr>
          <w:p w14:paraId="3F9F9896" w14:textId="77777777" w:rsidR="00D41070" w:rsidRPr="00773C98" w:rsidRDefault="00D41070" w:rsidP="0082494C">
            <w:pPr>
              <w:spacing w:line="240" w:lineRule="auto"/>
              <w:jc w:val="both"/>
              <w:rPr>
                <w:color w:val="000000"/>
              </w:rPr>
            </w:pPr>
            <w:r>
              <w:rPr>
                <w:color w:val="000000"/>
              </w:rPr>
              <w:t>-0.31</w:t>
            </w:r>
          </w:p>
        </w:tc>
        <w:tc>
          <w:tcPr>
            <w:tcW w:w="615" w:type="dxa"/>
            <w:tcBorders>
              <w:top w:val="nil"/>
              <w:left w:val="nil"/>
              <w:bottom w:val="nil"/>
              <w:right w:val="nil"/>
            </w:tcBorders>
            <w:shd w:val="clear" w:color="auto" w:fill="auto"/>
            <w:noWrap/>
            <w:vAlign w:val="bottom"/>
            <w:hideMark/>
          </w:tcPr>
          <w:p w14:paraId="68AD83CA" w14:textId="77777777" w:rsidR="00D41070" w:rsidRPr="00773C98" w:rsidRDefault="00D41070" w:rsidP="0082494C">
            <w:pPr>
              <w:spacing w:line="240" w:lineRule="auto"/>
              <w:jc w:val="both"/>
              <w:rPr>
                <w:color w:val="000000"/>
              </w:rPr>
            </w:pPr>
            <w:r>
              <w:rPr>
                <w:color w:val="000000"/>
              </w:rPr>
              <w:t>.76</w:t>
            </w:r>
          </w:p>
        </w:tc>
        <w:tc>
          <w:tcPr>
            <w:tcW w:w="972" w:type="dxa"/>
            <w:tcBorders>
              <w:top w:val="nil"/>
              <w:left w:val="nil"/>
              <w:bottom w:val="nil"/>
              <w:right w:val="nil"/>
            </w:tcBorders>
            <w:shd w:val="clear" w:color="auto" w:fill="auto"/>
            <w:noWrap/>
            <w:vAlign w:val="bottom"/>
            <w:hideMark/>
          </w:tcPr>
          <w:p w14:paraId="63A5B94B" w14:textId="77777777" w:rsidR="00D41070" w:rsidRPr="00773C98" w:rsidRDefault="00D41070" w:rsidP="0082494C">
            <w:pPr>
              <w:spacing w:line="240" w:lineRule="auto"/>
              <w:jc w:val="both"/>
              <w:rPr>
                <w:color w:val="000000"/>
              </w:rPr>
            </w:pPr>
            <w:r>
              <w:rPr>
                <w:color w:val="000000"/>
              </w:rPr>
              <w:t>-0.05</w:t>
            </w:r>
          </w:p>
        </w:tc>
      </w:tr>
      <w:tr w:rsidR="00D41070" w:rsidRPr="00773C98" w14:paraId="78B67F25" w14:textId="77777777" w:rsidTr="0082494C">
        <w:trPr>
          <w:trHeight w:val="288"/>
        </w:trPr>
        <w:tc>
          <w:tcPr>
            <w:tcW w:w="1410" w:type="dxa"/>
            <w:tcBorders>
              <w:top w:val="nil"/>
              <w:left w:val="nil"/>
              <w:bottom w:val="nil"/>
              <w:right w:val="nil"/>
            </w:tcBorders>
            <w:shd w:val="clear" w:color="auto" w:fill="auto"/>
            <w:noWrap/>
            <w:vAlign w:val="center"/>
            <w:hideMark/>
          </w:tcPr>
          <w:p w14:paraId="2546AA26" w14:textId="77777777" w:rsidR="00D41070" w:rsidRPr="000457E4" w:rsidRDefault="00D41070" w:rsidP="0082494C">
            <w:pPr>
              <w:spacing w:line="240" w:lineRule="auto"/>
              <w:jc w:val="both"/>
              <w:rPr>
                <w:i/>
                <w:color w:val="000000"/>
                <w:lang w:val="en-GB"/>
              </w:rPr>
            </w:pPr>
            <w:r w:rsidRPr="000457E4">
              <w:rPr>
                <w:i/>
                <w:color w:val="000000"/>
                <w:lang w:val="en-GB"/>
              </w:rPr>
              <w:t>K</w:t>
            </w:r>
          </w:p>
        </w:tc>
        <w:tc>
          <w:tcPr>
            <w:tcW w:w="1058" w:type="dxa"/>
            <w:tcBorders>
              <w:top w:val="nil"/>
              <w:left w:val="nil"/>
              <w:bottom w:val="nil"/>
              <w:right w:val="nil"/>
            </w:tcBorders>
            <w:shd w:val="clear" w:color="auto" w:fill="auto"/>
            <w:noWrap/>
            <w:vAlign w:val="bottom"/>
            <w:hideMark/>
          </w:tcPr>
          <w:p w14:paraId="22FA2B07" w14:textId="77777777" w:rsidR="00D41070" w:rsidRPr="000457E4" w:rsidRDefault="00D41070" w:rsidP="0082494C">
            <w:pPr>
              <w:spacing w:line="240" w:lineRule="auto"/>
              <w:jc w:val="both"/>
              <w:rPr>
                <w:color w:val="000000"/>
                <w:lang w:val="en-GB"/>
              </w:rPr>
            </w:pPr>
            <w:r>
              <w:rPr>
                <w:color w:val="000000"/>
                <w:lang w:val="en-GB"/>
              </w:rPr>
              <w:t>3.10</w:t>
            </w:r>
          </w:p>
        </w:tc>
        <w:tc>
          <w:tcPr>
            <w:tcW w:w="1327" w:type="dxa"/>
            <w:tcBorders>
              <w:top w:val="nil"/>
              <w:left w:val="nil"/>
              <w:bottom w:val="nil"/>
              <w:right w:val="nil"/>
            </w:tcBorders>
            <w:shd w:val="clear" w:color="auto" w:fill="auto"/>
            <w:noWrap/>
            <w:vAlign w:val="bottom"/>
            <w:hideMark/>
          </w:tcPr>
          <w:p w14:paraId="7251805C" w14:textId="77777777" w:rsidR="00D41070" w:rsidRPr="000457E4" w:rsidRDefault="00D41070" w:rsidP="0082494C">
            <w:pPr>
              <w:spacing w:line="240" w:lineRule="auto"/>
              <w:jc w:val="both"/>
              <w:rPr>
                <w:color w:val="000000"/>
                <w:lang w:val="en-GB"/>
              </w:rPr>
            </w:pPr>
            <w:r w:rsidRPr="000457E4">
              <w:rPr>
                <w:color w:val="000000"/>
                <w:lang w:val="en-GB"/>
              </w:rPr>
              <w:t>(</w:t>
            </w:r>
            <w:r>
              <w:rPr>
                <w:color w:val="000000"/>
                <w:lang w:val="en-GB"/>
              </w:rPr>
              <w:t>0.65</w:t>
            </w:r>
            <w:r w:rsidRPr="000457E4">
              <w:rPr>
                <w:color w:val="000000"/>
                <w:lang w:val="en-GB"/>
              </w:rPr>
              <w:t>)</w:t>
            </w:r>
          </w:p>
        </w:tc>
        <w:tc>
          <w:tcPr>
            <w:tcW w:w="160" w:type="dxa"/>
            <w:tcBorders>
              <w:top w:val="nil"/>
              <w:left w:val="nil"/>
              <w:bottom w:val="nil"/>
              <w:right w:val="nil"/>
            </w:tcBorders>
            <w:shd w:val="clear" w:color="auto" w:fill="auto"/>
            <w:noWrap/>
            <w:vAlign w:val="bottom"/>
            <w:hideMark/>
          </w:tcPr>
          <w:p w14:paraId="3BB63AF0" w14:textId="77777777" w:rsidR="00D41070" w:rsidRPr="00773C98" w:rsidRDefault="00D41070" w:rsidP="0082494C">
            <w:pPr>
              <w:spacing w:line="240" w:lineRule="auto"/>
              <w:jc w:val="both"/>
              <w:rPr>
                <w:color w:val="000000"/>
              </w:rPr>
            </w:pPr>
          </w:p>
        </w:tc>
        <w:tc>
          <w:tcPr>
            <w:tcW w:w="1059" w:type="dxa"/>
            <w:tcBorders>
              <w:top w:val="nil"/>
              <w:left w:val="nil"/>
              <w:bottom w:val="nil"/>
              <w:right w:val="nil"/>
            </w:tcBorders>
            <w:shd w:val="clear" w:color="auto" w:fill="auto"/>
            <w:noWrap/>
            <w:vAlign w:val="bottom"/>
            <w:hideMark/>
          </w:tcPr>
          <w:p w14:paraId="58FFEA38" w14:textId="77777777" w:rsidR="00D41070" w:rsidRPr="00773C98" w:rsidRDefault="00D41070" w:rsidP="0082494C">
            <w:pPr>
              <w:spacing w:line="240" w:lineRule="auto"/>
              <w:jc w:val="both"/>
              <w:rPr>
                <w:color w:val="000000"/>
              </w:rPr>
            </w:pPr>
            <w:r>
              <w:rPr>
                <w:color w:val="000000"/>
              </w:rPr>
              <w:t>3.18</w:t>
            </w:r>
          </w:p>
        </w:tc>
        <w:tc>
          <w:tcPr>
            <w:tcW w:w="1327" w:type="dxa"/>
            <w:tcBorders>
              <w:top w:val="nil"/>
              <w:left w:val="nil"/>
              <w:bottom w:val="nil"/>
              <w:right w:val="nil"/>
            </w:tcBorders>
            <w:shd w:val="clear" w:color="auto" w:fill="auto"/>
            <w:noWrap/>
            <w:vAlign w:val="bottom"/>
            <w:hideMark/>
          </w:tcPr>
          <w:p w14:paraId="6CC948CC" w14:textId="77777777" w:rsidR="00D41070" w:rsidRPr="00773C98" w:rsidRDefault="00D41070" w:rsidP="0082494C">
            <w:pPr>
              <w:spacing w:line="240" w:lineRule="auto"/>
              <w:jc w:val="both"/>
              <w:rPr>
                <w:color w:val="000000"/>
              </w:rPr>
            </w:pPr>
            <w:r w:rsidRPr="00773C98">
              <w:rPr>
                <w:color w:val="000000"/>
              </w:rPr>
              <w:t>(</w:t>
            </w:r>
            <w:r>
              <w:rPr>
                <w:color w:val="000000"/>
              </w:rPr>
              <w:t>0.68</w:t>
            </w:r>
            <w:r w:rsidRPr="00773C98">
              <w:rPr>
                <w:color w:val="000000"/>
              </w:rPr>
              <w:t>)</w:t>
            </w:r>
          </w:p>
        </w:tc>
        <w:tc>
          <w:tcPr>
            <w:tcW w:w="160" w:type="dxa"/>
            <w:tcBorders>
              <w:top w:val="nil"/>
              <w:left w:val="nil"/>
              <w:bottom w:val="nil"/>
              <w:right w:val="nil"/>
            </w:tcBorders>
            <w:shd w:val="clear" w:color="auto" w:fill="auto"/>
            <w:noWrap/>
            <w:vAlign w:val="bottom"/>
            <w:hideMark/>
          </w:tcPr>
          <w:p w14:paraId="00FAADE1" w14:textId="77777777" w:rsidR="00D41070" w:rsidRPr="00773C98" w:rsidRDefault="00D41070" w:rsidP="0082494C">
            <w:pPr>
              <w:spacing w:line="240" w:lineRule="auto"/>
              <w:jc w:val="both"/>
              <w:rPr>
                <w:color w:val="000000"/>
              </w:rPr>
            </w:pPr>
          </w:p>
        </w:tc>
        <w:tc>
          <w:tcPr>
            <w:tcW w:w="972" w:type="dxa"/>
            <w:tcBorders>
              <w:top w:val="nil"/>
              <w:left w:val="nil"/>
              <w:bottom w:val="nil"/>
              <w:right w:val="nil"/>
            </w:tcBorders>
            <w:shd w:val="clear" w:color="auto" w:fill="auto"/>
            <w:noWrap/>
            <w:vAlign w:val="bottom"/>
            <w:hideMark/>
          </w:tcPr>
          <w:p w14:paraId="2BED3647" w14:textId="77777777" w:rsidR="00D41070" w:rsidRPr="00773C98" w:rsidRDefault="00D41070" w:rsidP="0082494C">
            <w:pPr>
              <w:spacing w:line="240" w:lineRule="auto"/>
              <w:jc w:val="both"/>
              <w:rPr>
                <w:color w:val="000000"/>
              </w:rPr>
            </w:pPr>
            <w:r>
              <w:rPr>
                <w:color w:val="000000"/>
              </w:rPr>
              <w:t>-0.71</w:t>
            </w:r>
          </w:p>
        </w:tc>
        <w:tc>
          <w:tcPr>
            <w:tcW w:w="615" w:type="dxa"/>
            <w:tcBorders>
              <w:top w:val="nil"/>
              <w:left w:val="nil"/>
              <w:bottom w:val="nil"/>
              <w:right w:val="nil"/>
            </w:tcBorders>
            <w:shd w:val="clear" w:color="auto" w:fill="auto"/>
            <w:noWrap/>
            <w:vAlign w:val="bottom"/>
            <w:hideMark/>
          </w:tcPr>
          <w:p w14:paraId="46481BB5" w14:textId="77777777" w:rsidR="00D41070" w:rsidRPr="00773C98" w:rsidRDefault="00D41070" w:rsidP="0082494C">
            <w:pPr>
              <w:spacing w:line="240" w:lineRule="auto"/>
              <w:jc w:val="both"/>
              <w:rPr>
                <w:color w:val="000000"/>
              </w:rPr>
            </w:pPr>
            <w:r>
              <w:rPr>
                <w:color w:val="000000"/>
              </w:rPr>
              <w:t>.48</w:t>
            </w:r>
          </w:p>
        </w:tc>
        <w:tc>
          <w:tcPr>
            <w:tcW w:w="972" w:type="dxa"/>
            <w:tcBorders>
              <w:top w:val="nil"/>
              <w:left w:val="nil"/>
              <w:bottom w:val="nil"/>
              <w:right w:val="nil"/>
            </w:tcBorders>
            <w:shd w:val="clear" w:color="auto" w:fill="auto"/>
            <w:noWrap/>
            <w:vAlign w:val="bottom"/>
            <w:hideMark/>
          </w:tcPr>
          <w:p w14:paraId="575BD2E5" w14:textId="77777777" w:rsidR="00D41070" w:rsidRPr="00773C98" w:rsidRDefault="00D41070" w:rsidP="0082494C">
            <w:pPr>
              <w:spacing w:line="240" w:lineRule="auto"/>
              <w:jc w:val="both"/>
              <w:rPr>
                <w:color w:val="000000"/>
              </w:rPr>
            </w:pPr>
            <w:r>
              <w:rPr>
                <w:color w:val="000000"/>
              </w:rPr>
              <w:t>-0.13</w:t>
            </w:r>
          </w:p>
        </w:tc>
      </w:tr>
      <w:tr w:rsidR="00D41070" w:rsidRPr="00773C98" w14:paraId="417C43D0" w14:textId="77777777" w:rsidTr="0082494C">
        <w:trPr>
          <w:trHeight w:val="288"/>
        </w:trPr>
        <w:tc>
          <w:tcPr>
            <w:tcW w:w="1410" w:type="dxa"/>
            <w:tcBorders>
              <w:top w:val="nil"/>
              <w:left w:val="nil"/>
              <w:bottom w:val="nil"/>
              <w:right w:val="nil"/>
            </w:tcBorders>
            <w:shd w:val="clear" w:color="auto" w:fill="auto"/>
            <w:noWrap/>
            <w:vAlign w:val="center"/>
            <w:hideMark/>
          </w:tcPr>
          <w:p w14:paraId="0C38941F" w14:textId="5688FB37" w:rsidR="00D41070" w:rsidRPr="00763EAA" w:rsidRDefault="00370ACA" w:rsidP="0082494C">
            <w:pPr>
              <w:spacing w:line="240" w:lineRule="auto"/>
              <w:jc w:val="both"/>
              <w:rPr>
                <w:iCs/>
                <w:color w:val="000000"/>
                <w:lang w:val="en-GB"/>
              </w:rPr>
            </w:pPr>
            <w:r w:rsidRPr="00370ACA">
              <w:rPr>
                <w:iCs/>
                <w:color w:val="000000"/>
                <w:sz w:val="2"/>
                <w:szCs w:val="2"/>
                <w:lang w:val="en-GB"/>
              </w:rPr>
              <w:t>.</w:t>
            </w:r>
            <m:oMath>
              <m:r>
                <w:rPr>
                  <w:rFonts w:ascii="Cambria Math" w:hAnsi="Cambria Math"/>
                  <w:color w:val="000000"/>
                  <w:lang w:val="en-GB"/>
                </w:rPr>
                <m:t>α</m:t>
              </m:r>
            </m:oMath>
          </w:p>
        </w:tc>
        <w:tc>
          <w:tcPr>
            <w:tcW w:w="1058" w:type="dxa"/>
            <w:tcBorders>
              <w:top w:val="nil"/>
              <w:left w:val="nil"/>
              <w:bottom w:val="nil"/>
              <w:right w:val="nil"/>
            </w:tcBorders>
            <w:shd w:val="clear" w:color="auto" w:fill="auto"/>
            <w:noWrap/>
            <w:vAlign w:val="bottom"/>
            <w:hideMark/>
          </w:tcPr>
          <w:p w14:paraId="71972F78" w14:textId="77777777" w:rsidR="00D41070" w:rsidRPr="000457E4" w:rsidRDefault="00D41070" w:rsidP="0082494C">
            <w:pPr>
              <w:spacing w:line="240" w:lineRule="auto"/>
              <w:jc w:val="both"/>
              <w:rPr>
                <w:color w:val="000000"/>
                <w:lang w:val="en-GB"/>
              </w:rPr>
            </w:pPr>
            <w:r>
              <w:rPr>
                <w:color w:val="000000"/>
                <w:lang w:val="en-GB"/>
              </w:rPr>
              <w:t>0.40</w:t>
            </w:r>
          </w:p>
        </w:tc>
        <w:tc>
          <w:tcPr>
            <w:tcW w:w="1327" w:type="dxa"/>
            <w:tcBorders>
              <w:top w:val="nil"/>
              <w:left w:val="nil"/>
              <w:bottom w:val="nil"/>
              <w:right w:val="nil"/>
            </w:tcBorders>
            <w:shd w:val="clear" w:color="auto" w:fill="auto"/>
            <w:noWrap/>
            <w:vAlign w:val="bottom"/>
            <w:hideMark/>
          </w:tcPr>
          <w:p w14:paraId="5004F000" w14:textId="77777777" w:rsidR="00D41070" w:rsidRPr="000457E4" w:rsidRDefault="00D41070" w:rsidP="0082494C">
            <w:pPr>
              <w:spacing w:line="240" w:lineRule="auto"/>
              <w:jc w:val="both"/>
              <w:rPr>
                <w:color w:val="000000"/>
                <w:lang w:val="en-GB"/>
              </w:rPr>
            </w:pPr>
            <w:r w:rsidRPr="000457E4">
              <w:rPr>
                <w:color w:val="000000"/>
                <w:lang w:val="en-GB"/>
              </w:rPr>
              <w:t>(</w:t>
            </w:r>
            <w:r>
              <w:rPr>
                <w:color w:val="000000"/>
                <w:lang w:val="en-GB"/>
              </w:rPr>
              <w:t>0.31</w:t>
            </w:r>
            <w:r w:rsidRPr="000457E4">
              <w:rPr>
                <w:color w:val="000000"/>
                <w:lang w:val="en-GB"/>
              </w:rPr>
              <w:t>)</w:t>
            </w:r>
          </w:p>
        </w:tc>
        <w:tc>
          <w:tcPr>
            <w:tcW w:w="160" w:type="dxa"/>
            <w:tcBorders>
              <w:top w:val="nil"/>
              <w:left w:val="nil"/>
              <w:bottom w:val="nil"/>
              <w:right w:val="nil"/>
            </w:tcBorders>
            <w:shd w:val="clear" w:color="auto" w:fill="auto"/>
            <w:noWrap/>
            <w:vAlign w:val="bottom"/>
            <w:hideMark/>
          </w:tcPr>
          <w:p w14:paraId="68780EEF" w14:textId="77777777" w:rsidR="00D41070" w:rsidRPr="00773C98" w:rsidRDefault="00D41070" w:rsidP="0082494C">
            <w:pPr>
              <w:spacing w:line="240" w:lineRule="auto"/>
              <w:jc w:val="both"/>
              <w:rPr>
                <w:color w:val="000000"/>
              </w:rPr>
            </w:pPr>
          </w:p>
        </w:tc>
        <w:tc>
          <w:tcPr>
            <w:tcW w:w="1059" w:type="dxa"/>
            <w:tcBorders>
              <w:top w:val="nil"/>
              <w:left w:val="nil"/>
              <w:bottom w:val="nil"/>
              <w:right w:val="nil"/>
            </w:tcBorders>
            <w:shd w:val="clear" w:color="auto" w:fill="auto"/>
            <w:noWrap/>
            <w:vAlign w:val="bottom"/>
            <w:hideMark/>
          </w:tcPr>
          <w:p w14:paraId="60E1C5FB" w14:textId="77777777" w:rsidR="00D41070" w:rsidRPr="00773C98" w:rsidRDefault="00D41070" w:rsidP="0082494C">
            <w:pPr>
              <w:spacing w:line="240" w:lineRule="auto"/>
              <w:jc w:val="both"/>
              <w:rPr>
                <w:color w:val="000000"/>
              </w:rPr>
            </w:pPr>
            <w:r>
              <w:rPr>
                <w:color w:val="000000"/>
              </w:rPr>
              <w:t>0.35</w:t>
            </w:r>
          </w:p>
        </w:tc>
        <w:tc>
          <w:tcPr>
            <w:tcW w:w="1327" w:type="dxa"/>
            <w:tcBorders>
              <w:top w:val="nil"/>
              <w:left w:val="nil"/>
              <w:bottom w:val="nil"/>
              <w:right w:val="nil"/>
            </w:tcBorders>
            <w:shd w:val="clear" w:color="auto" w:fill="auto"/>
            <w:noWrap/>
            <w:vAlign w:val="bottom"/>
            <w:hideMark/>
          </w:tcPr>
          <w:p w14:paraId="5075223F" w14:textId="77777777" w:rsidR="00D41070" w:rsidRPr="00773C98" w:rsidRDefault="00D41070" w:rsidP="0082494C">
            <w:pPr>
              <w:spacing w:line="240" w:lineRule="auto"/>
              <w:jc w:val="both"/>
              <w:rPr>
                <w:color w:val="000000"/>
              </w:rPr>
            </w:pPr>
            <w:r w:rsidRPr="00773C98">
              <w:rPr>
                <w:color w:val="000000"/>
              </w:rPr>
              <w:t>(</w:t>
            </w:r>
            <w:r>
              <w:rPr>
                <w:color w:val="000000"/>
              </w:rPr>
              <w:t>0.36</w:t>
            </w:r>
            <w:r w:rsidRPr="00773C98">
              <w:rPr>
                <w:color w:val="000000"/>
              </w:rPr>
              <w:t>)</w:t>
            </w:r>
          </w:p>
        </w:tc>
        <w:tc>
          <w:tcPr>
            <w:tcW w:w="160" w:type="dxa"/>
            <w:tcBorders>
              <w:top w:val="nil"/>
              <w:left w:val="nil"/>
              <w:bottom w:val="nil"/>
              <w:right w:val="nil"/>
            </w:tcBorders>
            <w:shd w:val="clear" w:color="auto" w:fill="auto"/>
            <w:noWrap/>
            <w:vAlign w:val="bottom"/>
            <w:hideMark/>
          </w:tcPr>
          <w:p w14:paraId="38AFB297" w14:textId="77777777" w:rsidR="00D41070" w:rsidRPr="00773C98" w:rsidRDefault="00D41070" w:rsidP="0082494C">
            <w:pPr>
              <w:spacing w:line="240" w:lineRule="auto"/>
              <w:jc w:val="both"/>
              <w:rPr>
                <w:color w:val="000000"/>
              </w:rPr>
            </w:pPr>
          </w:p>
        </w:tc>
        <w:tc>
          <w:tcPr>
            <w:tcW w:w="972" w:type="dxa"/>
            <w:tcBorders>
              <w:top w:val="nil"/>
              <w:left w:val="nil"/>
              <w:bottom w:val="nil"/>
              <w:right w:val="nil"/>
            </w:tcBorders>
            <w:shd w:val="clear" w:color="auto" w:fill="auto"/>
            <w:noWrap/>
            <w:vAlign w:val="bottom"/>
            <w:hideMark/>
          </w:tcPr>
          <w:p w14:paraId="47630D51" w14:textId="77777777" w:rsidR="00D41070" w:rsidRPr="00773C98" w:rsidRDefault="00D41070" w:rsidP="0082494C">
            <w:pPr>
              <w:spacing w:line="240" w:lineRule="auto"/>
              <w:jc w:val="both"/>
              <w:rPr>
                <w:color w:val="000000"/>
              </w:rPr>
            </w:pPr>
            <w:r>
              <w:rPr>
                <w:color w:val="000000"/>
              </w:rPr>
              <w:t>0.89</w:t>
            </w:r>
          </w:p>
        </w:tc>
        <w:tc>
          <w:tcPr>
            <w:tcW w:w="615" w:type="dxa"/>
            <w:tcBorders>
              <w:top w:val="nil"/>
              <w:left w:val="nil"/>
              <w:bottom w:val="nil"/>
              <w:right w:val="nil"/>
            </w:tcBorders>
            <w:shd w:val="clear" w:color="auto" w:fill="auto"/>
            <w:noWrap/>
            <w:vAlign w:val="bottom"/>
            <w:hideMark/>
          </w:tcPr>
          <w:p w14:paraId="3E02BAB0" w14:textId="77777777" w:rsidR="00D41070" w:rsidRPr="00773C98" w:rsidRDefault="00D41070" w:rsidP="0082494C">
            <w:pPr>
              <w:spacing w:line="240" w:lineRule="auto"/>
              <w:jc w:val="both"/>
              <w:rPr>
                <w:color w:val="000000"/>
              </w:rPr>
            </w:pPr>
            <w:r>
              <w:rPr>
                <w:color w:val="000000"/>
              </w:rPr>
              <w:t>.38</w:t>
            </w:r>
          </w:p>
        </w:tc>
        <w:tc>
          <w:tcPr>
            <w:tcW w:w="972" w:type="dxa"/>
            <w:tcBorders>
              <w:top w:val="nil"/>
              <w:left w:val="nil"/>
              <w:bottom w:val="nil"/>
              <w:right w:val="nil"/>
            </w:tcBorders>
            <w:shd w:val="clear" w:color="auto" w:fill="auto"/>
            <w:noWrap/>
            <w:vAlign w:val="bottom"/>
            <w:hideMark/>
          </w:tcPr>
          <w:p w14:paraId="09C0B8C0" w14:textId="77777777" w:rsidR="00D41070" w:rsidRPr="00773C98" w:rsidRDefault="00D41070" w:rsidP="0082494C">
            <w:pPr>
              <w:spacing w:line="240" w:lineRule="auto"/>
              <w:jc w:val="both"/>
              <w:rPr>
                <w:color w:val="000000"/>
              </w:rPr>
            </w:pPr>
            <w:r>
              <w:rPr>
                <w:color w:val="000000"/>
              </w:rPr>
              <w:t>0.15</w:t>
            </w:r>
          </w:p>
        </w:tc>
      </w:tr>
      <w:tr w:rsidR="00D41070" w:rsidRPr="00773C98" w14:paraId="17D1BF5C" w14:textId="77777777" w:rsidTr="0082494C">
        <w:trPr>
          <w:trHeight w:val="312"/>
        </w:trPr>
        <w:tc>
          <w:tcPr>
            <w:tcW w:w="1410" w:type="dxa"/>
            <w:tcBorders>
              <w:top w:val="nil"/>
              <w:left w:val="nil"/>
              <w:bottom w:val="nil"/>
              <w:right w:val="nil"/>
            </w:tcBorders>
            <w:shd w:val="clear" w:color="auto" w:fill="auto"/>
            <w:noWrap/>
            <w:vAlign w:val="center"/>
            <w:hideMark/>
          </w:tcPr>
          <w:p w14:paraId="574266E4" w14:textId="77777777" w:rsidR="00D41070" w:rsidRPr="000457E4" w:rsidRDefault="00D41070" w:rsidP="0082494C">
            <w:pPr>
              <w:spacing w:line="240" w:lineRule="auto"/>
              <w:jc w:val="both"/>
              <w:rPr>
                <w:i/>
                <w:color w:val="000000"/>
                <w:lang w:val="en-GB"/>
              </w:rPr>
            </w:pPr>
            <w:r w:rsidRPr="000457E4">
              <w:rPr>
                <w:i/>
                <w:color w:val="000000"/>
                <w:lang w:val="en-GB"/>
              </w:rPr>
              <w:t>w</w:t>
            </w:r>
            <w:r w:rsidRPr="000457E4">
              <w:rPr>
                <w:i/>
                <w:color w:val="000000"/>
                <w:vertAlign w:val="subscript"/>
                <w:lang w:val="en-GB"/>
              </w:rPr>
              <w:t>index</w:t>
            </w:r>
          </w:p>
        </w:tc>
        <w:tc>
          <w:tcPr>
            <w:tcW w:w="1058" w:type="dxa"/>
            <w:tcBorders>
              <w:top w:val="nil"/>
              <w:left w:val="nil"/>
              <w:bottom w:val="nil"/>
              <w:right w:val="nil"/>
            </w:tcBorders>
            <w:shd w:val="clear" w:color="auto" w:fill="auto"/>
            <w:noWrap/>
            <w:vAlign w:val="bottom"/>
            <w:hideMark/>
          </w:tcPr>
          <w:p w14:paraId="29721AFC" w14:textId="77777777" w:rsidR="00D41070" w:rsidRPr="000457E4" w:rsidRDefault="00D41070" w:rsidP="0082494C">
            <w:pPr>
              <w:spacing w:line="240" w:lineRule="auto"/>
              <w:jc w:val="both"/>
              <w:rPr>
                <w:color w:val="000000"/>
                <w:lang w:val="en-GB"/>
              </w:rPr>
            </w:pPr>
            <w:r>
              <w:rPr>
                <w:color w:val="000000"/>
                <w:lang w:val="en-GB"/>
              </w:rPr>
              <w:t>0.54</w:t>
            </w:r>
          </w:p>
        </w:tc>
        <w:tc>
          <w:tcPr>
            <w:tcW w:w="1327" w:type="dxa"/>
            <w:tcBorders>
              <w:top w:val="nil"/>
              <w:left w:val="nil"/>
              <w:bottom w:val="nil"/>
              <w:right w:val="nil"/>
            </w:tcBorders>
            <w:shd w:val="clear" w:color="auto" w:fill="auto"/>
            <w:noWrap/>
            <w:vAlign w:val="bottom"/>
            <w:hideMark/>
          </w:tcPr>
          <w:p w14:paraId="19820D71" w14:textId="77777777" w:rsidR="00D41070" w:rsidRPr="000457E4" w:rsidRDefault="00D41070" w:rsidP="0082494C">
            <w:pPr>
              <w:spacing w:line="240" w:lineRule="auto"/>
              <w:jc w:val="both"/>
              <w:rPr>
                <w:color w:val="000000"/>
                <w:lang w:val="en-GB"/>
              </w:rPr>
            </w:pPr>
            <w:r w:rsidRPr="000457E4">
              <w:rPr>
                <w:color w:val="000000"/>
                <w:lang w:val="en-GB"/>
              </w:rPr>
              <w:t>(</w:t>
            </w:r>
            <w:r>
              <w:rPr>
                <w:color w:val="000000"/>
                <w:lang w:val="en-GB"/>
              </w:rPr>
              <w:t>0.10</w:t>
            </w:r>
            <w:r w:rsidRPr="000457E4">
              <w:rPr>
                <w:color w:val="000000"/>
                <w:lang w:val="en-GB"/>
              </w:rPr>
              <w:t>)</w:t>
            </w:r>
          </w:p>
        </w:tc>
        <w:tc>
          <w:tcPr>
            <w:tcW w:w="160" w:type="dxa"/>
            <w:tcBorders>
              <w:top w:val="nil"/>
              <w:left w:val="nil"/>
              <w:bottom w:val="nil"/>
              <w:right w:val="nil"/>
            </w:tcBorders>
            <w:shd w:val="clear" w:color="auto" w:fill="auto"/>
            <w:noWrap/>
            <w:vAlign w:val="bottom"/>
            <w:hideMark/>
          </w:tcPr>
          <w:p w14:paraId="2D4A5E00" w14:textId="77777777" w:rsidR="00D41070" w:rsidRPr="00773C98" w:rsidRDefault="00D41070" w:rsidP="0082494C">
            <w:pPr>
              <w:spacing w:line="240" w:lineRule="auto"/>
              <w:jc w:val="both"/>
              <w:rPr>
                <w:color w:val="000000"/>
              </w:rPr>
            </w:pPr>
          </w:p>
        </w:tc>
        <w:tc>
          <w:tcPr>
            <w:tcW w:w="1059" w:type="dxa"/>
            <w:tcBorders>
              <w:top w:val="nil"/>
              <w:left w:val="nil"/>
              <w:bottom w:val="nil"/>
              <w:right w:val="nil"/>
            </w:tcBorders>
            <w:shd w:val="clear" w:color="auto" w:fill="auto"/>
            <w:noWrap/>
            <w:vAlign w:val="bottom"/>
            <w:hideMark/>
          </w:tcPr>
          <w:p w14:paraId="1904F773" w14:textId="77777777" w:rsidR="00D41070" w:rsidRPr="00773C98" w:rsidRDefault="00D41070" w:rsidP="0082494C">
            <w:pPr>
              <w:spacing w:line="240" w:lineRule="auto"/>
              <w:jc w:val="both"/>
              <w:rPr>
                <w:color w:val="000000"/>
              </w:rPr>
            </w:pPr>
            <w:r>
              <w:rPr>
                <w:color w:val="000000"/>
              </w:rPr>
              <w:t>0.50</w:t>
            </w:r>
          </w:p>
        </w:tc>
        <w:tc>
          <w:tcPr>
            <w:tcW w:w="1327" w:type="dxa"/>
            <w:tcBorders>
              <w:top w:val="nil"/>
              <w:left w:val="nil"/>
              <w:bottom w:val="nil"/>
              <w:right w:val="nil"/>
            </w:tcBorders>
            <w:shd w:val="clear" w:color="auto" w:fill="auto"/>
            <w:noWrap/>
            <w:vAlign w:val="bottom"/>
            <w:hideMark/>
          </w:tcPr>
          <w:p w14:paraId="6E95BB42" w14:textId="77777777" w:rsidR="00D41070" w:rsidRPr="00773C98" w:rsidRDefault="00D41070" w:rsidP="0082494C">
            <w:pPr>
              <w:spacing w:line="240" w:lineRule="auto"/>
              <w:jc w:val="both"/>
              <w:rPr>
                <w:color w:val="000000"/>
              </w:rPr>
            </w:pPr>
            <w:r w:rsidRPr="00773C98">
              <w:rPr>
                <w:color w:val="000000"/>
              </w:rPr>
              <w:t>(</w:t>
            </w:r>
            <w:r>
              <w:rPr>
                <w:color w:val="000000"/>
              </w:rPr>
              <w:t>0.10</w:t>
            </w:r>
            <w:r w:rsidRPr="00773C98">
              <w:rPr>
                <w:color w:val="000000"/>
              </w:rPr>
              <w:t>)</w:t>
            </w:r>
          </w:p>
        </w:tc>
        <w:tc>
          <w:tcPr>
            <w:tcW w:w="160" w:type="dxa"/>
            <w:tcBorders>
              <w:top w:val="nil"/>
              <w:left w:val="nil"/>
              <w:bottom w:val="nil"/>
              <w:right w:val="nil"/>
            </w:tcBorders>
            <w:shd w:val="clear" w:color="auto" w:fill="auto"/>
            <w:noWrap/>
            <w:vAlign w:val="bottom"/>
            <w:hideMark/>
          </w:tcPr>
          <w:p w14:paraId="013DD3EF" w14:textId="77777777" w:rsidR="00D41070" w:rsidRPr="00773C98" w:rsidRDefault="00D41070" w:rsidP="0082494C">
            <w:pPr>
              <w:spacing w:line="240" w:lineRule="auto"/>
              <w:jc w:val="both"/>
              <w:rPr>
                <w:color w:val="000000"/>
              </w:rPr>
            </w:pPr>
          </w:p>
        </w:tc>
        <w:tc>
          <w:tcPr>
            <w:tcW w:w="972" w:type="dxa"/>
            <w:tcBorders>
              <w:top w:val="nil"/>
              <w:left w:val="nil"/>
              <w:bottom w:val="nil"/>
              <w:right w:val="nil"/>
            </w:tcBorders>
            <w:shd w:val="clear" w:color="auto" w:fill="auto"/>
            <w:noWrap/>
            <w:vAlign w:val="bottom"/>
            <w:hideMark/>
          </w:tcPr>
          <w:p w14:paraId="3BF81C2A" w14:textId="77777777" w:rsidR="00D41070" w:rsidRPr="00773C98" w:rsidRDefault="00D41070" w:rsidP="0082494C">
            <w:pPr>
              <w:spacing w:line="240" w:lineRule="auto"/>
              <w:jc w:val="both"/>
              <w:rPr>
                <w:color w:val="000000"/>
              </w:rPr>
            </w:pPr>
            <w:r>
              <w:rPr>
                <w:color w:val="000000"/>
              </w:rPr>
              <w:t>2.23</w:t>
            </w:r>
          </w:p>
        </w:tc>
        <w:tc>
          <w:tcPr>
            <w:tcW w:w="615" w:type="dxa"/>
            <w:tcBorders>
              <w:top w:val="nil"/>
              <w:left w:val="nil"/>
              <w:bottom w:val="nil"/>
              <w:right w:val="nil"/>
            </w:tcBorders>
            <w:shd w:val="clear" w:color="auto" w:fill="auto"/>
            <w:noWrap/>
            <w:vAlign w:val="bottom"/>
            <w:hideMark/>
          </w:tcPr>
          <w:p w14:paraId="385D54C5" w14:textId="77777777" w:rsidR="00D41070" w:rsidRPr="00773C98" w:rsidRDefault="00D41070" w:rsidP="0082494C">
            <w:pPr>
              <w:spacing w:line="240" w:lineRule="auto"/>
              <w:jc w:val="both"/>
              <w:rPr>
                <w:color w:val="000000"/>
              </w:rPr>
            </w:pPr>
            <w:r>
              <w:rPr>
                <w:color w:val="000000"/>
              </w:rPr>
              <w:t>.03</w:t>
            </w:r>
          </w:p>
        </w:tc>
        <w:tc>
          <w:tcPr>
            <w:tcW w:w="972" w:type="dxa"/>
            <w:tcBorders>
              <w:top w:val="nil"/>
              <w:left w:val="nil"/>
              <w:bottom w:val="nil"/>
              <w:right w:val="nil"/>
            </w:tcBorders>
            <w:shd w:val="clear" w:color="auto" w:fill="auto"/>
            <w:noWrap/>
            <w:vAlign w:val="bottom"/>
            <w:hideMark/>
          </w:tcPr>
          <w:p w14:paraId="6F89E2E1" w14:textId="77777777" w:rsidR="00D41070" w:rsidRPr="00773C98" w:rsidRDefault="00D41070" w:rsidP="0082494C">
            <w:pPr>
              <w:spacing w:line="240" w:lineRule="auto"/>
              <w:jc w:val="both"/>
              <w:rPr>
                <w:color w:val="000000"/>
              </w:rPr>
            </w:pPr>
            <w:r>
              <w:rPr>
                <w:color w:val="000000"/>
              </w:rPr>
              <w:t>0.41</w:t>
            </w:r>
          </w:p>
        </w:tc>
      </w:tr>
      <w:tr w:rsidR="00D41070" w:rsidRPr="00773C98" w14:paraId="61743D6D" w14:textId="77777777" w:rsidTr="0082494C">
        <w:trPr>
          <w:trHeight w:val="288"/>
        </w:trPr>
        <w:tc>
          <w:tcPr>
            <w:tcW w:w="1410" w:type="dxa"/>
            <w:tcBorders>
              <w:top w:val="nil"/>
              <w:left w:val="nil"/>
              <w:bottom w:val="nil"/>
              <w:right w:val="nil"/>
            </w:tcBorders>
            <w:shd w:val="clear" w:color="auto" w:fill="auto"/>
            <w:noWrap/>
            <w:vAlign w:val="center"/>
            <w:hideMark/>
          </w:tcPr>
          <w:p w14:paraId="64A6FC5E" w14:textId="77777777" w:rsidR="00D41070" w:rsidRPr="0074713E" w:rsidRDefault="00D41070" w:rsidP="0082494C">
            <w:pPr>
              <w:spacing w:line="240" w:lineRule="auto"/>
              <w:jc w:val="both"/>
              <w:rPr>
                <w:iCs/>
                <w:color w:val="000000"/>
                <w:lang w:val="en-GB"/>
              </w:rPr>
            </w:pPr>
            <w:r w:rsidRPr="0074713E">
              <w:rPr>
                <w:iCs/>
                <w:color w:val="000000"/>
                <w:lang w:val="en-GB"/>
              </w:rPr>
              <w:t>Error rate</w:t>
            </w:r>
          </w:p>
        </w:tc>
        <w:tc>
          <w:tcPr>
            <w:tcW w:w="1058" w:type="dxa"/>
            <w:tcBorders>
              <w:top w:val="nil"/>
              <w:left w:val="nil"/>
              <w:bottom w:val="nil"/>
              <w:right w:val="nil"/>
            </w:tcBorders>
            <w:shd w:val="clear" w:color="auto" w:fill="auto"/>
            <w:noWrap/>
            <w:vAlign w:val="bottom"/>
            <w:hideMark/>
          </w:tcPr>
          <w:p w14:paraId="752C9B14" w14:textId="77777777" w:rsidR="00D41070" w:rsidRPr="000457E4" w:rsidRDefault="00D41070" w:rsidP="0082494C">
            <w:pPr>
              <w:spacing w:line="240" w:lineRule="auto"/>
              <w:jc w:val="both"/>
              <w:rPr>
                <w:color w:val="000000"/>
                <w:lang w:val="en-GB"/>
              </w:rPr>
            </w:pPr>
            <w:r>
              <w:rPr>
                <w:color w:val="000000"/>
                <w:lang w:val="en-GB"/>
              </w:rPr>
              <w:t>0.15</w:t>
            </w:r>
          </w:p>
        </w:tc>
        <w:tc>
          <w:tcPr>
            <w:tcW w:w="1327" w:type="dxa"/>
            <w:tcBorders>
              <w:top w:val="nil"/>
              <w:left w:val="nil"/>
              <w:bottom w:val="nil"/>
              <w:right w:val="nil"/>
            </w:tcBorders>
            <w:shd w:val="clear" w:color="auto" w:fill="auto"/>
            <w:noWrap/>
            <w:vAlign w:val="bottom"/>
            <w:hideMark/>
          </w:tcPr>
          <w:p w14:paraId="4B4654E9" w14:textId="77777777" w:rsidR="00D41070" w:rsidRPr="000457E4" w:rsidRDefault="00D41070" w:rsidP="0082494C">
            <w:pPr>
              <w:spacing w:line="240" w:lineRule="auto"/>
              <w:jc w:val="both"/>
              <w:rPr>
                <w:color w:val="000000"/>
                <w:lang w:val="en-GB"/>
              </w:rPr>
            </w:pPr>
            <w:r w:rsidRPr="000457E4">
              <w:rPr>
                <w:color w:val="000000"/>
                <w:lang w:val="en-GB"/>
              </w:rPr>
              <w:t>(</w:t>
            </w:r>
            <w:r>
              <w:rPr>
                <w:color w:val="000000"/>
                <w:lang w:val="en-GB"/>
              </w:rPr>
              <w:t>0.07</w:t>
            </w:r>
            <w:r w:rsidRPr="000457E4">
              <w:rPr>
                <w:color w:val="000000"/>
                <w:lang w:val="en-GB"/>
              </w:rPr>
              <w:t>)</w:t>
            </w:r>
          </w:p>
        </w:tc>
        <w:tc>
          <w:tcPr>
            <w:tcW w:w="160" w:type="dxa"/>
            <w:tcBorders>
              <w:top w:val="nil"/>
              <w:left w:val="nil"/>
              <w:bottom w:val="nil"/>
              <w:right w:val="nil"/>
            </w:tcBorders>
            <w:shd w:val="clear" w:color="auto" w:fill="auto"/>
            <w:noWrap/>
            <w:vAlign w:val="bottom"/>
            <w:hideMark/>
          </w:tcPr>
          <w:p w14:paraId="64345837" w14:textId="77777777" w:rsidR="00D41070" w:rsidRPr="00773C98" w:rsidRDefault="00D41070" w:rsidP="0082494C">
            <w:pPr>
              <w:spacing w:line="240" w:lineRule="auto"/>
              <w:jc w:val="both"/>
              <w:rPr>
                <w:color w:val="000000"/>
              </w:rPr>
            </w:pPr>
          </w:p>
        </w:tc>
        <w:tc>
          <w:tcPr>
            <w:tcW w:w="1059" w:type="dxa"/>
            <w:tcBorders>
              <w:top w:val="nil"/>
              <w:left w:val="nil"/>
              <w:bottom w:val="nil"/>
              <w:right w:val="nil"/>
            </w:tcBorders>
            <w:shd w:val="clear" w:color="auto" w:fill="auto"/>
            <w:noWrap/>
            <w:vAlign w:val="bottom"/>
            <w:hideMark/>
          </w:tcPr>
          <w:p w14:paraId="4729338F" w14:textId="77777777" w:rsidR="00D41070" w:rsidRPr="00773C98" w:rsidRDefault="00D41070" w:rsidP="0082494C">
            <w:pPr>
              <w:spacing w:line="240" w:lineRule="auto"/>
              <w:jc w:val="both"/>
              <w:rPr>
                <w:color w:val="000000"/>
              </w:rPr>
            </w:pPr>
            <w:r>
              <w:rPr>
                <w:color w:val="000000"/>
              </w:rPr>
              <w:t>0.16</w:t>
            </w:r>
          </w:p>
        </w:tc>
        <w:tc>
          <w:tcPr>
            <w:tcW w:w="1327" w:type="dxa"/>
            <w:tcBorders>
              <w:top w:val="nil"/>
              <w:left w:val="nil"/>
              <w:bottom w:val="nil"/>
              <w:right w:val="nil"/>
            </w:tcBorders>
            <w:shd w:val="clear" w:color="auto" w:fill="auto"/>
            <w:noWrap/>
            <w:vAlign w:val="bottom"/>
            <w:hideMark/>
          </w:tcPr>
          <w:p w14:paraId="12ABDF47" w14:textId="77777777" w:rsidR="00D41070" w:rsidRPr="00773C98" w:rsidRDefault="00D41070" w:rsidP="0082494C">
            <w:pPr>
              <w:spacing w:line="240" w:lineRule="auto"/>
              <w:jc w:val="both"/>
              <w:rPr>
                <w:color w:val="000000"/>
              </w:rPr>
            </w:pPr>
            <w:r w:rsidRPr="00773C98">
              <w:rPr>
                <w:color w:val="000000"/>
              </w:rPr>
              <w:t>(</w:t>
            </w:r>
            <w:r>
              <w:rPr>
                <w:color w:val="000000"/>
              </w:rPr>
              <w:t>0.07</w:t>
            </w:r>
            <w:r w:rsidRPr="00773C98">
              <w:rPr>
                <w:color w:val="000000"/>
              </w:rPr>
              <w:t>)</w:t>
            </w:r>
          </w:p>
        </w:tc>
        <w:tc>
          <w:tcPr>
            <w:tcW w:w="160" w:type="dxa"/>
            <w:tcBorders>
              <w:top w:val="nil"/>
              <w:left w:val="nil"/>
              <w:bottom w:val="nil"/>
              <w:right w:val="nil"/>
            </w:tcBorders>
            <w:shd w:val="clear" w:color="auto" w:fill="auto"/>
            <w:noWrap/>
            <w:vAlign w:val="bottom"/>
            <w:hideMark/>
          </w:tcPr>
          <w:p w14:paraId="66A1509A" w14:textId="77777777" w:rsidR="00D41070" w:rsidRPr="00773C98" w:rsidRDefault="00D41070" w:rsidP="0082494C">
            <w:pPr>
              <w:spacing w:line="240" w:lineRule="auto"/>
              <w:jc w:val="both"/>
              <w:rPr>
                <w:color w:val="000000"/>
              </w:rPr>
            </w:pPr>
          </w:p>
        </w:tc>
        <w:tc>
          <w:tcPr>
            <w:tcW w:w="972" w:type="dxa"/>
            <w:tcBorders>
              <w:top w:val="nil"/>
              <w:left w:val="nil"/>
              <w:bottom w:val="nil"/>
              <w:right w:val="nil"/>
            </w:tcBorders>
            <w:shd w:val="clear" w:color="auto" w:fill="auto"/>
            <w:noWrap/>
            <w:vAlign w:val="bottom"/>
            <w:hideMark/>
          </w:tcPr>
          <w:p w14:paraId="559E0B6C" w14:textId="77777777" w:rsidR="00D41070" w:rsidRPr="00773C98" w:rsidRDefault="00D41070" w:rsidP="0082494C">
            <w:pPr>
              <w:spacing w:line="240" w:lineRule="auto"/>
              <w:jc w:val="both"/>
              <w:rPr>
                <w:color w:val="000000"/>
              </w:rPr>
            </w:pPr>
            <w:r>
              <w:rPr>
                <w:color w:val="000000"/>
              </w:rPr>
              <w:t>-0.51</w:t>
            </w:r>
          </w:p>
        </w:tc>
        <w:tc>
          <w:tcPr>
            <w:tcW w:w="615" w:type="dxa"/>
            <w:tcBorders>
              <w:top w:val="nil"/>
              <w:left w:val="nil"/>
              <w:bottom w:val="nil"/>
              <w:right w:val="nil"/>
            </w:tcBorders>
            <w:shd w:val="clear" w:color="auto" w:fill="auto"/>
            <w:noWrap/>
            <w:vAlign w:val="bottom"/>
            <w:hideMark/>
          </w:tcPr>
          <w:p w14:paraId="2B290228" w14:textId="77777777" w:rsidR="00D41070" w:rsidRPr="00773C98" w:rsidRDefault="00D41070" w:rsidP="0082494C">
            <w:pPr>
              <w:spacing w:line="240" w:lineRule="auto"/>
              <w:jc w:val="both"/>
              <w:rPr>
                <w:color w:val="000000"/>
              </w:rPr>
            </w:pPr>
            <w:r>
              <w:rPr>
                <w:color w:val="000000"/>
              </w:rPr>
              <w:t>.61</w:t>
            </w:r>
          </w:p>
        </w:tc>
        <w:tc>
          <w:tcPr>
            <w:tcW w:w="972" w:type="dxa"/>
            <w:tcBorders>
              <w:top w:val="nil"/>
              <w:left w:val="nil"/>
              <w:bottom w:val="nil"/>
              <w:right w:val="nil"/>
            </w:tcBorders>
            <w:shd w:val="clear" w:color="auto" w:fill="auto"/>
            <w:noWrap/>
            <w:vAlign w:val="bottom"/>
            <w:hideMark/>
          </w:tcPr>
          <w:p w14:paraId="5F447CCA" w14:textId="77777777" w:rsidR="00D41070" w:rsidRPr="00773C98" w:rsidRDefault="00D41070" w:rsidP="0082494C">
            <w:pPr>
              <w:spacing w:line="240" w:lineRule="auto"/>
              <w:jc w:val="both"/>
              <w:rPr>
                <w:color w:val="000000"/>
              </w:rPr>
            </w:pPr>
            <w:r>
              <w:rPr>
                <w:color w:val="000000"/>
              </w:rPr>
              <w:t>-0.09</w:t>
            </w:r>
          </w:p>
        </w:tc>
      </w:tr>
      <w:tr w:rsidR="00D41070" w:rsidRPr="000122EF" w14:paraId="27511510" w14:textId="77777777" w:rsidTr="0082494C">
        <w:trPr>
          <w:trHeight w:val="600"/>
        </w:trPr>
        <w:tc>
          <w:tcPr>
            <w:tcW w:w="9060" w:type="dxa"/>
            <w:gridSpan w:val="10"/>
            <w:tcBorders>
              <w:top w:val="single" w:sz="4" w:space="0" w:color="auto"/>
              <w:left w:val="nil"/>
              <w:bottom w:val="nil"/>
              <w:right w:val="nil"/>
            </w:tcBorders>
            <w:shd w:val="clear" w:color="auto" w:fill="auto"/>
            <w:hideMark/>
          </w:tcPr>
          <w:p w14:paraId="43657BF4" w14:textId="77777777" w:rsidR="00D41070" w:rsidRPr="005E2D22" w:rsidRDefault="00D41070" w:rsidP="0082494C">
            <w:pPr>
              <w:spacing w:line="240" w:lineRule="auto"/>
              <w:jc w:val="both"/>
              <w:rPr>
                <w:color w:val="000000"/>
                <w:sz w:val="18"/>
                <w:szCs w:val="18"/>
                <w:lang w:val="en-US"/>
              </w:rPr>
            </w:pPr>
            <w:r w:rsidRPr="000457E4">
              <w:rPr>
                <w:i/>
                <w:color w:val="000000"/>
                <w:sz w:val="18"/>
                <w:szCs w:val="18"/>
                <w:lang w:val="en-GB"/>
              </w:rPr>
              <w:t>Note</w:t>
            </w:r>
            <w:r w:rsidRPr="000457E4">
              <w:rPr>
                <w:color w:val="000000"/>
                <w:sz w:val="18"/>
                <w:szCs w:val="18"/>
                <w:lang w:val="en-GB"/>
              </w:rPr>
              <w:t xml:space="preserve">. Units: </w:t>
            </w:r>
            <w:r w:rsidRPr="000457E4">
              <w:rPr>
                <w:i/>
                <w:color w:val="000000"/>
                <w:sz w:val="18"/>
                <w:szCs w:val="18"/>
                <w:lang w:val="en-GB"/>
              </w:rPr>
              <w:t>t</w:t>
            </w:r>
            <w:r w:rsidRPr="000457E4">
              <w:rPr>
                <w:color w:val="000000"/>
                <w:sz w:val="18"/>
                <w:szCs w:val="18"/>
                <w:vertAlign w:val="subscript"/>
                <w:lang w:val="en-GB"/>
              </w:rPr>
              <w:t>0</w:t>
            </w:r>
            <w:r w:rsidRPr="000457E4">
              <w:rPr>
                <w:color w:val="000000"/>
                <w:sz w:val="18"/>
                <w:szCs w:val="18"/>
                <w:lang w:val="en-GB"/>
              </w:rPr>
              <w:t xml:space="preserve"> (ms), </w:t>
            </w:r>
            <w:r w:rsidRPr="000457E4">
              <w:rPr>
                <w:i/>
                <w:color w:val="000000"/>
                <w:sz w:val="18"/>
                <w:szCs w:val="18"/>
                <w:lang w:val="en-GB"/>
              </w:rPr>
              <w:t>C</w:t>
            </w:r>
            <w:r w:rsidRPr="000457E4">
              <w:rPr>
                <w:color w:val="000000"/>
                <w:sz w:val="18"/>
                <w:szCs w:val="18"/>
                <w:lang w:val="en-GB"/>
              </w:rPr>
              <w:t xml:space="preserve"> (letters/second), K (letters), </w:t>
            </w:r>
            <w:r w:rsidRPr="000457E4">
              <w:rPr>
                <w:i/>
                <w:color w:val="000000"/>
                <w:sz w:val="18"/>
                <w:szCs w:val="18"/>
                <w:lang w:val="en-GB"/>
              </w:rPr>
              <w:t>α</w:t>
            </w:r>
            <w:r w:rsidRPr="000457E4">
              <w:rPr>
                <w:color w:val="000000"/>
                <w:sz w:val="18"/>
                <w:szCs w:val="18"/>
                <w:lang w:val="en-GB"/>
              </w:rPr>
              <w:t xml:space="preserve"> runs from perfect selectivity at 0.0 to no selectivity at 1.0, </w:t>
            </w:r>
            <w:r w:rsidRPr="000457E4">
              <w:rPr>
                <w:i/>
                <w:color w:val="000000"/>
                <w:sz w:val="18"/>
                <w:szCs w:val="18"/>
                <w:lang w:val="en-GB"/>
              </w:rPr>
              <w:t>w</w:t>
            </w:r>
            <w:r w:rsidRPr="000457E4">
              <w:rPr>
                <w:color w:val="000000"/>
                <w:sz w:val="18"/>
                <w:szCs w:val="18"/>
                <w:vertAlign w:val="subscript"/>
                <w:lang w:val="en-GB"/>
              </w:rPr>
              <w:t>index</w:t>
            </w:r>
            <w:r w:rsidRPr="000457E4">
              <w:rPr>
                <w:color w:val="000000"/>
                <w:sz w:val="18"/>
                <w:szCs w:val="18"/>
                <w:lang w:val="en-GB"/>
              </w:rPr>
              <w:t xml:space="preserve">  (&lt; 0.5 = right side weighting, &gt; 0.5 = </w:t>
            </w:r>
            <w:r>
              <w:rPr>
                <w:color w:val="000000"/>
                <w:sz w:val="18"/>
                <w:szCs w:val="18"/>
                <w:lang w:val="en-GB"/>
              </w:rPr>
              <w:t>left side</w:t>
            </w:r>
            <w:r w:rsidRPr="000457E4">
              <w:rPr>
                <w:color w:val="000000"/>
                <w:sz w:val="18"/>
                <w:szCs w:val="18"/>
                <w:lang w:val="en-GB"/>
              </w:rPr>
              <w:t xml:space="preserve"> </w:t>
            </w:r>
            <w:r>
              <w:rPr>
                <w:color w:val="000000"/>
                <w:sz w:val="18"/>
                <w:szCs w:val="18"/>
                <w:lang w:val="en-GB"/>
              </w:rPr>
              <w:t>weighting</w:t>
            </w:r>
            <w:r w:rsidRPr="000457E4">
              <w:rPr>
                <w:color w:val="000000"/>
                <w:sz w:val="18"/>
                <w:szCs w:val="18"/>
                <w:lang w:val="en-GB"/>
              </w:rPr>
              <w:t>).</w:t>
            </w:r>
          </w:p>
        </w:tc>
      </w:tr>
    </w:tbl>
    <w:p w14:paraId="2212D96F" w14:textId="77777777" w:rsidR="00D41070" w:rsidRPr="00D41070" w:rsidRDefault="00D41070" w:rsidP="00CD0078">
      <w:pPr>
        <w:jc w:val="both"/>
        <w:rPr>
          <w:lang w:val="en-US"/>
        </w:rPr>
      </w:pPr>
    </w:p>
    <w:p w14:paraId="22C07F5C" w14:textId="397221FE" w:rsidR="00461B26" w:rsidRPr="002C11AF" w:rsidRDefault="002E6EEE" w:rsidP="00CD0078">
      <w:pPr>
        <w:jc w:val="both"/>
        <w:rPr>
          <w:lang w:val="en-GB"/>
        </w:rPr>
      </w:pPr>
      <w:r>
        <w:rPr>
          <w:lang w:val="en-GB"/>
        </w:rPr>
        <w:t xml:space="preserve">Only one </w:t>
      </w:r>
      <w:r w:rsidR="00495558">
        <w:rPr>
          <w:lang w:val="en-GB"/>
        </w:rPr>
        <w:t xml:space="preserve">significant </w:t>
      </w:r>
      <w:r>
        <w:rPr>
          <w:lang w:val="en-GB"/>
        </w:rPr>
        <w:t>difference between males and females were found</w:t>
      </w:r>
      <w:r w:rsidR="00495558">
        <w:rPr>
          <w:lang w:val="en-GB"/>
        </w:rPr>
        <w:t xml:space="preserve">, </w:t>
      </w:r>
      <w:r w:rsidR="002C11AF">
        <w:rPr>
          <w:lang w:val="en-GB"/>
        </w:rPr>
        <w:t xml:space="preserve">namely the </w:t>
      </w:r>
      <w:r w:rsidR="00495558">
        <w:rPr>
          <w:i/>
          <w:iCs/>
          <w:lang w:val="en-GB"/>
        </w:rPr>
        <w:t>W</w:t>
      </w:r>
      <w:r w:rsidR="002C11AF">
        <w:rPr>
          <w:i/>
          <w:iCs/>
          <w:vertAlign w:val="subscript"/>
          <w:lang w:val="en-GB"/>
        </w:rPr>
        <w:t>index</w:t>
      </w:r>
      <w:r w:rsidR="002C11AF">
        <w:rPr>
          <w:lang w:val="en-GB"/>
        </w:rPr>
        <w:t xml:space="preserve"> </w:t>
      </w:r>
      <w:r w:rsidR="00D07C66">
        <w:rPr>
          <w:lang w:val="en-GB"/>
        </w:rPr>
        <w:t xml:space="preserve">factor which </w:t>
      </w:r>
      <w:r w:rsidR="00FE5035">
        <w:rPr>
          <w:lang w:val="en-GB"/>
        </w:rPr>
        <w:t xml:space="preserve">indicates that males split their attention evenly while females slightly </w:t>
      </w:r>
      <w:r w:rsidR="000F0B45">
        <w:rPr>
          <w:lang w:val="en-GB"/>
        </w:rPr>
        <w:t xml:space="preserve">weighted their attention left of the fixation cross. </w:t>
      </w:r>
      <w:r w:rsidR="00BD0AD0">
        <w:rPr>
          <w:lang w:val="en-GB"/>
        </w:rPr>
        <w:t>Considering the rather small sample of males, however, these findings are hardly conclusive.</w:t>
      </w:r>
    </w:p>
    <w:p w14:paraId="272EFFD3" w14:textId="77777777" w:rsidR="00071ECB" w:rsidRDefault="00071ECB" w:rsidP="00071ECB">
      <w:pPr>
        <w:jc w:val="both"/>
        <w:rPr>
          <w:lang w:val="en-GB"/>
        </w:rPr>
      </w:pPr>
    </w:p>
    <w:p w14:paraId="3FFD6946" w14:textId="121E1597" w:rsidR="00071ECB" w:rsidRDefault="00071ECB" w:rsidP="00071ECB">
      <w:pPr>
        <w:jc w:val="both"/>
        <w:rPr>
          <w:lang w:val="en-GB"/>
        </w:rPr>
      </w:pPr>
      <w:r>
        <w:rPr>
          <w:lang w:val="en-GB"/>
        </w:rPr>
        <w:t xml:space="preserve">To test for attentional preferences towards the left or right side of the display, a one-sample </w:t>
      </w:r>
      <w:r>
        <w:rPr>
          <w:i/>
          <w:iCs/>
          <w:lang w:val="en-GB"/>
        </w:rPr>
        <w:t>t</w:t>
      </w:r>
      <w:r>
        <w:rPr>
          <w:lang w:val="en-GB"/>
        </w:rPr>
        <w:t xml:space="preserve">-test </w:t>
      </w:r>
      <w:r w:rsidRPr="00404E82">
        <w:rPr>
          <w:lang w:val="en-GB"/>
        </w:rPr>
        <w:t>of difference between W</w:t>
      </w:r>
      <w:r w:rsidRPr="00404E82">
        <w:rPr>
          <w:vertAlign w:val="subscript"/>
          <w:lang w:val="en-GB"/>
        </w:rPr>
        <w:t>index</w:t>
      </w:r>
      <w:r w:rsidRPr="00404E82">
        <w:rPr>
          <w:lang w:val="en-GB"/>
        </w:rPr>
        <w:t xml:space="preserve"> and 0.5 (balanced attentional weighting)</w:t>
      </w:r>
      <w:r>
        <w:rPr>
          <w:lang w:val="en-GB"/>
        </w:rPr>
        <w:t xml:space="preserve"> was conducted.</w:t>
      </w:r>
    </w:p>
    <w:p w14:paraId="77BC693C" w14:textId="5AEF2843" w:rsidR="00071ECB" w:rsidRDefault="00071ECB" w:rsidP="00071ECB">
      <w:pPr>
        <w:ind w:firstLine="567"/>
        <w:jc w:val="both"/>
        <w:rPr>
          <w:lang w:val="en-GB"/>
        </w:rPr>
      </w:pPr>
      <w:r>
        <w:rPr>
          <w:lang w:val="en-GB"/>
        </w:rPr>
        <w:t xml:space="preserve">The </w:t>
      </w:r>
      <w:r w:rsidRPr="00780F68">
        <w:rPr>
          <w:lang w:val="en-GB"/>
        </w:rPr>
        <w:t>test (two-tailed, alpha = .05) showed a significant difference of w</w:t>
      </w:r>
      <w:r w:rsidRPr="00780F68">
        <w:rPr>
          <w:vertAlign w:val="subscript"/>
          <w:lang w:val="en-GB"/>
        </w:rPr>
        <w:t>index</w:t>
      </w:r>
      <w:r w:rsidRPr="00780F68">
        <w:rPr>
          <w:lang w:val="en-GB"/>
        </w:rPr>
        <w:t xml:space="preserve"> from 0.50, </w:t>
      </w:r>
      <w:r w:rsidRPr="00780F68">
        <w:rPr>
          <w:i/>
          <w:iCs/>
          <w:lang w:val="en-GB"/>
        </w:rPr>
        <w:t>t</w:t>
      </w:r>
      <w:r w:rsidRPr="00780F68">
        <w:rPr>
          <w:lang w:val="en-GB"/>
        </w:rPr>
        <w:t xml:space="preserve">(206) = 5.33, </w:t>
      </w:r>
      <w:r w:rsidRPr="00780F68">
        <w:rPr>
          <w:i/>
          <w:iCs/>
          <w:lang w:val="en-GB"/>
        </w:rPr>
        <w:t>p</w:t>
      </w:r>
      <w:r w:rsidRPr="00780F68">
        <w:rPr>
          <w:lang w:val="en-GB"/>
        </w:rPr>
        <w:t xml:space="preserve"> &lt; .001, </w:t>
      </w:r>
      <w:r w:rsidRPr="00780F68">
        <w:rPr>
          <w:i/>
          <w:iCs/>
          <w:lang w:val="en-GB"/>
        </w:rPr>
        <w:t>d</w:t>
      </w:r>
      <w:r w:rsidRPr="00780F68">
        <w:rPr>
          <w:lang w:val="en-GB"/>
        </w:rPr>
        <w:t xml:space="preserve"> = 0.37</w:t>
      </w:r>
      <w:r>
        <w:rPr>
          <w:lang w:val="en-GB"/>
        </w:rPr>
        <w:t>, indicating that participants do not split their attention evenly between the left and right sides of the display</w:t>
      </w:r>
      <w:r w:rsidR="007D40BE">
        <w:rPr>
          <w:lang w:val="en-GB"/>
        </w:rPr>
        <w:t xml:space="preserve">, but rather </w:t>
      </w:r>
      <w:r w:rsidR="005203D8">
        <w:rPr>
          <w:lang w:val="en-GB"/>
        </w:rPr>
        <w:t xml:space="preserve">prioritised </w:t>
      </w:r>
      <w:r w:rsidR="00486FF8">
        <w:rPr>
          <w:lang w:val="en-GB"/>
        </w:rPr>
        <w:t>stimuli left of the fixation cross.</w:t>
      </w:r>
    </w:p>
    <w:p w14:paraId="72AFBAAD" w14:textId="1C37B715" w:rsidR="00236D25" w:rsidRDefault="00533AC4" w:rsidP="003C5036">
      <w:pPr>
        <w:pStyle w:val="Overskrift2"/>
        <w:rPr>
          <w:lang w:val="en-GB"/>
        </w:rPr>
      </w:pPr>
      <w:r>
        <w:rPr>
          <w:lang w:val="en-GB"/>
        </w:rPr>
        <w:t>Imperfect selectivity</w:t>
      </w:r>
    </w:p>
    <w:p w14:paraId="689056D2" w14:textId="599A7236" w:rsidR="00F879D4" w:rsidRPr="005C5A0D" w:rsidRDefault="006E0153" w:rsidP="00CD0078">
      <w:pPr>
        <w:jc w:val="both"/>
        <w:rPr>
          <w:lang w:val="en-GB"/>
        </w:rPr>
      </w:pPr>
      <w:r>
        <w:rPr>
          <w:lang w:val="en-GB"/>
        </w:rPr>
        <w:t xml:space="preserve">To examine </w:t>
      </w:r>
      <w:r w:rsidR="00842D92">
        <w:rPr>
          <w:lang w:val="en-GB"/>
        </w:rPr>
        <w:t xml:space="preserve">the effect of distractors </w:t>
      </w:r>
      <w:r w:rsidR="005C5A0D">
        <w:rPr>
          <w:lang w:val="en-GB"/>
        </w:rPr>
        <w:t xml:space="preserve">a one-sample </w:t>
      </w:r>
      <w:r w:rsidR="005C5A0D">
        <w:rPr>
          <w:i/>
          <w:iCs/>
          <w:lang w:val="en-GB"/>
        </w:rPr>
        <w:t>t-</w:t>
      </w:r>
      <w:r w:rsidR="005C5A0D">
        <w:rPr>
          <w:lang w:val="en-GB"/>
        </w:rPr>
        <w:t>test</w:t>
      </w:r>
      <w:r w:rsidR="00AE12C2" w:rsidRPr="00AE12C2">
        <w:rPr>
          <w:lang w:val="en-GB"/>
        </w:rPr>
        <w:t xml:space="preserve"> of difference between mean number of correctly reported letters for two</w:t>
      </w:r>
      <w:r w:rsidR="00004CD9">
        <w:rPr>
          <w:lang w:val="en-GB"/>
        </w:rPr>
        <w:t>-</w:t>
      </w:r>
      <w:r w:rsidR="00AE12C2" w:rsidRPr="00AE12C2">
        <w:rPr>
          <w:lang w:val="en-GB"/>
        </w:rPr>
        <w:t>target</w:t>
      </w:r>
      <w:r w:rsidR="00AE12C2">
        <w:rPr>
          <w:lang w:val="en-GB"/>
        </w:rPr>
        <w:t>-</w:t>
      </w:r>
      <w:r w:rsidR="00AE12C2" w:rsidRPr="00AE12C2">
        <w:rPr>
          <w:lang w:val="en-GB"/>
        </w:rPr>
        <w:t>four</w:t>
      </w:r>
      <w:r w:rsidR="00AE12C2">
        <w:rPr>
          <w:lang w:val="en-GB"/>
        </w:rPr>
        <w:t>-</w:t>
      </w:r>
      <w:r w:rsidR="00AE12C2" w:rsidRPr="00AE12C2">
        <w:rPr>
          <w:lang w:val="en-GB"/>
        </w:rPr>
        <w:t>distractor displays and 2 (maximum possible correctly reported letters)</w:t>
      </w:r>
      <w:r w:rsidR="00AE12C2">
        <w:rPr>
          <w:lang w:val="en-GB"/>
        </w:rPr>
        <w:t xml:space="preserve"> was conducted.</w:t>
      </w:r>
    </w:p>
    <w:p w14:paraId="1EE1AF6C" w14:textId="7CB7A42B" w:rsidR="00F05309" w:rsidRDefault="00294048" w:rsidP="00C4438E">
      <w:pPr>
        <w:ind w:firstLine="567"/>
        <w:jc w:val="both"/>
        <w:rPr>
          <w:lang w:val="en-GB"/>
        </w:rPr>
      </w:pPr>
      <w:r>
        <w:rPr>
          <w:lang w:val="en-GB"/>
        </w:rPr>
        <w:t>The</w:t>
      </w:r>
      <w:r w:rsidR="00F05309" w:rsidRPr="00780F68">
        <w:rPr>
          <w:lang w:val="en-GB"/>
        </w:rPr>
        <w:t xml:space="preserve"> test (two-tailed, alpha = .05) showed a significant difference between</w:t>
      </w:r>
      <w:r>
        <w:rPr>
          <w:lang w:val="en-GB"/>
        </w:rPr>
        <w:t xml:space="preserve"> correctly</w:t>
      </w:r>
      <w:r w:rsidR="00E5386E">
        <w:rPr>
          <w:lang w:val="en-GB"/>
        </w:rPr>
        <w:t xml:space="preserve"> reported letters for </w:t>
      </w:r>
      <w:r w:rsidR="00E5386E" w:rsidRPr="00AE12C2">
        <w:rPr>
          <w:lang w:val="en-GB"/>
        </w:rPr>
        <w:t>two</w:t>
      </w:r>
      <w:r w:rsidR="00E5386E">
        <w:rPr>
          <w:lang w:val="en-GB"/>
        </w:rPr>
        <w:t>-</w:t>
      </w:r>
      <w:r w:rsidR="00E5386E" w:rsidRPr="00AE12C2">
        <w:rPr>
          <w:lang w:val="en-GB"/>
        </w:rPr>
        <w:t>target</w:t>
      </w:r>
      <w:r w:rsidR="00E5386E">
        <w:rPr>
          <w:lang w:val="en-GB"/>
        </w:rPr>
        <w:t>-</w:t>
      </w:r>
      <w:r w:rsidR="00E5386E" w:rsidRPr="00AE12C2">
        <w:rPr>
          <w:lang w:val="en-GB"/>
        </w:rPr>
        <w:t>four</w:t>
      </w:r>
      <w:r w:rsidR="00E5386E">
        <w:rPr>
          <w:lang w:val="en-GB"/>
        </w:rPr>
        <w:t>-</w:t>
      </w:r>
      <w:r w:rsidR="00E5386E" w:rsidRPr="00AE12C2">
        <w:rPr>
          <w:lang w:val="en-GB"/>
        </w:rPr>
        <w:t>distractor</w:t>
      </w:r>
      <w:r w:rsidR="00E5386E">
        <w:rPr>
          <w:lang w:val="en-GB"/>
        </w:rPr>
        <w:t xml:space="preserve"> displays</w:t>
      </w:r>
      <w:r w:rsidR="00F05309" w:rsidRPr="00780F68">
        <w:rPr>
          <w:lang w:val="en-GB"/>
        </w:rPr>
        <w:t xml:space="preserve"> and 2, </w:t>
      </w:r>
      <w:r w:rsidR="00F05309" w:rsidRPr="00780F68">
        <w:rPr>
          <w:i/>
          <w:iCs/>
          <w:lang w:val="en-GB"/>
        </w:rPr>
        <w:t>t</w:t>
      </w:r>
      <w:r w:rsidR="00F05309" w:rsidRPr="00780F68">
        <w:rPr>
          <w:lang w:val="en-GB"/>
        </w:rPr>
        <w:t xml:space="preserve">(206) = -29,47, </w:t>
      </w:r>
      <w:r w:rsidR="00F05309" w:rsidRPr="00780F68">
        <w:rPr>
          <w:i/>
          <w:iCs/>
          <w:lang w:val="en-GB"/>
        </w:rPr>
        <w:t>p</w:t>
      </w:r>
      <w:r w:rsidR="00F05309" w:rsidRPr="00780F68">
        <w:rPr>
          <w:lang w:val="en-GB"/>
        </w:rPr>
        <w:t xml:space="preserve"> &lt; .001, </w:t>
      </w:r>
      <w:r w:rsidR="00F05309" w:rsidRPr="00780F68">
        <w:rPr>
          <w:i/>
          <w:iCs/>
          <w:lang w:val="en-GB"/>
        </w:rPr>
        <w:t>d</w:t>
      </w:r>
      <w:r w:rsidR="00F05309" w:rsidRPr="00780F68">
        <w:rPr>
          <w:lang w:val="en-GB"/>
        </w:rPr>
        <w:t xml:space="preserve"> = -2.05</w:t>
      </w:r>
      <w:r w:rsidR="004A1493">
        <w:rPr>
          <w:lang w:val="en-GB"/>
        </w:rPr>
        <w:t xml:space="preserve">, </w:t>
      </w:r>
      <w:r w:rsidR="00E61C5C">
        <w:rPr>
          <w:lang w:val="en-GB"/>
        </w:rPr>
        <w:t>confirming</w:t>
      </w:r>
      <w:r w:rsidR="004A1493">
        <w:rPr>
          <w:lang w:val="en-GB"/>
        </w:rPr>
        <w:t xml:space="preserve"> that selection is imperfect</w:t>
      </w:r>
      <w:r w:rsidR="00BB4161">
        <w:rPr>
          <w:lang w:val="en-GB"/>
        </w:rPr>
        <w:t>.</w:t>
      </w:r>
    </w:p>
    <w:p w14:paraId="6E4D19BF" w14:textId="488D4AA6" w:rsidR="00F05309" w:rsidRPr="00780F68" w:rsidRDefault="00252AF0" w:rsidP="00071ECB">
      <w:pPr>
        <w:ind w:firstLine="567"/>
        <w:jc w:val="both"/>
        <w:rPr>
          <w:lang w:val="en-GB"/>
        </w:rPr>
      </w:pPr>
      <w:r>
        <w:rPr>
          <w:lang w:val="en-GB"/>
        </w:rPr>
        <w:t xml:space="preserve">This means that, while there is some selection, monitored by top-down processes, </w:t>
      </w:r>
      <w:r w:rsidR="00AF4CAE">
        <w:rPr>
          <w:lang w:val="en-GB"/>
        </w:rPr>
        <w:t>bottom-up processes interfere and inject distractors into conscious awareness</w:t>
      </w:r>
      <w:r w:rsidR="00525302">
        <w:rPr>
          <w:lang w:val="en-GB"/>
        </w:rPr>
        <w:t>, bypassing the attempt at attentional control</w:t>
      </w:r>
      <w:r w:rsidR="00B96CAE">
        <w:rPr>
          <w:lang w:val="en-GB"/>
        </w:rPr>
        <w:t>.</w:t>
      </w:r>
    </w:p>
    <w:p w14:paraId="71E81079" w14:textId="3D195E37" w:rsidR="00734925" w:rsidRPr="00780F68" w:rsidRDefault="00734925" w:rsidP="00F2041E">
      <w:pPr>
        <w:pStyle w:val="Overskrift1"/>
        <w:rPr>
          <w:lang w:val="en-GB"/>
        </w:rPr>
      </w:pPr>
      <w:bookmarkStart w:id="6" w:name="_Toc25244898"/>
      <w:r w:rsidRPr="00780F68">
        <w:rPr>
          <w:lang w:val="en-GB"/>
        </w:rPr>
        <w:lastRenderedPageBreak/>
        <w:t>Conclusion</w:t>
      </w:r>
      <w:bookmarkEnd w:id="6"/>
    </w:p>
    <w:p w14:paraId="1F694DDD" w14:textId="218362F1" w:rsidR="000E6BF8" w:rsidRPr="00DB595C" w:rsidRDefault="005C41A1" w:rsidP="00CD0078">
      <w:pPr>
        <w:jc w:val="both"/>
        <w:rPr>
          <w:lang w:val="en-US"/>
        </w:rPr>
      </w:pPr>
      <w:r>
        <w:rPr>
          <w:lang w:val="en-GB"/>
        </w:rPr>
        <w:t xml:space="preserve">These findings </w:t>
      </w:r>
      <w:r w:rsidR="00211E05">
        <w:rPr>
          <w:lang w:val="en-GB"/>
        </w:rPr>
        <w:t xml:space="preserve">support the hypotheses that </w:t>
      </w:r>
      <w:r w:rsidR="00925A78">
        <w:rPr>
          <w:lang w:val="en-GB"/>
        </w:rPr>
        <w:t>more letters are correctly reported when exposure time increases</w:t>
      </w:r>
      <w:r w:rsidR="00996F33">
        <w:rPr>
          <w:lang w:val="en-GB"/>
        </w:rPr>
        <w:t xml:space="preserve">, that </w:t>
      </w:r>
      <w:r w:rsidR="00ED2AAE">
        <w:rPr>
          <w:lang w:val="en-GB"/>
        </w:rPr>
        <w:t xml:space="preserve">distractors reduce accuracy </w:t>
      </w:r>
      <w:r w:rsidR="008F2CAC">
        <w:rPr>
          <w:lang w:val="en-GB"/>
        </w:rPr>
        <w:t xml:space="preserve">in </w:t>
      </w:r>
      <w:r w:rsidR="008F2CAC">
        <w:rPr>
          <w:i/>
          <w:iCs/>
          <w:lang w:val="en-GB"/>
        </w:rPr>
        <w:t>partial report</w:t>
      </w:r>
      <w:r w:rsidR="008F2CAC">
        <w:rPr>
          <w:lang w:val="en-US"/>
        </w:rPr>
        <w:t xml:space="preserve"> trials, and that </w:t>
      </w:r>
      <w:r w:rsidR="00DB595C">
        <w:rPr>
          <w:i/>
          <w:iCs/>
          <w:lang w:val="en-US"/>
        </w:rPr>
        <w:t xml:space="preserve">C </w:t>
      </w:r>
      <w:r w:rsidR="00DB595C">
        <w:rPr>
          <w:lang w:val="en-US"/>
        </w:rPr>
        <w:t xml:space="preserve">and </w:t>
      </w:r>
      <w:r w:rsidR="00DB595C">
        <w:rPr>
          <w:i/>
          <w:iCs/>
          <w:lang w:val="en-US"/>
        </w:rPr>
        <w:t>K</w:t>
      </w:r>
      <w:r w:rsidR="00DB595C">
        <w:rPr>
          <w:lang w:val="en-US"/>
        </w:rPr>
        <w:t xml:space="preserve"> </w:t>
      </w:r>
      <w:r w:rsidR="000A2488">
        <w:rPr>
          <w:lang w:val="en-US"/>
        </w:rPr>
        <w:t xml:space="preserve">are significantly correlated. </w:t>
      </w:r>
      <w:r w:rsidR="00260AE7">
        <w:rPr>
          <w:lang w:val="en-US"/>
        </w:rPr>
        <w:t xml:space="preserve">The results do not, however, support the hypothesis that </w:t>
      </w:r>
      <w:r w:rsidR="00AA32C7">
        <w:rPr>
          <w:lang w:val="en-US"/>
        </w:rPr>
        <w:t>attention is divided equally between the left and right sides of the display.</w:t>
      </w:r>
    </w:p>
    <w:p w14:paraId="2308DBFC" w14:textId="77777777" w:rsidR="00441B93" w:rsidRPr="00780F68" w:rsidRDefault="00441B93" w:rsidP="00CD0078">
      <w:pPr>
        <w:spacing w:after="160" w:line="259" w:lineRule="auto"/>
        <w:jc w:val="both"/>
        <w:rPr>
          <w:rFonts w:ascii="Arial" w:hAnsi="Arial" w:cs="Arial"/>
          <w:b/>
          <w:bCs/>
          <w:color w:val="000000"/>
          <w:sz w:val="36"/>
          <w:lang w:val="en-GB"/>
        </w:rPr>
      </w:pPr>
      <w:r w:rsidRPr="00780F68">
        <w:rPr>
          <w:lang w:val="en-GB"/>
        </w:rPr>
        <w:br w:type="page"/>
      </w:r>
    </w:p>
    <w:p w14:paraId="6E841B01" w14:textId="14FF5913" w:rsidR="009A6A11" w:rsidRPr="00780F68" w:rsidRDefault="009A6A11" w:rsidP="00CD0078">
      <w:pPr>
        <w:pStyle w:val="Overskrift1"/>
        <w:jc w:val="both"/>
        <w:rPr>
          <w:lang w:val="en-GB"/>
        </w:rPr>
      </w:pPr>
      <w:bookmarkStart w:id="7" w:name="_Toc25244899"/>
      <w:r w:rsidRPr="00780F68">
        <w:rPr>
          <w:lang w:val="en-GB"/>
        </w:rPr>
        <w:lastRenderedPageBreak/>
        <w:t>References</w:t>
      </w:r>
      <w:bookmarkEnd w:id="7"/>
    </w:p>
    <w:p w14:paraId="0D8411ED" w14:textId="3374D5E8" w:rsidR="00412B5A" w:rsidRPr="00737154" w:rsidRDefault="00DE144A" w:rsidP="00412B5A">
      <w:pPr>
        <w:widowControl w:val="0"/>
        <w:autoSpaceDE w:val="0"/>
        <w:autoSpaceDN w:val="0"/>
        <w:adjustRightInd w:val="0"/>
        <w:ind w:left="480" w:hanging="480"/>
        <w:rPr>
          <w:noProof/>
          <w:lang w:val="en-US"/>
        </w:rPr>
      </w:pPr>
      <w:r>
        <w:rPr>
          <w:lang w:val="en-GB"/>
        </w:rPr>
        <w:fldChar w:fldCharType="begin" w:fldLock="1"/>
      </w:r>
      <w:r>
        <w:rPr>
          <w:lang w:val="en-GB"/>
        </w:rPr>
        <w:instrText xml:space="preserve">ADDIN Mendeley Bibliography CSL_BIBLIOGRAPHY </w:instrText>
      </w:r>
      <w:r>
        <w:rPr>
          <w:lang w:val="en-GB"/>
        </w:rPr>
        <w:fldChar w:fldCharType="separate"/>
      </w:r>
      <w:r w:rsidR="00412B5A" w:rsidRPr="00737154">
        <w:rPr>
          <w:noProof/>
          <w:lang w:val="en-US"/>
        </w:rPr>
        <w:t xml:space="preserve">Habekost, T. (2015). Clinical TVA-based studies: a general review. </w:t>
      </w:r>
      <w:r w:rsidR="00412B5A" w:rsidRPr="00737154">
        <w:rPr>
          <w:i/>
          <w:iCs/>
          <w:noProof/>
          <w:lang w:val="en-US"/>
        </w:rPr>
        <w:t>Frontiers in Psychology</w:t>
      </w:r>
      <w:r w:rsidR="00412B5A" w:rsidRPr="00737154">
        <w:rPr>
          <w:noProof/>
          <w:lang w:val="en-US"/>
        </w:rPr>
        <w:t xml:space="preserve">, </w:t>
      </w:r>
      <w:r w:rsidR="00412B5A" w:rsidRPr="00737154">
        <w:rPr>
          <w:i/>
          <w:iCs/>
          <w:noProof/>
          <w:lang w:val="en-US"/>
        </w:rPr>
        <w:t>6:290</w:t>
      </w:r>
      <w:r w:rsidR="00412B5A" w:rsidRPr="00737154">
        <w:rPr>
          <w:noProof/>
          <w:lang w:val="en-US"/>
        </w:rPr>
        <w:t>, 1–18.</w:t>
      </w:r>
    </w:p>
    <w:p w14:paraId="1EB06759" w14:textId="77777777" w:rsidR="00412B5A" w:rsidRPr="00412B5A" w:rsidRDefault="00412B5A" w:rsidP="00412B5A">
      <w:pPr>
        <w:widowControl w:val="0"/>
        <w:autoSpaceDE w:val="0"/>
        <w:autoSpaceDN w:val="0"/>
        <w:adjustRightInd w:val="0"/>
        <w:ind w:left="480" w:hanging="480"/>
        <w:rPr>
          <w:noProof/>
        </w:rPr>
      </w:pPr>
      <w:r w:rsidRPr="00737154">
        <w:rPr>
          <w:noProof/>
          <w:lang w:val="en-US"/>
        </w:rPr>
        <w:t xml:space="preserve">Vangkilde, S., Bundesen, C., &amp; Coull, J. T. (2011). Prompt but inefficient: nicotine differentially modulates discrete components of attention. </w:t>
      </w:r>
      <w:r w:rsidRPr="00412B5A">
        <w:rPr>
          <w:i/>
          <w:iCs/>
          <w:noProof/>
        </w:rPr>
        <w:t>Psychopharmacology</w:t>
      </w:r>
      <w:r w:rsidRPr="00412B5A">
        <w:rPr>
          <w:noProof/>
        </w:rPr>
        <w:t xml:space="preserve">, </w:t>
      </w:r>
      <w:r w:rsidRPr="00412B5A">
        <w:rPr>
          <w:i/>
          <w:iCs/>
          <w:noProof/>
        </w:rPr>
        <w:t>218</w:t>
      </w:r>
      <w:r w:rsidRPr="00412B5A">
        <w:rPr>
          <w:noProof/>
        </w:rPr>
        <w:t>, 667–680.</w:t>
      </w:r>
    </w:p>
    <w:p w14:paraId="7696C90A" w14:textId="7E01854A" w:rsidR="009A6A11" w:rsidRPr="00780F68" w:rsidRDefault="00DE144A" w:rsidP="00CD0078">
      <w:pPr>
        <w:jc w:val="both"/>
        <w:rPr>
          <w:lang w:val="en-GB"/>
        </w:rPr>
      </w:pPr>
      <w:r>
        <w:rPr>
          <w:lang w:val="en-GB"/>
        </w:rPr>
        <w:fldChar w:fldCharType="end"/>
      </w:r>
    </w:p>
    <w:sectPr w:rsidR="009A6A11" w:rsidRPr="00780F68" w:rsidSect="00FC39BF">
      <w:headerReference w:type="default" r:id="rId14"/>
      <w:footerReference w:type="even" r:id="rId15"/>
      <w:footerReference w:type="default" r:id="rId16"/>
      <w:headerReference w:type="first" r:id="rId17"/>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CC57A" w14:textId="77777777" w:rsidR="00587EF7" w:rsidRDefault="00587EF7" w:rsidP="001078C3">
      <w:pPr>
        <w:spacing w:line="240" w:lineRule="auto"/>
      </w:pPr>
      <w:r>
        <w:separator/>
      </w:r>
    </w:p>
  </w:endnote>
  <w:endnote w:type="continuationSeparator" w:id="0">
    <w:p w14:paraId="5AACA142" w14:textId="77777777" w:rsidR="00587EF7" w:rsidRDefault="00587EF7" w:rsidP="001078C3">
      <w:pPr>
        <w:spacing w:line="240" w:lineRule="auto"/>
      </w:pPr>
      <w:r>
        <w:continuationSeparator/>
      </w:r>
    </w:p>
  </w:endnote>
  <w:endnote w:type="continuationNotice" w:id="1">
    <w:p w14:paraId="198D4B71" w14:textId="77777777" w:rsidR="00587EF7" w:rsidRDefault="00587E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CC32E" w14:textId="77777777" w:rsidR="00FC39BF" w:rsidRDefault="00DB6DDB" w:rsidP="00FC39BF">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A489121" w14:textId="77777777" w:rsidR="00FC39BF" w:rsidRDefault="00587EF7" w:rsidP="00FC39BF">
    <w:pPr>
      <w:pStyle w:val="Sidefod"/>
      <w:ind w:right="360"/>
    </w:pPr>
  </w:p>
  <w:p w14:paraId="3CF47B86" w14:textId="77777777" w:rsidR="00E24AA6" w:rsidRDefault="00587EF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ED363" w14:textId="0949C7D9" w:rsidR="00FC39BF" w:rsidRDefault="00587EF7" w:rsidP="00E25657">
    <w:pPr>
      <w:pStyle w:val="Sidefod"/>
      <w:ind w:right="360"/>
      <w:jc w:val="right"/>
    </w:pPr>
  </w:p>
  <w:p w14:paraId="02D07F0B" w14:textId="77777777" w:rsidR="00E24AA6" w:rsidRDefault="00587EF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2DCA" w14:textId="77777777" w:rsidR="00587EF7" w:rsidRDefault="00587EF7" w:rsidP="001078C3">
      <w:pPr>
        <w:spacing w:line="240" w:lineRule="auto"/>
      </w:pPr>
      <w:r>
        <w:separator/>
      </w:r>
    </w:p>
  </w:footnote>
  <w:footnote w:type="continuationSeparator" w:id="0">
    <w:p w14:paraId="77DD1DC3" w14:textId="77777777" w:rsidR="00587EF7" w:rsidRDefault="00587EF7" w:rsidP="001078C3">
      <w:pPr>
        <w:spacing w:line="240" w:lineRule="auto"/>
      </w:pPr>
      <w:r>
        <w:continuationSeparator/>
      </w:r>
    </w:p>
  </w:footnote>
  <w:footnote w:type="continuationNotice" w:id="1">
    <w:p w14:paraId="3836DBE7" w14:textId="77777777" w:rsidR="00587EF7" w:rsidRDefault="00587EF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5F32A" w14:textId="6A8DBFC1" w:rsidR="00626C24" w:rsidRDefault="00167050">
    <w:pPr>
      <w:pStyle w:val="Sidehoved"/>
    </w:pPr>
    <w:r>
      <w:t>Frederik Bredgaard</w:t>
    </w:r>
    <w:r w:rsidR="00626C24">
      <w:ptab w:relativeTo="margin" w:alignment="center" w:leader="none"/>
    </w:r>
    <w:r>
      <w:t>TVA</w:t>
    </w:r>
    <w:r w:rsidR="00626C24">
      <w:ptab w:relativeTo="margin" w:alignment="right" w:leader="none"/>
    </w:r>
    <w:r w:rsidR="000B3228">
      <w:t xml:space="preserve">Page </w:t>
    </w:r>
    <w:r w:rsidR="000B3228">
      <w:rPr>
        <w:b/>
        <w:bCs/>
      </w:rPr>
      <w:fldChar w:fldCharType="begin"/>
    </w:r>
    <w:r w:rsidR="000B3228">
      <w:rPr>
        <w:b/>
        <w:bCs/>
      </w:rPr>
      <w:instrText>PAGE  \* Arabic  \* MERGEFORMAT</w:instrText>
    </w:r>
    <w:r w:rsidR="000B3228">
      <w:rPr>
        <w:b/>
        <w:bCs/>
      </w:rPr>
      <w:fldChar w:fldCharType="separate"/>
    </w:r>
    <w:r w:rsidR="000B3228">
      <w:rPr>
        <w:b/>
        <w:bCs/>
      </w:rPr>
      <w:t>1</w:t>
    </w:r>
    <w:r w:rsidR="000B3228">
      <w:rPr>
        <w:b/>
        <w:bCs/>
      </w:rPr>
      <w:fldChar w:fldCharType="end"/>
    </w:r>
    <w:r w:rsidR="000B3228">
      <w:t xml:space="preserve"> of </w:t>
    </w:r>
    <w:r w:rsidR="000B3228">
      <w:rPr>
        <w:b/>
        <w:bCs/>
      </w:rPr>
      <w:fldChar w:fldCharType="begin"/>
    </w:r>
    <w:r w:rsidR="000B3228">
      <w:rPr>
        <w:b/>
        <w:bCs/>
      </w:rPr>
      <w:instrText>NUMPAGES  \* Arabic  \* MERGEFORMAT</w:instrText>
    </w:r>
    <w:r w:rsidR="000B3228">
      <w:rPr>
        <w:b/>
        <w:bCs/>
      </w:rPr>
      <w:fldChar w:fldCharType="separate"/>
    </w:r>
    <w:r w:rsidR="000B3228">
      <w:rPr>
        <w:b/>
        <w:bCs/>
      </w:rPr>
      <w:t>2</w:t>
    </w:r>
    <w:r w:rsidR="000B3228">
      <w:rPr>
        <w:b/>
        <w:b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4238F" w14:textId="2E9C39E4" w:rsidR="005075A8" w:rsidRPr="00701346" w:rsidRDefault="00C54E64" w:rsidP="00701346">
    <w:pPr>
      <w:pStyle w:val="Sidehoved"/>
    </w:pPr>
    <w:r>
      <w:t>Frederik Bredgaard</w:t>
    </w:r>
    <w:r>
      <w:ptab w:relativeTo="margin" w:alignment="center" w:leader="none"/>
    </w:r>
    <w:r>
      <w:t>TVA</w:t>
    </w:r>
    <w:r>
      <w:ptab w:relativeTo="margin" w:alignment="right" w:leader="none"/>
    </w:r>
    <w:r w:rsidR="00412B5A">
      <w:t xml:space="preserve">Page </w:t>
    </w:r>
    <w:r w:rsidR="00412B5A">
      <w:rPr>
        <w:b/>
        <w:bCs/>
      </w:rPr>
      <w:fldChar w:fldCharType="begin"/>
    </w:r>
    <w:r w:rsidR="00412B5A">
      <w:rPr>
        <w:b/>
        <w:bCs/>
      </w:rPr>
      <w:instrText>PAGE  \* Arabic  \* MERGEFORMAT</w:instrText>
    </w:r>
    <w:r w:rsidR="00412B5A">
      <w:rPr>
        <w:b/>
        <w:bCs/>
      </w:rPr>
      <w:fldChar w:fldCharType="separate"/>
    </w:r>
    <w:r w:rsidR="00412B5A">
      <w:rPr>
        <w:b/>
        <w:bCs/>
      </w:rPr>
      <w:t>1</w:t>
    </w:r>
    <w:r w:rsidR="00412B5A">
      <w:rPr>
        <w:b/>
        <w:bCs/>
      </w:rPr>
      <w:fldChar w:fldCharType="end"/>
    </w:r>
    <w:r w:rsidR="00412B5A">
      <w:t xml:space="preserve"> of </w:t>
    </w:r>
    <w:r w:rsidR="00412B5A">
      <w:rPr>
        <w:b/>
        <w:bCs/>
      </w:rPr>
      <w:fldChar w:fldCharType="begin"/>
    </w:r>
    <w:r w:rsidR="00412B5A">
      <w:rPr>
        <w:b/>
        <w:bCs/>
      </w:rPr>
      <w:instrText>NUMPAGES  \* Arabic  \* MERGEFORMAT</w:instrText>
    </w:r>
    <w:r w:rsidR="00412B5A">
      <w:rPr>
        <w:b/>
        <w:bCs/>
      </w:rPr>
      <w:fldChar w:fldCharType="separate"/>
    </w:r>
    <w:r w:rsidR="00412B5A">
      <w:rPr>
        <w:b/>
        <w:bCs/>
      </w:rPr>
      <w:t>2</w:t>
    </w:r>
    <w:r w:rsidR="00412B5A">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C531A"/>
    <w:multiLevelType w:val="hybridMultilevel"/>
    <w:tmpl w:val="9858F4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A8A01"/>
    <w:rsid w:val="0000479E"/>
    <w:rsid w:val="00004CD9"/>
    <w:rsid w:val="000115FE"/>
    <w:rsid w:val="000122EF"/>
    <w:rsid w:val="00015AA9"/>
    <w:rsid w:val="00016AE6"/>
    <w:rsid w:val="00017EF9"/>
    <w:rsid w:val="0002132D"/>
    <w:rsid w:val="00024083"/>
    <w:rsid w:val="000358A1"/>
    <w:rsid w:val="00071ECB"/>
    <w:rsid w:val="00081B3C"/>
    <w:rsid w:val="00094C6F"/>
    <w:rsid w:val="000A2488"/>
    <w:rsid w:val="000B3228"/>
    <w:rsid w:val="000B52F1"/>
    <w:rsid w:val="000C3A46"/>
    <w:rsid w:val="000E098B"/>
    <w:rsid w:val="000E6BF8"/>
    <w:rsid w:val="000E72F0"/>
    <w:rsid w:val="000F0B45"/>
    <w:rsid w:val="000F5344"/>
    <w:rsid w:val="00104CD3"/>
    <w:rsid w:val="001078C3"/>
    <w:rsid w:val="0011630B"/>
    <w:rsid w:val="00125CC5"/>
    <w:rsid w:val="00136539"/>
    <w:rsid w:val="00144EAB"/>
    <w:rsid w:val="00160316"/>
    <w:rsid w:val="0016516B"/>
    <w:rsid w:val="00167050"/>
    <w:rsid w:val="001677E1"/>
    <w:rsid w:val="00173150"/>
    <w:rsid w:val="001824A3"/>
    <w:rsid w:val="00183571"/>
    <w:rsid w:val="0019015A"/>
    <w:rsid w:val="001F23F7"/>
    <w:rsid w:val="001F2FC4"/>
    <w:rsid w:val="001F636B"/>
    <w:rsid w:val="00211E05"/>
    <w:rsid w:val="00212511"/>
    <w:rsid w:val="00213944"/>
    <w:rsid w:val="00227DF8"/>
    <w:rsid w:val="00236D25"/>
    <w:rsid w:val="00243009"/>
    <w:rsid w:val="00247360"/>
    <w:rsid w:val="00252AF0"/>
    <w:rsid w:val="00255364"/>
    <w:rsid w:val="00260AE7"/>
    <w:rsid w:val="00260C01"/>
    <w:rsid w:val="002632C2"/>
    <w:rsid w:val="00264C9D"/>
    <w:rsid w:val="0026583D"/>
    <w:rsid w:val="002662AC"/>
    <w:rsid w:val="00285892"/>
    <w:rsid w:val="002859CF"/>
    <w:rsid w:val="00290525"/>
    <w:rsid w:val="00294048"/>
    <w:rsid w:val="00295B32"/>
    <w:rsid w:val="002A14F5"/>
    <w:rsid w:val="002A5DCA"/>
    <w:rsid w:val="002B01EC"/>
    <w:rsid w:val="002B5555"/>
    <w:rsid w:val="002C11AF"/>
    <w:rsid w:val="002C20F2"/>
    <w:rsid w:val="002C2A92"/>
    <w:rsid w:val="002D04D5"/>
    <w:rsid w:val="002E2947"/>
    <w:rsid w:val="002E6EEE"/>
    <w:rsid w:val="002F1607"/>
    <w:rsid w:val="002F4222"/>
    <w:rsid w:val="002F5571"/>
    <w:rsid w:val="00304E09"/>
    <w:rsid w:val="00306303"/>
    <w:rsid w:val="003163C5"/>
    <w:rsid w:val="00342868"/>
    <w:rsid w:val="00343A38"/>
    <w:rsid w:val="003515E0"/>
    <w:rsid w:val="00354539"/>
    <w:rsid w:val="00355645"/>
    <w:rsid w:val="00364D85"/>
    <w:rsid w:val="0036631C"/>
    <w:rsid w:val="00370ACA"/>
    <w:rsid w:val="00373C25"/>
    <w:rsid w:val="0037755A"/>
    <w:rsid w:val="0039493E"/>
    <w:rsid w:val="003A6C5B"/>
    <w:rsid w:val="003B7CD4"/>
    <w:rsid w:val="003C3C5D"/>
    <w:rsid w:val="003C5036"/>
    <w:rsid w:val="003C5B55"/>
    <w:rsid w:val="003D1740"/>
    <w:rsid w:val="003D1E82"/>
    <w:rsid w:val="003E1805"/>
    <w:rsid w:val="003F05AA"/>
    <w:rsid w:val="00404E82"/>
    <w:rsid w:val="004056F2"/>
    <w:rsid w:val="00412B5A"/>
    <w:rsid w:val="00413110"/>
    <w:rsid w:val="00420E4C"/>
    <w:rsid w:val="00430787"/>
    <w:rsid w:val="00436328"/>
    <w:rsid w:val="0043720E"/>
    <w:rsid w:val="00441B93"/>
    <w:rsid w:val="00441BEF"/>
    <w:rsid w:val="0044570E"/>
    <w:rsid w:val="004542EE"/>
    <w:rsid w:val="0045502B"/>
    <w:rsid w:val="00461B26"/>
    <w:rsid w:val="004642C3"/>
    <w:rsid w:val="00480B29"/>
    <w:rsid w:val="0048155B"/>
    <w:rsid w:val="00486FF8"/>
    <w:rsid w:val="00495558"/>
    <w:rsid w:val="004A1493"/>
    <w:rsid w:val="004A72A0"/>
    <w:rsid w:val="004B03DE"/>
    <w:rsid w:val="004C156C"/>
    <w:rsid w:val="004C3F7A"/>
    <w:rsid w:val="004C7278"/>
    <w:rsid w:val="004D7338"/>
    <w:rsid w:val="004E3462"/>
    <w:rsid w:val="00507511"/>
    <w:rsid w:val="00507968"/>
    <w:rsid w:val="005203D8"/>
    <w:rsid w:val="00525302"/>
    <w:rsid w:val="00533AC4"/>
    <w:rsid w:val="00536377"/>
    <w:rsid w:val="00536E7C"/>
    <w:rsid w:val="00536F5A"/>
    <w:rsid w:val="00540237"/>
    <w:rsid w:val="005434E3"/>
    <w:rsid w:val="0054735C"/>
    <w:rsid w:val="00547BA1"/>
    <w:rsid w:val="005627BE"/>
    <w:rsid w:val="00564601"/>
    <w:rsid w:val="005749D4"/>
    <w:rsid w:val="00586382"/>
    <w:rsid w:val="00587EF7"/>
    <w:rsid w:val="00594936"/>
    <w:rsid w:val="005A19AC"/>
    <w:rsid w:val="005A1C6A"/>
    <w:rsid w:val="005A422B"/>
    <w:rsid w:val="005A6FF2"/>
    <w:rsid w:val="005B0885"/>
    <w:rsid w:val="005B4672"/>
    <w:rsid w:val="005C41A1"/>
    <w:rsid w:val="005C5044"/>
    <w:rsid w:val="005C50AF"/>
    <w:rsid w:val="005C5A0D"/>
    <w:rsid w:val="005C7A85"/>
    <w:rsid w:val="005D0A74"/>
    <w:rsid w:val="005F2F3D"/>
    <w:rsid w:val="0061019B"/>
    <w:rsid w:val="00624097"/>
    <w:rsid w:val="00626C24"/>
    <w:rsid w:val="00632576"/>
    <w:rsid w:val="006357FF"/>
    <w:rsid w:val="00636DD0"/>
    <w:rsid w:val="0064120A"/>
    <w:rsid w:val="00663984"/>
    <w:rsid w:val="00671259"/>
    <w:rsid w:val="0069465A"/>
    <w:rsid w:val="00695103"/>
    <w:rsid w:val="006B5165"/>
    <w:rsid w:val="006C00AA"/>
    <w:rsid w:val="006C71BA"/>
    <w:rsid w:val="006D0E02"/>
    <w:rsid w:val="006D1B8A"/>
    <w:rsid w:val="006E0153"/>
    <w:rsid w:val="006E4305"/>
    <w:rsid w:val="006E632E"/>
    <w:rsid w:val="006F034F"/>
    <w:rsid w:val="006F25F6"/>
    <w:rsid w:val="006F6A79"/>
    <w:rsid w:val="00701346"/>
    <w:rsid w:val="00704559"/>
    <w:rsid w:val="00714408"/>
    <w:rsid w:val="007229BC"/>
    <w:rsid w:val="00734925"/>
    <w:rsid w:val="00737154"/>
    <w:rsid w:val="00740027"/>
    <w:rsid w:val="007429E2"/>
    <w:rsid w:val="0074713E"/>
    <w:rsid w:val="00747AA2"/>
    <w:rsid w:val="0075058B"/>
    <w:rsid w:val="00763EAA"/>
    <w:rsid w:val="0076536F"/>
    <w:rsid w:val="00780956"/>
    <w:rsid w:val="00780F68"/>
    <w:rsid w:val="00796200"/>
    <w:rsid w:val="007A420F"/>
    <w:rsid w:val="007B283D"/>
    <w:rsid w:val="007C0B84"/>
    <w:rsid w:val="007C140C"/>
    <w:rsid w:val="007D40BE"/>
    <w:rsid w:val="007D58E3"/>
    <w:rsid w:val="007D696A"/>
    <w:rsid w:val="007F1873"/>
    <w:rsid w:val="007F2991"/>
    <w:rsid w:val="008068F9"/>
    <w:rsid w:val="00807BEF"/>
    <w:rsid w:val="008129B1"/>
    <w:rsid w:val="00826C66"/>
    <w:rsid w:val="0083512D"/>
    <w:rsid w:val="008401EB"/>
    <w:rsid w:val="00842D92"/>
    <w:rsid w:val="00855FF2"/>
    <w:rsid w:val="00860459"/>
    <w:rsid w:val="0088134D"/>
    <w:rsid w:val="008C0798"/>
    <w:rsid w:val="008C60A5"/>
    <w:rsid w:val="008E5251"/>
    <w:rsid w:val="008F2CAC"/>
    <w:rsid w:val="008F60E1"/>
    <w:rsid w:val="008F72B3"/>
    <w:rsid w:val="00920AC2"/>
    <w:rsid w:val="0092373B"/>
    <w:rsid w:val="00925A78"/>
    <w:rsid w:val="00937452"/>
    <w:rsid w:val="0094793B"/>
    <w:rsid w:val="00951A0D"/>
    <w:rsid w:val="009542E0"/>
    <w:rsid w:val="00970AB2"/>
    <w:rsid w:val="009765EB"/>
    <w:rsid w:val="009825EF"/>
    <w:rsid w:val="00996F33"/>
    <w:rsid w:val="009A6A11"/>
    <w:rsid w:val="009F2474"/>
    <w:rsid w:val="009F3765"/>
    <w:rsid w:val="009F5596"/>
    <w:rsid w:val="00A010F8"/>
    <w:rsid w:val="00A2158F"/>
    <w:rsid w:val="00A26924"/>
    <w:rsid w:val="00A34B5F"/>
    <w:rsid w:val="00A36C98"/>
    <w:rsid w:val="00A37F74"/>
    <w:rsid w:val="00A42F22"/>
    <w:rsid w:val="00A63D30"/>
    <w:rsid w:val="00A72BD2"/>
    <w:rsid w:val="00A96B83"/>
    <w:rsid w:val="00AA32C7"/>
    <w:rsid w:val="00AB1BCB"/>
    <w:rsid w:val="00AB6802"/>
    <w:rsid w:val="00AC4C24"/>
    <w:rsid w:val="00AD1429"/>
    <w:rsid w:val="00AE12C2"/>
    <w:rsid w:val="00AE1AA6"/>
    <w:rsid w:val="00AE372D"/>
    <w:rsid w:val="00AF21F5"/>
    <w:rsid w:val="00AF22E4"/>
    <w:rsid w:val="00AF3EFE"/>
    <w:rsid w:val="00AF4356"/>
    <w:rsid w:val="00AF4CAE"/>
    <w:rsid w:val="00AF5B21"/>
    <w:rsid w:val="00B12BA9"/>
    <w:rsid w:val="00B13DC8"/>
    <w:rsid w:val="00B2120B"/>
    <w:rsid w:val="00B302A4"/>
    <w:rsid w:val="00B722FB"/>
    <w:rsid w:val="00B73BE0"/>
    <w:rsid w:val="00B772EF"/>
    <w:rsid w:val="00B774A3"/>
    <w:rsid w:val="00B87175"/>
    <w:rsid w:val="00B87F6E"/>
    <w:rsid w:val="00B96CAE"/>
    <w:rsid w:val="00BA204F"/>
    <w:rsid w:val="00BA62B0"/>
    <w:rsid w:val="00BB2FC6"/>
    <w:rsid w:val="00BB4161"/>
    <w:rsid w:val="00BC6A0A"/>
    <w:rsid w:val="00BD0AD0"/>
    <w:rsid w:val="00BD436F"/>
    <w:rsid w:val="00BD5EF6"/>
    <w:rsid w:val="00BF32AB"/>
    <w:rsid w:val="00BF5CB2"/>
    <w:rsid w:val="00C0531C"/>
    <w:rsid w:val="00C12BEA"/>
    <w:rsid w:val="00C1626F"/>
    <w:rsid w:val="00C27767"/>
    <w:rsid w:val="00C32411"/>
    <w:rsid w:val="00C4438E"/>
    <w:rsid w:val="00C46EB0"/>
    <w:rsid w:val="00C54E64"/>
    <w:rsid w:val="00C63C6E"/>
    <w:rsid w:val="00C71732"/>
    <w:rsid w:val="00C770E6"/>
    <w:rsid w:val="00C80720"/>
    <w:rsid w:val="00C833FC"/>
    <w:rsid w:val="00CC2A47"/>
    <w:rsid w:val="00CC3163"/>
    <w:rsid w:val="00CC67EF"/>
    <w:rsid w:val="00CC68B1"/>
    <w:rsid w:val="00CD0078"/>
    <w:rsid w:val="00CD6291"/>
    <w:rsid w:val="00D07C66"/>
    <w:rsid w:val="00D116D0"/>
    <w:rsid w:val="00D15F15"/>
    <w:rsid w:val="00D16574"/>
    <w:rsid w:val="00D36E37"/>
    <w:rsid w:val="00D41070"/>
    <w:rsid w:val="00D51DBA"/>
    <w:rsid w:val="00D5433F"/>
    <w:rsid w:val="00D54FFD"/>
    <w:rsid w:val="00D737BE"/>
    <w:rsid w:val="00D777DF"/>
    <w:rsid w:val="00D86E47"/>
    <w:rsid w:val="00D949D8"/>
    <w:rsid w:val="00DA68FE"/>
    <w:rsid w:val="00DB1001"/>
    <w:rsid w:val="00DB243F"/>
    <w:rsid w:val="00DB3BC6"/>
    <w:rsid w:val="00DB595C"/>
    <w:rsid w:val="00DB6DDB"/>
    <w:rsid w:val="00DC6914"/>
    <w:rsid w:val="00DD04C9"/>
    <w:rsid w:val="00DD0BD5"/>
    <w:rsid w:val="00DD2BD6"/>
    <w:rsid w:val="00DE144A"/>
    <w:rsid w:val="00E270DF"/>
    <w:rsid w:val="00E32F37"/>
    <w:rsid w:val="00E5386E"/>
    <w:rsid w:val="00E61C5C"/>
    <w:rsid w:val="00E65B00"/>
    <w:rsid w:val="00E741FA"/>
    <w:rsid w:val="00E85321"/>
    <w:rsid w:val="00EA13D8"/>
    <w:rsid w:val="00EC4C58"/>
    <w:rsid w:val="00ED18E4"/>
    <w:rsid w:val="00ED2AAE"/>
    <w:rsid w:val="00EF6D9B"/>
    <w:rsid w:val="00EF78D6"/>
    <w:rsid w:val="00F05309"/>
    <w:rsid w:val="00F1347F"/>
    <w:rsid w:val="00F1453C"/>
    <w:rsid w:val="00F16C71"/>
    <w:rsid w:val="00F2041E"/>
    <w:rsid w:val="00F24BBA"/>
    <w:rsid w:val="00F36FBD"/>
    <w:rsid w:val="00F474D4"/>
    <w:rsid w:val="00F562CC"/>
    <w:rsid w:val="00F605EF"/>
    <w:rsid w:val="00F60845"/>
    <w:rsid w:val="00F679CD"/>
    <w:rsid w:val="00F81A04"/>
    <w:rsid w:val="00F85196"/>
    <w:rsid w:val="00F85AC2"/>
    <w:rsid w:val="00F86A1A"/>
    <w:rsid w:val="00F879D4"/>
    <w:rsid w:val="00F9439E"/>
    <w:rsid w:val="00F966F1"/>
    <w:rsid w:val="00F96A9E"/>
    <w:rsid w:val="00FA22AD"/>
    <w:rsid w:val="00FA2FC9"/>
    <w:rsid w:val="00FA3D08"/>
    <w:rsid w:val="00FC4211"/>
    <w:rsid w:val="00FD0D37"/>
    <w:rsid w:val="00FD74D9"/>
    <w:rsid w:val="00FE5035"/>
    <w:rsid w:val="13A2C7E3"/>
    <w:rsid w:val="23FAC606"/>
    <w:rsid w:val="2EA51D17"/>
    <w:rsid w:val="319D8961"/>
    <w:rsid w:val="334A8A01"/>
    <w:rsid w:val="396C4500"/>
    <w:rsid w:val="4F7F02BA"/>
    <w:rsid w:val="5DB75E29"/>
    <w:rsid w:val="61B8F6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A8A01"/>
  <w15:chartTrackingRefBased/>
  <w15:docId w15:val="{76392F8B-78F6-456F-86B3-19E239AA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C3"/>
    <w:pPr>
      <w:spacing w:after="0" w:line="36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1"/>
    <w:qFormat/>
    <w:rsid w:val="002B01EC"/>
    <w:pPr>
      <w:keepNext/>
      <w:spacing w:before="360" w:after="240" w:line="240" w:lineRule="atLeast"/>
      <w:outlineLvl w:val="0"/>
    </w:pPr>
    <w:rPr>
      <w:rFonts w:ascii="Arial" w:hAnsi="Arial" w:cs="Arial"/>
      <w:b/>
      <w:bCs/>
      <w:color w:val="000000"/>
      <w:sz w:val="36"/>
    </w:rPr>
  </w:style>
  <w:style w:type="paragraph" w:styleId="Overskrift2">
    <w:name w:val="heading 2"/>
    <w:basedOn w:val="Normal"/>
    <w:next w:val="Normal"/>
    <w:link w:val="Overskrift2Tegn"/>
    <w:uiPriority w:val="1"/>
    <w:qFormat/>
    <w:rsid w:val="002B01EC"/>
    <w:pPr>
      <w:keepNext/>
      <w:spacing w:before="360" w:after="60"/>
      <w:outlineLvl w:val="1"/>
    </w:pPr>
    <w:rPr>
      <w:rFonts w:ascii="Arial" w:hAnsi="Arial" w:cs="Arial"/>
      <w:b/>
      <w:bCs/>
      <w:iCs/>
      <w:szCs w:val="28"/>
    </w:rPr>
  </w:style>
  <w:style w:type="paragraph" w:styleId="Overskrift3">
    <w:name w:val="heading 3"/>
    <w:basedOn w:val="Normal"/>
    <w:next w:val="Normal"/>
    <w:link w:val="Overskrift3Tegn"/>
    <w:uiPriority w:val="1"/>
    <w:qFormat/>
    <w:rsid w:val="002B01EC"/>
    <w:pPr>
      <w:keepNext/>
      <w:spacing w:before="240" w:after="60"/>
      <w:outlineLvl w:val="2"/>
    </w:pPr>
    <w:rPr>
      <w:rFonts w:ascii="Arial" w:hAnsi="Arial" w:cs="Arial"/>
      <w:b/>
      <w:bCs/>
      <w:sz w:val="20"/>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1078C3"/>
    <w:rPr>
      <w:rFonts w:ascii="Arial" w:eastAsia="Times New Roman" w:hAnsi="Arial" w:cs="Arial"/>
      <w:b/>
      <w:bCs/>
      <w:color w:val="000000"/>
      <w:sz w:val="36"/>
      <w:szCs w:val="24"/>
      <w:lang w:eastAsia="da-DK"/>
    </w:rPr>
  </w:style>
  <w:style w:type="character" w:customStyle="1" w:styleId="Overskrift2Tegn">
    <w:name w:val="Overskrift 2 Tegn"/>
    <w:basedOn w:val="Standardskrifttypeiafsnit"/>
    <w:link w:val="Overskrift2"/>
    <w:uiPriority w:val="1"/>
    <w:rsid w:val="001078C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uiPriority w:val="1"/>
    <w:rsid w:val="001078C3"/>
    <w:rPr>
      <w:rFonts w:ascii="Arial" w:eastAsia="Times New Roman" w:hAnsi="Arial" w:cs="Arial"/>
      <w:b/>
      <w:bCs/>
      <w:sz w:val="20"/>
      <w:szCs w:val="26"/>
      <w:lang w:eastAsia="da-DK"/>
    </w:rPr>
  </w:style>
  <w:style w:type="paragraph" w:styleId="Sidehoved">
    <w:name w:val="header"/>
    <w:basedOn w:val="Normal"/>
    <w:link w:val="SidehovedTegn"/>
    <w:uiPriority w:val="99"/>
    <w:unhideWhenUsed/>
    <w:rsid w:val="002B01EC"/>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1078C3"/>
    <w:rPr>
      <w:rFonts w:ascii="Times New Roman" w:eastAsia="Times New Roman" w:hAnsi="Times New Roman" w:cs="Times New Roman"/>
      <w:sz w:val="24"/>
      <w:szCs w:val="24"/>
      <w:lang w:eastAsia="da-DK"/>
    </w:rPr>
  </w:style>
  <w:style w:type="paragraph" w:styleId="Sidefod">
    <w:name w:val="footer"/>
    <w:basedOn w:val="Normal"/>
    <w:link w:val="SidefodTegn"/>
    <w:uiPriority w:val="99"/>
    <w:unhideWhenUsed/>
    <w:rsid w:val="002B01EC"/>
    <w:pPr>
      <w:tabs>
        <w:tab w:val="center" w:pos="4680"/>
        <w:tab w:val="right" w:pos="9360"/>
      </w:tabs>
      <w:spacing w:line="240" w:lineRule="auto"/>
    </w:pPr>
  </w:style>
  <w:style w:type="character" w:customStyle="1" w:styleId="SidefodTegn">
    <w:name w:val="Sidefod Tegn"/>
    <w:basedOn w:val="Standardskrifttypeiafsnit"/>
    <w:link w:val="Sidefod"/>
    <w:uiPriority w:val="99"/>
    <w:rsid w:val="001078C3"/>
    <w:rPr>
      <w:rFonts w:ascii="Times New Roman" w:eastAsia="Times New Roman" w:hAnsi="Times New Roman" w:cs="Times New Roman"/>
      <w:sz w:val="24"/>
      <w:szCs w:val="24"/>
      <w:lang w:eastAsia="da-DK"/>
    </w:rPr>
  </w:style>
  <w:style w:type="paragraph" w:customStyle="1" w:styleId="KUtitel">
    <w:name w:val="KU titel"/>
    <w:basedOn w:val="Normal"/>
    <w:uiPriority w:val="99"/>
    <w:semiHidden/>
    <w:rsid w:val="002B01EC"/>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2B01EC"/>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2B01EC"/>
    <w:pPr>
      <w:spacing w:line="300" w:lineRule="exact"/>
    </w:pPr>
    <w:rPr>
      <w:caps/>
      <w:noProof/>
      <w:spacing w:val="42"/>
      <w:lang w:val="en-GB"/>
    </w:rPr>
  </w:style>
  <w:style w:type="paragraph" w:customStyle="1" w:styleId="Template-Hoved2">
    <w:name w:val="Template - Hoved 2"/>
    <w:basedOn w:val="Normal"/>
    <w:next w:val="Normal"/>
    <w:autoRedefine/>
    <w:uiPriority w:val="99"/>
    <w:semiHidden/>
    <w:rsid w:val="002B01EC"/>
    <w:pPr>
      <w:spacing w:line="280" w:lineRule="exact"/>
    </w:pPr>
    <w:rPr>
      <w:caps/>
      <w:noProof/>
      <w:spacing w:val="42"/>
      <w:sz w:val="18"/>
      <w:szCs w:val="20"/>
      <w:lang w:val="en-GB"/>
    </w:rPr>
  </w:style>
  <w:style w:type="paragraph" w:styleId="Indholdsfortegnelse1">
    <w:name w:val="toc 1"/>
    <w:basedOn w:val="Normal"/>
    <w:next w:val="Normal"/>
    <w:uiPriority w:val="39"/>
    <w:rsid w:val="002B01EC"/>
    <w:pPr>
      <w:tabs>
        <w:tab w:val="right" w:leader="dot" w:pos="9628"/>
      </w:tabs>
      <w:spacing w:before="360" w:line="240" w:lineRule="atLeast"/>
    </w:pPr>
    <w:rPr>
      <w:rFonts w:ascii="Arial" w:hAnsi="Arial" w:cs="Arial"/>
      <w:b/>
      <w:bCs/>
      <w:caps/>
      <w:szCs w:val="28"/>
    </w:rPr>
  </w:style>
  <w:style w:type="paragraph" w:styleId="Indholdsfortegnelse2">
    <w:name w:val="toc 2"/>
    <w:basedOn w:val="Normal"/>
    <w:next w:val="Normal"/>
    <w:uiPriority w:val="39"/>
    <w:rsid w:val="002B01EC"/>
    <w:pPr>
      <w:spacing w:before="240"/>
    </w:pPr>
    <w:rPr>
      <w:b/>
      <w:bCs/>
      <w:sz w:val="20"/>
    </w:rPr>
  </w:style>
  <w:style w:type="paragraph" w:styleId="Indholdsfortegnelse3">
    <w:name w:val="toc 3"/>
    <w:basedOn w:val="Normal"/>
    <w:next w:val="Normal"/>
    <w:uiPriority w:val="10"/>
    <w:semiHidden/>
    <w:rsid w:val="002B01EC"/>
    <w:pPr>
      <w:ind w:left="240"/>
    </w:pPr>
    <w:rPr>
      <w:sz w:val="20"/>
    </w:rPr>
  </w:style>
  <w:style w:type="character" w:styleId="Hyperlink">
    <w:name w:val="Hyperlink"/>
    <w:uiPriority w:val="99"/>
    <w:rsid w:val="001078C3"/>
    <w:rPr>
      <w:color w:val="0000FF"/>
      <w:u w:val="single"/>
    </w:rPr>
  </w:style>
  <w:style w:type="character" w:styleId="Sidetal">
    <w:name w:val="page number"/>
    <w:basedOn w:val="Standardskrifttypeiafsnit"/>
    <w:uiPriority w:val="99"/>
    <w:semiHidden/>
    <w:rsid w:val="001078C3"/>
  </w:style>
  <w:style w:type="table" w:styleId="Tabel-Gitter">
    <w:name w:val="Table Grid"/>
    <w:basedOn w:val="Tabel-Normal"/>
    <w:uiPriority w:val="99"/>
    <w:rsid w:val="001078C3"/>
    <w:pPr>
      <w:spacing w:after="0" w:line="300" w:lineRule="atLeast"/>
    </w:pPr>
    <w:rPr>
      <w:rFonts w:ascii="Times New Roman" w:eastAsia="Times New Roman" w:hAnsi="Times New Roman" w:cs="Times New Roman"/>
      <w:sz w:val="24"/>
      <w:szCs w:val="24"/>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plinfo">
    <w:name w:val="Suppl. info."/>
    <w:basedOn w:val="KUundertitel"/>
    <w:uiPriority w:val="99"/>
    <w:semiHidden/>
    <w:rsid w:val="001078C3"/>
    <w:rPr>
      <w:sz w:val="28"/>
    </w:rPr>
  </w:style>
  <w:style w:type="paragraph" w:styleId="Markeringsbobletekst">
    <w:name w:val="Balloon Text"/>
    <w:basedOn w:val="Normal"/>
    <w:link w:val="MarkeringsbobletekstTegn"/>
    <w:uiPriority w:val="99"/>
    <w:semiHidden/>
    <w:unhideWhenUsed/>
    <w:rsid w:val="0076536F"/>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6536F"/>
    <w:rPr>
      <w:rFonts w:ascii="Segoe UI" w:eastAsia="Times New Roman" w:hAnsi="Segoe UI" w:cs="Segoe UI"/>
      <w:sz w:val="18"/>
      <w:szCs w:val="18"/>
      <w:lang w:eastAsia="da-DK"/>
    </w:rPr>
  </w:style>
  <w:style w:type="character" w:styleId="Pladsholdertekst">
    <w:name w:val="Placeholder Text"/>
    <w:basedOn w:val="Standardskrifttypeiafsnit"/>
    <w:uiPriority w:val="99"/>
    <w:semiHidden/>
    <w:rsid w:val="00F96A9E"/>
    <w:rPr>
      <w:color w:val="808080"/>
    </w:rPr>
  </w:style>
  <w:style w:type="character" w:customStyle="1" w:styleId="normaltextrun">
    <w:name w:val="normaltextrun"/>
    <w:basedOn w:val="Standardskrifttypeiafsnit"/>
    <w:rsid w:val="00DD04C9"/>
  </w:style>
  <w:style w:type="character" w:styleId="Kommentarhenvisning">
    <w:name w:val="annotation reference"/>
    <w:basedOn w:val="Standardskrifttypeiafsnit"/>
    <w:uiPriority w:val="99"/>
    <w:semiHidden/>
    <w:unhideWhenUsed/>
    <w:rsid w:val="0044570E"/>
    <w:rPr>
      <w:sz w:val="16"/>
      <w:szCs w:val="16"/>
    </w:rPr>
  </w:style>
  <w:style w:type="paragraph" w:styleId="Kommentartekst">
    <w:name w:val="annotation text"/>
    <w:basedOn w:val="Normal"/>
    <w:link w:val="KommentartekstTegn"/>
    <w:uiPriority w:val="99"/>
    <w:semiHidden/>
    <w:unhideWhenUsed/>
    <w:rsid w:val="0044570E"/>
    <w:pPr>
      <w:spacing w:after="160" w:line="240" w:lineRule="auto"/>
    </w:pPr>
    <w:rPr>
      <w:rFonts w:asciiTheme="minorHAnsi" w:eastAsiaTheme="minorHAnsi" w:hAnsiTheme="minorHAnsi" w:cstheme="minorBidi"/>
      <w:sz w:val="20"/>
      <w:szCs w:val="20"/>
      <w:lang w:eastAsia="en-US"/>
    </w:rPr>
  </w:style>
  <w:style w:type="character" w:customStyle="1" w:styleId="KommentartekstTegn">
    <w:name w:val="Kommentartekst Tegn"/>
    <w:basedOn w:val="Standardskrifttypeiafsnit"/>
    <w:link w:val="Kommentartekst"/>
    <w:uiPriority w:val="99"/>
    <w:semiHidden/>
    <w:rsid w:val="0044570E"/>
    <w:rPr>
      <w:sz w:val="20"/>
      <w:szCs w:val="20"/>
    </w:rPr>
  </w:style>
  <w:style w:type="paragraph" w:styleId="Listeafsnit">
    <w:name w:val="List Paragraph"/>
    <w:basedOn w:val="Normal"/>
    <w:uiPriority w:val="34"/>
    <w:qFormat/>
    <w:rsid w:val="00594936"/>
    <w:pPr>
      <w:ind w:left="720"/>
      <w:contextualSpacing/>
    </w:pPr>
  </w:style>
  <w:style w:type="paragraph" w:styleId="Billedtekst">
    <w:name w:val="caption"/>
    <w:basedOn w:val="Normal"/>
    <w:next w:val="Normal"/>
    <w:uiPriority w:val="35"/>
    <w:unhideWhenUsed/>
    <w:qFormat/>
    <w:rsid w:val="00355645"/>
    <w:pPr>
      <w:spacing w:after="200" w:line="240" w:lineRule="auto"/>
    </w:pPr>
    <w:rPr>
      <w:i/>
      <w:iCs/>
      <w:color w:val="44546A" w:themeColor="text2"/>
      <w:sz w:val="18"/>
      <w:szCs w:val="18"/>
    </w:rPr>
  </w:style>
  <w:style w:type="paragraph" w:styleId="Kommentaremne">
    <w:name w:val="annotation subject"/>
    <w:basedOn w:val="Kommentartekst"/>
    <w:next w:val="Kommentartekst"/>
    <w:link w:val="KommentaremneTegn"/>
    <w:uiPriority w:val="99"/>
    <w:semiHidden/>
    <w:unhideWhenUsed/>
    <w:rsid w:val="004B03DE"/>
    <w:pPr>
      <w:spacing w:after="0"/>
    </w:pPr>
    <w:rPr>
      <w:rFonts w:ascii="Times New Roman" w:eastAsia="Times New Roman" w:hAnsi="Times New Roman" w:cs="Times New Roman"/>
      <w:b/>
      <w:bCs/>
      <w:lang w:eastAsia="da-DK"/>
    </w:rPr>
  </w:style>
  <w:style w:type="character" w:customStyle="1" w:styleId="KommentaremneTegn">
    <w:name w:val="Kommentaremne Tegn"/>
    <w:basedOn w:val="KommentartekstTegn"/>
    <w:link w:val="Kommentaremne"/>
    <w:uiPriority w:val="99"/>
    <w:semiHidden/>
    <w:rsid w:val="004B03DE"/>
    <w:rPr>
      <w:rFonts w:ascii="Times New Roman" w:eastAsia="Times New Roman" w:hAnsi="Times New Roman" w:cs="Times New Roman"/>
      <w:b/>
      <w:bCs/>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4e62bf1eb674fb63/Dokumenter/UNI/Kognitionspsykologi/Eksperimenter/8%20TVA/Data%20til%20plots_20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b="0"/>
            </a:pPr>
            <a:r>
              <a:rPr lang="da-DK" sz="2000" b="0"/>
              <a:t>TVA</a:t>
            </a:r>
            <a:r>
              <a:rPr lang="da-DK" sz="2000" b="0" baseline="0"/>
              <a:t> plot FP19201 </a:t>
            </a:r>
            <a:endParaRPr lang="da-DK" sz="2000" b="0"/>
          </a:p>
        </c:rich>
      </c:tx>
      <c:overlay val="1"/>
    </c:title>
    <c:autoTitleDeleted val="0"/>
    <c:plotArea>
      <c:layout>
        <c:manualLayout>
          <c:layoutTarget val="inner"/>
          <c:xMode val="edge"/>
          <c:yMode val="edge"/>
          <c:x val="8.8544109082471595E-2"/>
          <c:y val="0.12999125109361301"/>
          <c:w val="0.85892767007791504"/>
          <c:h val="0.70202441158269901"/>
        </c:manualLayout>
      </c:layout>
      <c:scatterChart>
        <c:scatterStyle val="lineMarker"/>
        <c:varyColors val="0"/>
        <c:ser>
          <c:idx val="0"/>
          <c:order val="0"/>
          <c:tx>
            <c:v>Observed data</c:v>
          </c:tx>
          <c:spPr>
            <a:ln>
              <a:noFill/>
            </a:ln>
          </c:spPr>
          <c:marker>
            <c:symbol val="diamond"/>
            <c:size val="8"/>
            <c:spPr>
              <a:solidFill>
                <a:schemeClr val="accent5">
                  <a:lumMod val="50000"/>
                </a:schemeClr>
              </a:solidFill>
              <a:ln>
                <a:solidFill>
                  <a:schemeClr val="accent5">
                    <a:lumMod val="50000"/>
                  </a:schemeClr>
                </a:solidFill>
              </a:ln>
            </c:spPr>
          </c:marker>
          <c:xVal>
            <c:numRef>
              <c:f>'[Data til plots_2019.xlsx]Data til plots'!$E$27:$J$27</c:f>
              <c:numCache>
                <c:formatCode>General</c:formatCode>
                <c:ptCount val="6"/>
                <c:pt idx="0">
                  <c:v>16</c:v>
                </c:pt>
                <c:pt idx="1">
                  <c:v>32</c:v>
                </c:pt>
                <c:pt idx="2">
                  <c:v>50</c:v>
                </c:pt>
                <c:pt idx="3">
                  <c:v>83</c:v>
                </c:pt>
                <c:pt idx="4">
                  <c:v>150</c:v>
                </c:pt>
                <c:pt idx="5">
                  <c:v>200</c:v>
                </c:pt>
              </c:numCache>
            </c:numRef>
          </c:xVal>
          <c:yVal>
            <c:numRef>
              <c:f>'[Data til plots_2019.xlsx]Data til plots'!$E$28:$J$28</c:f>
              <c:numCache>
                <c:formatCode>0.00</c:formatCode>
                <c:ptCount val="6"/>
                <c:pt idx="0">
                  <c:v>7.4074000000000001E-2</c:v>
                </c:pt>
                <c:pt idx="1">
                  <c:v>0.66666700000000001</c:v>
                </c:pt>
                <c:pt idx="2">
                  <c:v>1.4074070000000001</c:v>
                </c:pt>
                <c:pt idx="3">
                  <c:v>2.1481479999999999</c:v>
                </c:pt>
                <c:pt idx="4">
                  <c:v>2.7037040000000001</c:v>
                </c:pt>
                <c:pt idx="5">
                  <c:v>3.2222219999999999</c:v>
                </c:pt>
              </c:numCache>
            </c:numRef>
          </c:yVal>
          <c:smooth val="0"/>
          <c:extLst>
            <c:ext xmlns:c16="http://schemas.microsoft.com/office/drawing/2014/chart" uri="{C3380CC4-5D6E-409C-BE32-E72D297353CC}">
              <c16:uniqueId val="{00000000-15CC-41C7-93CF-7B39FB28D692}"/>
            </c:ext>
          </c:extLst>
        </c:ser>
        <c:ser>
          <c:idx val="1"/>
          <c:order val="1"/>
          <c:tx>
            <c:v>Modelled data</c:v>
          </c:tx>
          <c:spPr>
            <a:ln>
              <a:solidFill>
                <a:schemeClr val="bg1">
                  <a:lumMod val="50000"/>
                </a:schemeClr>
              </a:solidFill>
            </a:ln>
          </c:spPr>
          <c:marker>
            <c:symbol val="none"/>
          </c:marker>
          <c:xVal>
            <c:numRef>
              <c:f>'[Data til plots_2019.xlsx]Data til plots'!$E$27:$J$27</c:f>
              <c:numCache>
                <c:formatCode>General</c:formatCode>
                <c:ptCount val="6"/>
                <c:pt idx="0">
                  <c:v>16</c:v>
                </c:pt>
                <c:pt idx="1">
                  <c:v>32</c:v>
                </c:pt>
                <c:pt idx="2">
                  <c:v>50</c:v>
                </c:pt>
                <c:pt idx="3">
                  <c:v>83</c:v>
                </c:pt>
                <c:pt idx="4">
                  <c:v>150</c:v>
                </c:pt>
                <c:pt idx="5">
                  <c:v>200</c:v>
                </c:pt>
              </c:numCache>
            </c:numRef>
          </c:xVal>
          <c:yVal>
            <c:numRef>
              <c:f>'[Data til plots_2019.xlsx]Data til plots'!$E$29:$J$29</c:f>
              <c:numCache>
                <c:formatCode>0.00</c:formatCode>
                <c:ptCount val="6"/>
                <c:pt idx="0">
                  <c:v>5.7217999999999998E-2</c:v>
                </c:pt>
                <c:pt idx="1">
                  <c:v>0.72130099999999997</c:v>
                </c:pt>
                <c:pt idx="2">
                  <c:v>1.249873</c:v>
                </c:pt>
                <c:pt idx="3">
                  <c:v>2.2614459999999998</c:v>
                </c:pt>
                <c:pt idx="4">
                  <c:v>2.7702659999999999</c:v>
                </c:pt>
                <c:pt idx="5">
                  <c:v>3.0513560000000002</c:v>
                </c:pt>
              </c:numCache>
            </c:numRef>
          </c:yVal>
          <c:smooth val="0"/>
          <c:extLst>
            <c:ext xmlns:c16="http://schemas.microsoft.com/office/drawing/2014/chart" uri="{C3380CC4-5D6E-409C-BE32-E72D297353CC}">
              <c16:uniqueId val="{00000001-15CC-41C7-93CF-7B39FB28D692}"/>
            </c:ext>
          </c:extLst>
        </c:ser>
        <c:dLbls>
          <c:showLegendKey val="0"/>
          <c:showVal val="0"/>
          <c:showCatName val="0"/>
          <c:showSerName val="0"/>
          <c:showPercent val="0"/>
          <c:showBubbleSize val="0"/>
        </c:dLbls>
        <c:axId val="-2079146800"/>
        <c:axId val="-2083667504"/>
      </c:scatterChart>
      <c:valAx>
        <c:axId val="-2079146800"/>
        <c:scaling>
          <c:orientation val="minMax"/>
          <c:max val="250"/>
        </c:scaling>
        <c:delete val="0"/>
        <c:axPos val="b"/>
        <c:title>
          <c:tx>
            <c:rich>
              <a:bodyPr/>
              <a:lstStyle/>
              <a:p>
                <a:pPr>
                  <a:defRPr sz="1200" b="0"/>
                </a:pPr>
                <a:r>
                  <a:rPr lang="en-US" sz="1200" b="0"/>
                  <a:t>Exposure duration (ms)</a:t>
                </a:r>
              </a:p>
            </c:rich>
          </c:tx>
          <c:layout>
            <c:manualLayout>
              <c:xMode val="edge"/>
              <c:yMode val="edge"/>
              <c:x val="0.41575561924667398"/>
              <c:y val="0.924217700167137"/>
            </c:manualLayout>
          </c:layout>
          <c:overlay val="0"/>
        </c:title>
        <c:numFmt formatCode="0" sourceLinked="0"/>
        <c:majorTickMark val="out"/>
        <c:minorTickMark val="none"/>
        <c:tickLblPos val="nextTo"/>
        <c:txPr>
          <a:bodyPr/>
          <a:lstStyle/>
          <a:p>
            <a:pPr>
              <a:defRPr sz="1100"/>
            </a:pPr>
            <a:endParaRPr lang="da-DK"/>
          </a:p>
        </c:txPr>
        <c:crossAx val="-2083667504"/>
        <c:crosses val="autoZero"/>
        <c:crossBetween val="midCat"/>
      </c:valAx>
      <c:valAx>
        <c:axId val="-2083667504"/>
        <c:scaling>
          <c:orientation val="minMax"/>
        </c:scaling>
        <c:delete val="0"/>
        <c:axPos val="l"/>
        <c:title>
          <c:tx>
            <c:rich>
              <a:bodyPr rot="-5400000" vert="horz"/>
              <a:lstStyle/>
              <a:p>
                <a:pPr>
                  <a:defRPr sz="1200" b="0"/>
                </a:pPr>
                <a:r>
                  <a:rPr lang="en-US" sz="1200" b="0"/>
                  <a:t>Letters correctly reported</a:t>
                </a:r>
              </a:p>
            </c:rich>
          </c:tx>
          <c:overlay val="0"/>
        </c:title>
        <c:numFmt formatCode="0.00" sourceLinked="1"/>
        <c:majorTickMark val="out"/>
        <c:minorTickMark val="none"/>
        <c:tickLblPos val="nextTo"/>
        <c:txPr>
          <a:bodyPr/>
          <a:lstStyle/>
          <a:p>
            <a:pPr>
              <a:defRPr sz="1100"/>
            </a:pPr>
            <a:endParaRPr lang="da-DK"/>
          </a:p>
        </c:txPr>
        <c:crossAx val="-2079146800"/>
        <c:crosses val="autoZero"/>
        <c:crossBetween val="midCat"/>
        <c:majorUnit val="1"/>
      </c:valAx>
    </c:plotArea>
    <c:legend>
      <c:legendPos val="r"/>
      <c:layout>
        <c:manualLayout>
          <c:xMode val="edge"/>
          <c:yMode val="edge"/>
          <c:x val="0.65320130228107198"/>
          <c:y val="0.63062458656082598"/>
          <c:w val="0.24222996564002799"/>
          <c:h val="9.9547404135458706E-2"/>
        </c:manualLayout>
      </c:layout>
      <c:overlay val="0"/>
      <c:txPr>
        <a:bodyPr/>
        <a:lstStyle/>
        <a:p>
          <a:pPr>
            <a:defRPr sz="1200"/>
          </a:pPr>
          <a:endParaRPr lang="da-DK"/>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EE255-C9A0-4A6C-9486-6350F54F4A61}">
  <ds:schemaRefs>
    <ds:schemaRef ds:uri="http://schemas.microsoft.com/sharepoint/v3/contenttype/forms"/>
  </ds:schemaRefs>
</ds:datastoreItem>
</file>

<file path=customXml/itemProps2.xml><?xml version="1.0" encoding="utf-8"?>
<ds:datastoreItem xmlns:ds="http://schemas.openxmlformats.org/officeDocument/2006/customXml" ds:itemID="{D2B94C7C-E84A-4BD8-ACD8-0CA00DFAF7FF}"/>
</file>

<file path=customXml/itemProps3.xml><?xml version="1.0" encoding="utf-8"?>
<ds:datastoreItem xmlns:ds="http://schemas.openxmlformats.org/officeDocument/2006/customXml" ds:itemID="{7FB1E711-026D-4BC0-88C5-C2DC205A70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01BD7A-38B2-44AF-BDB5-E12E5EEF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7</Pages>
  <Words>2351</Words>
  <Characters>14346</Characters>
  <Application>Microsoft Office Word</Application>
  <DocSecurity>0</DocSecurity>
  <Lines>119</Lines>
  <Paragraphs>33</Paragraphs>
  <ScaleCrop>false</ScaleCrop>
  <Company/>
  <LinksUpToDate>false</LinksUpToDate>
  <CharactersWithSpaces>16664</CharactersWithSpaces>
  <SharedDoc>false</SharedDoc>
  <HLinks>
    <vt:vector size="54" baseType="variant">
      <vt:variant>
        <vt:i4>1900594</vt:i4>
      </vt:variant>
      <vt:variant>
        <vt:i4>50</vt:i4>
      </vt:variant>
      <vt:variant>
        <vt:i4>0</vt:i4>
      </vt:variant>
      <vt:variant>
        <vt:i4>5</vt:i4>
      </vt:variant>
      <vt:variant>
        <vt:lpwstr/>
      </vt:variant>
      <vt:variant>
        <vt:lpwstr>_Toc287972097</vt:lpwstr>
      </vt:variant>
      <vt:variant>
        <vt:i4>1900594</vt:i4>
      </vt:variant>
      <vt:variant>
        <vt:i4>44</vt:i4>
      </vt:variant>
      <vt:variant>
        <vt:i4>0</vt:i4>
      </vt:variant>
      <vt:variant>
        <vt:i4>5</vt:i4>
      </vt:variant>
      <vt:variant>
        <vt:lpwstr/>
      </vt:variant>
      <vt:variant>
        <vt:lpwstr>_Toc287972096</vt:lpwstr>
      </vt:variant>
      <vt:variant>
        <vt:i4>1900594</vt:i4>
      </vt:variant>
      <vt:variant>
        <vt:i4>38</vt:i4>
      </vt:variant>
      <vt:variant>
        <vt:i4>0</vt:i4>
      </vt:variant>
      <vt:variant>
        <vt:i4>5</vt:i4>
      </vt:variant>
      <vt:variant>
        <vt:lpwstr/>
      </vt:variant>
      <vt:variant>
        <vt:lpwstr>_Toc287972095</vt:lpwstr>
      </vt:variant>
      <vt:variant>
        <vt:i4>1900594</vt:i4>
      </vt:variant>
      <vt:variant>
        <vt:i4>32</vt:i4>
      </vt:variant>
      <vt:variant>
        <vt:i4>0</vt:i4>
      </vt:variant>
      <vt:variant>
        <vt:i4>5</vt:i4>
      </vt:variant>
      <vt:variant>
        <vt:lpwstr/>
      </vt:variant>
      <vt:variant>
        <vt:lpwstr>_Toc287972094</vt:lpwstr>
      </vt:variant>
      <vt:variant>
        <vt:i4>1900594</vt:i4>
      </vt:variant>
      <vt:variant>
        <vt:i4>26</vt:i4>
      </vt:variant>
      <vt:variant>
        <vt:i4>0</vt:i4>
      </vt:variant>
      <vt:variant>
        <vt:i4>5</vt:i4>
      </vt:variant>
      <vt:variant>
        <vt:lpwstr/>
      </vt:variant>
      <vt:variant>
        <vt:lpwstr>_Toc287972093</vt:lpwstr>
      </vt:variant>
      <vt:variant>
        <vt:i4>1900594</vt:i4>
      </vt:variant>
      <vt:variant>
        <vt:i4>20</vt:i4>
      </vt:variant>
      <vt:variant>
        <vt:i4>0</vt:i4>
      </vt:variant>
      <vt:variant>
        <vt:i4>5</vt:i4>
      </vt:variant>
      <vt:variant>
        <vt:lpwstr/>
      </vt:variant>
      <vt:variant>
        <vt:lpwstr>_Toc287972092</vt:lpwstr>
      </vt:variant>
      <vt:variant>
        <vt:i4>1900594</vt:i4>
      </vt:variant>
      <vt:variant>
        <vt:i4>14</vt:i4>
      </vt:variant>
      <vt:variant>
        <vt:i4>0</vt:i4>
      </vt:variant>
      <vt:variant>
        <vt:i4>5</vt:i4>
      </vt:variant>
      <vt:variant>
        <vt:lpwstr/>
      </vt:variant>
      <vt:variant>
        <vt:lpwstr>_Toc287972091</vt:lpwstr>
      </vt:variant>
      <vt:variant>
        <vt:i4>1900594</vt:i4>
      </vt:variant>
      <vt:variant>
        <vt:i4>8</vt:i4>
      </vt:variant>
      <vt:variant>
        <vt:i4>0</vt:i4>
      </vt:variant>
      <vt:variant>
        <vt:i4>5</vt:i4>
      </vt:variant>
      <vt:variant>
        <vt:lpwstr/>
      </vt:variant>
      <vt:variant>
        <vt:lpwstr>_Toc287972090</vt:lpwstr>
      </vt:variant>
      <vt:variant>
        <vt:i4>1835058</vt:i4>
      </vt:variant>
      <vt:variant>
        <vt:i4>2</vt:i4>
      </vt:variant>
      <vt:variant>
        <vt:i4>0</vt:i4>
      </vt:variant>
      <vt:variant>
        <vt:i4>5</vt:i4>
      </vt:variant>
      <vt:variant>
        <vt:lpwstr/>
      </vt:variant>
      <vt:variant>
        <vt:lpwstr>_Toc287972089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Misfeldt Beck</dc:creator>
  <cp:keywords/>
  <dc:description/>
  <cp:lastModifiedBy>Frederik Bredgaard</cp:lastModifiedBy>
  <cp:revision>313</cp:revision>
  <dcterms:created xsi:type="dcterms:W3CDTF">2019-09-19T10:34:00Z</dcterms:created>
  <dcterms:modified xsi:type="dcterms:W3CDTF">2019-12-03T16:03:00Z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y fmtid="{D5CDD505-2E9C-101B-9397-08002B2CF9AE}" pid="3" name="Mendeley Document_1">
    <vt:lpwstr>True</vt:lpwstr>
  </property>
  <property fmtid="{D5CDD505-2E9C-101B-9397-08002B2CF9AE}" pid="4" name="Mendeley Unique User Id_1">
    <vt:lpwstr>abfc7c20-72e8-3a17-9c4f-3e1e21a8d8dc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