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0EF2D62" w:rsidR="00413E1B" w:rsidRDefault="00B750E0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51095488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9200"/>
                <wp:effectExtent l="0" t="0" r="1016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7103F0CD" w:rsidR="003F5486" w:rsidRPr="004C4940" w:rsidRDefault="00171367" w:rsidP="00413E1B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STERNBERG</w:t>
                            </w:r>
                          </w:p>
                          <w:p w14:paraId="3F39ECF2" w14:textId="0545B3FB" w:rsidR="00171367" w:rsidRPr="004C4940" w:rsidRDefault="00171367" w:rsidP="00815E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hanging="21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Aim and assumptions</w:t>
                            </w:r>
                          </w:p>
                          <w:p w14:paraId="5E16508A" w14:textId="736CD4C4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142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Aim: how subjects search short-term memory for probe in recognition task</w:t>
                            </w:r>
                          </w:p>
                          <w:p w14:paraId="312B577E" w14:textId="691BEB66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Stage theory: cognitive processes unfold in discrete stages, RT reflects sum</w:t>
                            </w: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098B6BC1" w14:textId="77777777" w:rsidR="00171367" w:rsidRPr="004C4940" w:rsidRDefault="00171367" w:rsidP="00815E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hanging="21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Method</w:t>
                            </w:r>
                          </w:p>
                          <w:p w14:paraId="120036D6" w14:textId="77777777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Computer screen: memory set of 2, 3, 5 letters, blank screen, probe</w:t>
                            </w:r>
                          </w:p>
                          <w:p w14:paraId="611835B1" w14:textId="1726E68B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Probe: single test letter, present or absent, respond yes/no, quality distortion</w:t>
                            </w: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46A503BB" w14:textId="24E9BDD9" w:rsidR="00171367" w:rsidRPr="004C4940" w:rsidRDefault="00171367" w:rsidP="00815E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hanging="21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 types: when searching for probe in STM</w:t>
                            </w:r>
                          </w:p>
                          <w:p w14:paraId="7149B18A" w14:textId="4920A00D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Serial or parallel: for serial, RT increase w. set size (draw), parallel (draw)</w:t>
                            </w:r>
                          </w:p>
                          <w:p w14:paraId="03A8EC91" w14:textId="5068FA43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serial: self-terminating (stop at match) or exhaustive (entire set), self-terminating display lower RT slope (search terminate faster)</w:t>
                            </w:r>
                          </w:p>
                          <w:p w14:paraId="6655AD6A" w14:textId="2A734545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Unmasking: during encoding or comparison</w:t>
                            </w:r>
                          </w:p>
                          <w:p w14:paraId="233520A4" w14:textId="0B914CC9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Hypotheses (Sternberg’s results): serial-exhaustive search, unmasking during encoding</w:t>
                            </w:r>
                          </w:p>
                          <w:p w14:paraId="603B7024" w14:textId="77777777" w:rsidR="00171367" w:rsidRPr="004C4940" w:rsidRDefault="00171367" w:rsidP="00171367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left="93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092041" w14:textId="4A1E130B" w:rsidR="00171367" w:rsidRPr="004C4940" w:rsidRDefault="00171367" w:rsidP="00815E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hanging="21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Results</w:t>
                            </w:r>
                          </w:p>
                          <w:p w14:paraId="7ECD65C8" w14:textId="0CEDBC69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1: mean RT across set size for test letter and masking conditions</w:t>
                            </w:r>
                          </w:p>
                          <w:p w14:paraId="1761AFC9" w14:textId="4D52B511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Unmasked: sig. main effects of set size and test letter, no interaction -&gt; serial exhaustive (</w:t>
                            </w:r>
                          </w:p>
                          <w:p w14:paraId="637B7BBD" w14:textId="4A3AD381" w:rsidR="00171367" w:rsidRPr="004C4940" w:rsidRDefault="00171367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2: possible interaction, serial self-terminating -&gt; individual differences</w:t>
                            </w: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 </w:t>
                            </w:r>
                          </w:p>
                          <w:p w14:paraId="735C9AAC" w14:textId="7DAD5BEC" w:rsidR="00171367" w:rsidRPr="004C4940" w:rsidRDefault="00171367" w:rsidP="00815E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hanging="21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Results:</w:t>
                            </w:r>
                            <w:r w:rsidR="00434AD8"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influence of</w:t>
                            </w: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masking (Figure 3)</w:t>
                            </w:r>
                          </w:p>
                          <w:p w14:paraId="7EAC7B52" w14:textId="2580681A" w:rsidR="00434AD8" w:rsidRPr="004C4940" w:rsidRDefault="00434AD8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284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Gap between graphs: masked letters demand longer RT; slopes follow same increase</w:t>
                            </w:r>
                          </w:p>
                          <w:p w14:paraId="4A26692A" w14:textId="1262A805" w:rsidR="00434AD8" w:rsidRPr="004C4940" w:rsidRDefault="00434AD8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284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Sternberg: unmasking during encoding -&gt; increase intercept, unmasking during comparison -&gt; increased slope (greater set require further unmasking to be certain)</w:t>
                            </w:r>
                          </w:p>
                          <w:p w14:paraId="6DD48EEC" w14:textId="1DD4592C" w:rsidR="00434AD8" w:rsidRPr="004C4940" w:rsidRDefault="00434AD8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284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Unmasking during encoding: confirmed by t-test on fitted lines</w:t>
                            </w: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6EB9CF71" w14:textId="641AE42D" w:rsidR="00171367" w:rsidRPr="004C4940" w:rsidRDefault="00171367" w:rsidP="00815E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hanging="21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Results: accuracy</w:t>
                            </w:r>
                            <w:r w:rsidR="00815ECA"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(Figure 4)</w:t>
                            </w:r>
                          </w:p>
                          <w:p w14:paraId="76B06CEF" w14:textId="5CBD4F39" w:rsidR="00815ECA" w:rsidRPr="004C4940" w:rsidRDefault="00815ECA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Sig. main effects: set size, test letter </w:t>
                            </w:r>
                          </w:p>
                          <w:p w14:paraId="65951C31" w14:textId="003FE832" w:rsidR="00815ECA" w:rsidRPr="004C4940" w:rsidRDefault="00815ECA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Sig. interactions: set size and masking, masking and test letter, three-way</w:t>
                            </w: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3B279D88" w14:textId="2EBB84CE" w:rsidR="00171367" w:rsidRPr="004C4940" w:rsidRDefault="00171367" w:rsidP="00815E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hanging="21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Criticism</w:t>
                            </w:r>
                          </w:p>
                          <w:p w14:paraId="6AE2A6FB" w14:textId="60DE43BD" w:rsidR="00815ECA" w:rsidRPr="004C4940" w:rsidRDefault="00815ECA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Paradigm: stage theory (stages may overlap/influence)</w:t>
                            </w:r>
                          </w:p>
                          <w:p w14:paraId="49D9A332" w14:textId="5F1D3347" w:rsidR="00815ECA" w:rsidRPr="004C4940" w:rsidRDefault="00815ECA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LTM involvement: combinations triggering semantic/episodic memories, priming</w:t>
                            </w:r>
                          </w:p>
                          <w:p w14:paraId="7E451197" w14:textId="78F91ED8" w:rsidR="00815ECA" w:rsidRPr="004C4940" w:rsidRDefault="00815ECA" w:rsidP="00815ECA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Parallel search: battery analogy</w:t>
                            </w:r>
                          </w:p>
                          <w:p w14:paraId="0821443A" w14:textId="77777777" w:rsidR="00815ECA" w:rsidRPr="004C4940" w:rsidRDefault="00815ECA" w:rsidP="00815ECA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left="567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ADF8E7" w14:textId="081B25F0" w:rsidR="00171367" w:rsidRPr="004C4940" w:rsidRDefault="00171367" w:rsidP="00815E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26"/>
                              </w:tabs>
                              <w:ind w:hanging="21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Broad perspective</w:t>
                            </w:r>
                            <w:r w:rsidR="00815ECA" w:rsidRPr="004C4940"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STM capacity, separation by modalities according to research/models</w:t>
                            </w:r>
                          </w:p>
                          <w:p w14:paraId="3D530ADA" w14:textId="35D42F0D" w:rsidR="00413E1B" w:rsidRPr="004C4940" w:rsidRDefault="00413E1B" w:rsidP="00413E1B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D3D23E" w14:textId="6EB3D51C" w:rsidR="00413E1B" w:rsidRPr="004C4940" w:rsidRDefault="00413E1B" w:rsidP="00413E1B">
                            <w:pPr>
                              <w:pStyle w:val="ListParagraph"/>
                              <w:ind w:left="218"/>
                              <w:rPr>
                                <w:rFonts w:ascii="Times New Roman" w:hAnsi="Times New Roman"/>
                                <w:color w:val="00000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26" style="position:absolute;left:0;text-align:left;margin-left:26.85pt;margin-top:-2pt;width:485.2pt;height:566.1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" filled="f" strokecolor="#290100 [328]" strokeweight="2pt">
                <v:textbox>
                  <w:txbxContent>
                    <w:p w14:paraId="2E950A87" w14:textId="7103F0CD" w:rsidR="003F5486" w:rsidRPr="004C4940" w:rsidRDefault="00171367" w:rsidP="00413E1B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u w:val="single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u w:val="single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STERNBERG</w:t>
                      </w:r>
                    </w:p>
                    <w:p w14:paraId="3F39ECF2" w14:textId="0545B3FB" w:rsidR="00171367" w:rsidRPr="004C4940" w:rsidRDefault="00171367" w:rsidP="00815E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426"/>
                        </w:tabs>
                        <w:ind w:hanging="21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Aim and assumptions</w:t>
                      </w:r>
                    </w:p>
                    <w:p w14:paraId="5E16508A" w14:textId="736CD4C4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142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Aim: how subjects search short-term memory for probe in recognition task</w:t>
                      </w:r>
                    </w:p>
                    <w:p w14:paraId="312B577E" w14:textId="691BEB66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Stage theory: cognitive processes unfold in discrete stages, RT reflects sum</w:t>
                      </w: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098B6BC1" w14:textId="77777777" w:rsidR="00171367" w:rsidRPr="004C4940" w:rsidRDefault="00171367" w:rsidP="00815E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426"/>
                        </w:tabs>
                        <w:ind w:hanging="21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Method</w:t>
                      </w:r>
                    </w:p>
                    <w:p w14:paraId="120036D6" w14:textId="77777777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Computer screen: memory set of 2, 3, 5 letters, blank screen, probe</w:t>
                      </w:r>
                    </w:p>
                    <w:p w14:paraId="611835B1" w14:textId="1726E68B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Probe: single test letter, present or absent, respond yes/no, quality distortion</w:t>
                      </w: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46A503BB" w14:textId="24E9BDD9" w:rsidR="00171367" w:rsidRPr="004C4940" w:rsidRDefault="00171367" w:rsidP="00815E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426"/>
                        </w:tabs>
                        <w:ind w:hanging="21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Search types: when searching for probe in STM</w:t>
                      </w:r>
                    </w:p>
                    <w:p w14:paraId="7149B18A" w14:textId="4920A00D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Serial or parallel: for serial, RT increase w. set size (draw), parallel (draw)</w:t>
                      </w:r>
                    </w:p>
                    <w:p w14:paraId="03A8EC91" w14:textId="5068FA43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serial: self-terminating (stop at match) or exhaustive (entire set), self-terminating display lower RT slope (search terminate faster)</w:t>
                      </w:r>
                    </w:p>
                    <w:p w14:paraId="6655AD6A" w14:textId="2A734545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Unmasking: during encoding or comparison</w:t>
                      </w:r>
                    </w:p>
                    <w:p w14:paraId="233520A4" w14:textId="0B914CC9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Hypotheses (Sternberg’s results): serial-exhaustive search, unmasking during encoding</w:t>
                      </w:r>
                    </w:p>
                    <w:p w14:paraId="603B7024" w14:textId="77777777" w:rsidR="00171367" w:rsidRPr="004C4940" w:rsidRDefault="00171367" w:rsidP="00171367">
                      <w:pPr>
                        <w:pStyle w:val="ListParagraph"/>
                        <w:tabs>
                          <w:tab w:val="left" w:pos="426"/>
                        </w:tabs>
                        <w:ind w:left="93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092041" w14:textId="4A1E130B" w:rsidR="00171367" w:rsidRPr="004C4940" w:rsidRDefault="00171367" w:rsidP="00815E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426"/>
                        </w:tabs>
                        <w:ind w:hanging="21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Results</w:t>
                      </w:r>
                    </w:p>
                    <w:p w14:paraId="7ECD65C8" w14:textId="0CEDBC69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1: mean RT across set size for test letter and masking conditions</w:t>
                      </w:r>
                    </w:p>
                    <w:p w14:paraId="1761AFC9" w14:textId="4D52B511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Unmasked: sig. main effects of set size and test letter, no interaction -&gt; serial exhaustive (</w:t>
                      </w:r>
                    </w:p>
                    <w:p w14:paraId="637B7BBD" w14:textId="4A3AD381" w:rsidR="00171367" w:rsidRPr="004C4940" w:rsidRDefault="00171367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2: possible interaction, serial self-terminating -&gt; individual differences</w:t>
                      </w: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 </w:t>
                      </w:r>
                    </w:p>
                    <w:p w14:paraId="735C9AAC" w14:textId="7DAD5BEC" w:rsidR="00171367" w:rsidRPr="004C4940" w:rsidRDefault="00171367" w:rsidP="00815E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426"/>
                        </w:tabs>
                        <w:ind w:hanging="21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Results:</w:t>
                      </w:r>
                      <w:r w:rsidR="00434AD8"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influence of</w:t>
                      </w: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masking (Figure 3)</w:t>
                      </w:r>
                    </w:p>
                    <w:p w14:paraId="7EAC7B52" w14:textId="2580681A" w:rsidR="00434AD8" w:rsidRPr="004C4940" w:rsidRDefault="00434AD8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284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Gap between graphs: masked letters demand longer RT; slopes follow same increase</w:t>
                      </w:r>
                    </w:p>
                    <w:p w14:paraId="4A26692A" w14:textId="1262A805" w:rsidR="00434AD8" w:rsidRPr="004C4940" w:rsidRDefault="00434AD8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284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Sternberg: unmasking during encoding -&gt; increase intercept, unmasking during comparison -&gt; increased slope (greater set require further unmasking to be certain)</w:t>
                      </w:r>
                    </w:p>
                    <w:p w14:paraId="6DD48EEC" w14:textId="1DD4592C" w:rsidR="00434AD8" w:rsidRPr="004C4940" w:rsidRDefault="00434AD8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284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Unmasking during encoding: confirmed by t-test on fitted lines</w:t>
                      </w: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6EB9CF71" w14:textId="641AE42D" w:rsidR="00171367" w:rsidRPr="004C4940" w:rsidRDefault="00171367" w:rsidP="00815E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426"/>
                        </w:tabs>
                        <w:ind w:hanging="21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Results: accuracy</w:t>
                      </w:r>
                      <w:r w:rsidR="00815ECA"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(Figure 4)</w:t>
                      </w:r>
                    </w:p>
                    <w:p w14:paraId="76B06CEF" w14:textId="5CBD4F39" w:rsidR="00815ECA" w:rsidRPr="004C4940" w:rsidRDefault="00815ECA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Sig. main effects: set size, test letter </w:t>
                      </w:r>
                    </w:p>
                    <w:p w14:paraId="65951C31" w14:textId="003FE832" w:rsidR="00815ECA" w:rsidRPr="004C4940" w:rsidRDefault="00815ECA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Sig. interactions: set size and masking, masking and test letter, three-way</w:t>
                      </w: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3B279D88" w14:textId="2EBB84CE" w:rsidR="00171367" w:rsidRPr="004C4940" w:rsidRDefault="00171367" w:rsidP="00815E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426"/>
                        </w:tabs>
                        <w:ind w:hanging="21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Criticism</w:t>
                      </w:r>
                    </w:p>
                    <w:p w14:paraId="6AE2A6FB" w14:textId="60DE43BD" w:rsidR="00815ECA" w:rsidRPr="004C4940" w:rsidRDefault="00815ECA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Paradigm: stage theory (stages may overlap/influence)</w:t>
                      </w:r>
                    </w:p>
                    <w:p w14:paraId="49D9A332" w14:textId="5F1D3347" w:rsidR="00815ECA" w:rsidRPr="004C4940" w:rsidRDefault="00815ECA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LTM involvement: combinations triggering semantic/episodic memories, priming</w:t>
                      </w:r>
                    </w:p>
                    <w:p w14:paraId="7E451197" w14:textId="78F91ED8" w:rsidR="00815ECA" w:rsidRPr="004C4940" w:rsidRDefault="00815ECA" w:rsidP="00815ECA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tabs>
                          <w:tab w:val="left" w:pos="426"/>
                        </w:tabs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Parallel search: battery analogy</w:t>
                      </w:r>
                    </w:p>
                    <w:p w14:paraId="0821443A" w14:textId="77777777" w:rsidR="00815ECA" w:rsidRPr="004C4940" w:rsidRDefault="00815ECA" w:rsidP="00815ECA">
                      <w:pPr>
                        <w:pStyle w:val="ListParagraph"/>
                        <w:tabs>
                          <w:tab w:val="left" w:pos="426"/>
                        </w:tabs>
                        <w:ind w:left="567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ADF8E7" w14:textId="081B25F0" w:rsidR="00171367" w:rsidRPr="004C4940" w:rsidRDefault="00171367" w:rsidP="00815E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426"/>
                        </w:tabs>
                        <w:ind w:hanging="21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Broad perspective</w:t>
                      </w:r>
                      <w:r w:rsidR="00815ECA" w:rsidRPr="004C4940"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STM capacity, separation by modalities according to research/models</w:t>
                      </w:r>
                    </w:p>
                    <w:p w14:paraId="3D530ADA" w14:textId="35D42F0D" w:rsidR="00413E1B" w:rsidRPr="004C4940" w:rsidRDefault="00413E1B" w:rsidP="00413E1B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D3D23E" w14:textId="6EB3D51C" w:rsidR="00413E1B" w:rsidRPr="004C4940" w:rsidRDefault="00413E1B" w:rsidP="00413E1B">
                      <w:pPr>
                        <w:pStyle w:val="ListParagraph"/>
                        <w:ind w:left="218"/>
                        <w:rPr>
                          <w:rFonts w:ascii="Times New Roman" w:hAnsi="Times New Roman"/>
                          <w:color w:val="00000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p w14:paraId="7E099941" w14:textId="71C39182" w:rsidR="004C4940" w:rsidRDefault="004C4940" w:rsidP="004C4940">
      <w:pPr>
        <w:spacing w:line="240" w:lineRule="auto"/>
        <w:rPr>
          <w:rFonts w:ascii="Calibri" w:hAnsi="Calibri" w:cs="Calibri"/>
        </w:rPr>
      </w:pPr>
    </w:p>
    <w:p w14:paraId="5BF7B9DA" w14:textId="546ACF05" w:rsidR="00326EB1" w:rsidRDefault="00326EB1" w:rsidP="00326EB1">
      <w:pPr>
        <w:spacing w:line="240" w:lineRule="auto"/>
        <w:rPr>
          <w:rFonts w:ascii="Calibri" w:hAnsi="Calibri" w:cs="Calibri"/>
        </w:rPr>
      </w:pPr>
      <w:bookmarkStart w:id="0" w:name="_GoBack"/>
      <w:bookmarkEnd w:id="0"/>
    </w:p>
    <w:sectPr w:rsidR="00326EB1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3AAAB" w14:textId="77777777" w:rsidR="00193638" w:rsidRDefault="00193638" w:rsidP="004E2AD8">
      <w:r>
        <w:separator/>
      </w:r>
    </w:p>
  </w:endnote>
  <w:endnote w:type="continuationSeparator" w:id="0">
    <w:p w14:paraId="2904498D" w14:textId="77777777" w:rsidR="00193638" w:rsidRDefault="00193638" w:rsidP="004E2AD8">
      <w:r>
        <w:continuationSeparator/>
      </w:r>
    </w:p>
  </w:endnote>
  <w:endnote w:type="continuationNotice" w:id="1">
    <w:p w14:paraId="5453B55C" w14:textId="77777777" w:rsidR="00193638" w:rsidRDefault="001936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754A8" w14:textId="77777777" w:rsidR="00843A40" w:rsidRPr="0017746E" w:rsidRDefault="00843A40" w:rsidP="0017746E">
    <w:pPr>
      <w:pStyle w:val="Footer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28A5F" w14:textId="77777777" w:rsidR="00193638" w:rsidRDefault="00193638" w:rsidP="004E2AD8">
      <w:r>
        <w:separator/>
      </w:r>
    </w:p>
  </w:footnote>
  <w:footnote w:type="continuationSeparator" w:id="0">
    <w:p w14:paraId="3B42B1B1" w14:textId="77777777" w:rsidR="00193638" w:rsidRDefault="00193638" w:rsidP="004E2AD8">
      <w:r>
        <w:continuationSeparator/>
      </w:r>
    </w:p>
  </w:footnote>
  <w:footnote w:type="continuationNotice" w:id="1">
    <w:p w14:paraId="2384B16F" w14:textId="77777777" w:rsidR="00193638" w:rsidRDefault="0019363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1" w:name="SD_OFF_Line1"/>
          <w:r w:rsidRPr="0097346B">
            <w:rPr>
              <w:sz w:val="24"/>
            </w:rPr>
            <w:t>Noter til Eksamen i Kognitionspsykologi 201</w:t>
          </w:r>
          <w:bookmarkEnd w:id="1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329B"/>
    <w:multiLevelType w:val="hybridMultilevel"/>
    <w:tmpl w:val="2DBA9A92"/>
    <w:lvl w:ilvl="0" w:tplc="C65EAE46"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1E320B07"/>
    <w:multiLevelType w:val="hybridMultilevel"/>
    <w:tmpl w:val="68643ABC"/>
    <w:lvl w:ilvl="0" w:tplc="E3549EC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2AEF51CF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43358"/>
    <w:rsid w:val="000D7E02"/>
    <w:rsid w:val="001518F3"/>
    <w:rsid w:val="00171367"/>
    <w:rsid w:val="0017746E"/>
    <w:rsid w:val="00193638"/>
    <w:rsid w:val="001A1FCD"/>
    <w:rsid w:val="002051EA"/>
    <w:rsid w:val="00210998"/>
    <w:rsid w:val="002177BB"/>
    <w:rsid w:val="00221AE6"/>
    <w:rsid w:val="00222BEF"/>
    <w:rsid w:val="00224473"/>
    <w:rsid w:val="0025356C"/>
    <w:rsid w:val="00262805"/>
    <w:rsid w:val="002A6801"/>
    <w:rsid w:val="002A6802"/>
    <w:rsid w:val="002C1F0E"/>
    <w:rsid w:val="002C3822"/>
    <w:rsid w:val="002D6940"/>
    <w:rsid w:val="003000A7"/>
    <w:rsid w:val="003001F0"/>
    <w:rsid w:val="00325035"/>
    <w:rsid w:val="00326EB1"/>
    <w:rsid w:val="00340DE2"/>
    <w:rsid w:val="0037544D"/>
    <w:rsid w:val="003B7886"/>
    <w:rsid w:val="003C718A"/>
    <w:rsid w:val="003E162E"/>
    <w:rsid w:val="003E4693"/>
    <w:rsid w:val="003F5486"/>
    <w:rsid w:val="00411A10"/>
    <w:rsid w:val="00413E1B"/>
    <w:rsid w:val="004269A1"/>
    <w:rsid w:val="00434AD8"/>
    <w:rsid w:val="0043759E"/>
    <w:rsid w:val="0044187F"/>
    <w:rsid w:val="00450B09"/>
    <w:rsid w:val="004545E9"/>
    <w:rsid w:val="00464764"/>
    <w:rsid w:val="0046769B"/>
    <w:rsid w:val="004703DC"/>
    <w:rsid w:val="004B595D"/>
    <w:rsid w:val="004C4940"/>
    <w:rsid w:val="004C5587"/>
    <w:rsid w:val="004E02B3"/>
    <w:rsid w:val="004E2AD8"/>
    <w:rsid w:val="004F72D9"/>
    <w:rsid w:val="005003BE"/>
    <w:rsid w:val="0051263F"/>
    <w:rsid w:val="005225AB"/>
    <w:rsid w:val="00526FB7"/>
    <w:rsid w:val="005616BC"/>
    <w:rsid w:val="00582F5C"/>
    <w:rsid w:val="00591B7C"/>
    <w:rsid w:val="00592908"/>
    <w:rsid w:val="005A6976"/>
    <w:rsid w:val="005B6273"/>
    <w:rsid w:val="005C5EFB"/>
    <w:rsid w:val="006021E1"/>
    <w:rsid w:val="00611BF5"/>
    <w:rsid w:val="0061767A"/>
    <w:rsid w:val="00641ABE"/>
    <w:rsid w:val="00651B67"/>
    <w:rsid w:val="00665C1F"/>
    <w:rsid w:val="006A1F9D"/>
    <w:rsid w:val="006A654C"/>
    <w:rsid w:val="006B469E"/>
    <w:rsid w:val="006F6CEA"/>
    <w:rsid w:val="00744EBF"/>
    <w:rsid w:val="00764213"/>
    <w:rsid w:val="007A1B15"/>
    <w:rsid w:val="007B5EE0"/>
    <w:rsid w:val="007C2116"/>
    <w:rsid w:val="007E176A"/>
    <w:rsid w:val="007F6546"/>
    <w:rsid w:val="008054EC"/>
    <w:rsid w:val="00805659"/>
    <w:rsid w:val="008131EB"/>
    <w:rsid w:val="00815ECA"/>
    <w:rsid w:val="0083609B"/>
    <w:rsid w:val="00836F18"/>
    <w:rsid w:val="00843A40"/>
    <w:rsid w:val="0087067C"/>
    <w:rsid w:val="00875699"/>
    <w:rsid w:val="00886AF5"/>
    <w:rsid w:val="008B3716"/>
    <w:rsid w:val="008D2A5E"/>
    <w:rsid w:val="008E1247"/>
    <w:rsid w:val="008E13B4"/>
    <w:rsid w:val="008F10B7"/>
    <w:rsid w:val="009131A6"/>
    <w:rsid w:val="009242D1"/>
    <w:rsid w:val="0092648F"/>
    <w:rsid w:val="00936236"/>
    <w:rsid w:val="00947D73"/>
    <w:rsid w:val="0096073D"/>
    <w:rsid w:val="0097346B"/>
    <w:rsid w:val="009815BF"/>
    <w:rsid w:val="009C1812"/>
    <w:rsid w:val="009E5074"/>
    <w:rsid w:val="00A2722A"/>
    <w:rsid w:val="00A36A60"/>
    <w:rsid w:val="00A36B56"/>
    <w:rsid w:val="00A46000"/>
    <w:rsid w:val="00A514C4"/>
    <w:rsid w:val="00A74833"/>
    <w:rsid w:val="00AA0119"/>
    <w:rsid w:val="00AA20DA"/>
    <w:rsid w:val="00AA2B2B"/>
    <w:rsid w:val="00AE2046"/>
    <w:rsid w:val="00AE4DB3"/>
    <w:rsid w:val="00AF522A"/>
    <w:rsid w:val="00B17D8F"/>
    <w:rsid w:val="00B26196"/>
    <w:rsid w:val="00B35387"/>
    <w:rsid w:val="00B5257B"/>
    <w:rsid w:val="00B557DF"/>
    <w:rsid w:val="00B750E0"/>
    <w:rsid w:val="00B823F8"/>
    <w:rsid w:val="00B92224"/>
    <w:rsid w:val="00BC41C3"/>
    <w:rsid w:val="00BD0F9F"/>
    <w:rsid w:val="00BE3093"/>
    <w:rsid w:val="00BF711F"/>
    <w:rsid w:val="00BF7654"/>
    <w:rsid w:val="00C07BB6"/>
    <w:rsid w:val="00C07CA5"/>
    <w:rsid w:val="00C1113E"/>
    <w:rsid w:val="00C22EE7"/>
    <w:rsid w:val="00C35DC5"/>
    <w:rsid w:val="00C82346"/>
    <w:rsid w:val="00C91C6A"/>
    <w:rsid w:val="00CD6CCC"/>
    <w:rsid w:val="00CD7C3B"/>
    <w:rsid w:val="00D33FE5"/>
    <w:rsid w:val="00D355B5"/>
    <w:rsid w:val="00D35FD9"/>
    <w:rsid w:val="00D439CA"/>
    <w:rsid w:val="00D43CE0"/>
    <w:rsid w:val="00D476DD"/>
    <w:rsid w:val="00D538CF"/>
    <w:rsid w:val="00D94D31"/>
    <w:rsid w:val="00DF0596"/>
    <w:rsid w:val="00E02769"/>
    <w:rsid w:val="00E474F4"/>
    <w:rsid w:val="00E92D5E"/>
    <w:rsid w:val="00E93EA2"/>
    <w:rsid w:val="00E966D0"/>
    <w:rsid w:val="00EC45F9"/>
    <w:rsid w:val="00ED4EA1"/>
    <w:rsid w:val="00EF049F"/>
    <w:rsid w:val="00F17833"/>
    <w:rsid w:val="00F26CF9"/>
    <w:rsid w:val="00F323DA"/>
    <w:rsid w:val="00F36B08"/>
    <w:rsid w:val="00F74AE2"/>
    <w:rsid w:val="00F81801"/>
    <w:rsid w:val="00F945AB"/>
    <w:rsid w:val="00FA3E6F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0643D87"/>
  <w15:docId w15:val="{4C684CE9-EC03-B944-9D9F-02A4818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Heading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Heading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Heading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Footer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NoLis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2177BB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cleSection">
    <w:name w:val="Outline List 3"/>
    <w:basedOn w:val="NoList"/>
    <w:uiPriority w:val="99"/>
    <w:semiHidden/>
    <w:rsid w:val="002177B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2177BB"/>
  </w:style>
  <w:style w:type="paragraph" w:styleId="BlockTex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odyText">
    <w:name w:val="Body Text"/>
    <w:basedOn w:val="Normal"/>
    <w:link w:val="BodyTextChar"/>
    <w:uiPriority w:val="99"/>
    <w:semiHidden/>
    <w:rsid w:val="002177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77BB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2177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77BB"/>
    <w:rPr>
      <w:rFonts w:ascii="Arial" w:hAnsi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77BB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77B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2177B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77BB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2177B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77BB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2177B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177BB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177BB"/>
    <w:rPr>
      <w:rFonts w:ascii="Arial" w:hAnsi="Arial"/>
      <w:sz w:val="24"/>
      <w:szCs w:val="24"/>
    </w:rPr>
  </w:style>
  <w:style w:type="table" w:styleId="ColourfulGrid">
    <w:name w:val="Colorful Grid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urfulGridAccent1">
    <w:name w:val="Colorful Grid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ColourfulGridAccent2">
    <w:name w:val="Colorful Grid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ColourfulGridAccent3">
    <w:name w:val="Colorful Grid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GridAccent4">
    <w:name w:val="Colorful Grid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urfulGridAccent5">
    <w:name w:val="Colorful Grid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ColourfulGridAccent6">
    <w:name w:val="Colorful Grid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ColourfulList">
    <w:name w:val="Colorful List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urfulListAccent1">
    <w:name w:val="Colorful List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ColourfulListAccent2">
    <w:name w:val="Colorful List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ColourfulListAccent3">
    <w:name w:val="Colorful List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urfulListAccent4">
    <w:name w:val="Colorful List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urfulListAccent5">
    <w:name w:val="Colorful List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ColourfulListAccent6">
    <w:name w:val="Colorful List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ColourfulShading">
    <w:name w:val="Colorful Shading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1">
    <w:name w:val="Colorful Shading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2">
    <w:name w:val="Colorful Shading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3">
    <w:name w:val="Colorful Shading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ShadingAccent4">
    <w:name w:val="Colorful Shading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5">
    <w:name w:val="Colorful Shading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6">
    <w:name w:val="Colorful Shading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BB"/>
    <w:rPr>
      <w:rFonts w:ascii="Arial" w:hAnsi="Arial"/>
      <w:b/>
      <w:bCs/>
    </w:rPr>
  </w:style>
  <w:style w:type="table" w:styleId="DarkList">
    <w:name w:val="Dark List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177BB"/>
  </w:style>
  <w:style w:type="character" w:customStyle="1" w:styleId="DateChar">
    <w:name w:val="Date Char"/>
    <w:basedOn w:val="DefaultParagraphFont"/>
    <w:link w:val="Date"/>
    <w:uiPriority w:val="99"/>
    <w:semiHidden/>
    <w:rsid w:val="002177BB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2177BB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177BB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uiPriority w:val="4"/>
    <w:semiHidden/>
    <w:qFormat/>
    <w:rsid w:val="002177B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2177BB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"/>
    <w:semiHidden/>
    <w:rsid w:val="002177BB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177BB"/>
    <w:rPr>
      <w:color w:val="FFBEB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2177BB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semiHidden/>
    <w:rsid w:val="002177BB"/>
    <w:rPr>
      <w:rFonts w:ascii="Arial" w:hAnsi="Arial"/>
    </w:rPr>
  </w:style>
  <w:style w:type="character" w:styleId="HTMLAcronym">
    <w:name w:val="HTML Acronym"/>
    <w:basedOn w:val="DefaultParagraphFont"/>
    <w:uiPriority w:val="99"/>
    <w:semiHidden/>
    <w:rsid w:val="002177BB"/>
  </w:style>
  <w:style w:type="paragraph" w:styleId="HTMLAddress">
    <w:name w:val="HTML Address"/>
    <w:basedOn w:val="Normal"/>
    <w:link w:val="HTMLAddressChar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rsid w:val="002177BB"/>
    <w:rPr>
      <w:i/>
      <w:iCs/>
    </w:rPr>
  </w:style>
  <w:style w:type="character" w:styleId="HTMLCode">
    <w:name w:val="HTML Code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177B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BB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rsid w:val="002177B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177BB"/>
    <w:rPr>
      <w:i/>
      <w:iCs/>
    </w:rPr>
  </w:style>
  <w:style w:type="character" w:styleId="Hyperlink">
    <w:name w:val="Hyperlink"/>
    <w:basedOn w:val="DefaultParagraphFont"/>
    <w:uiPriority w:val="8"/>
    <w:semiHidden/>
    <w:qFormat/>
    <w:rsid w:val="002177BB"/>
    <w:rPr>
      <w:color w:val="FF826D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IntenseReference">
    <w:name w:val="Intense Reference"/>
    <w:basedOn w:val="DefaultParagraphFon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177BB"/>
  </w:style>
  <w:style w:type="paragraph" w:styleId="List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ListBullet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177BB"/>
    <w:rPr>
      <w:rFonts w:ascii="Consolas" w:hAnsi="Consolas"/>
    </w:rPr>
  </w:style>
  <w:style w:type="table" w:styleId="MediumGrid1">
    <w:name w:val="Medium Grid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rid2">
    <w:name w:val="Medium Grid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2177BB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177B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177BB"/>
    <w:rPr>
      <w:rFonts w:ascii="Arial" w:hAnsi="Arial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2177BB"/>
  </w:style>
  <w:style w:type="character" w:styleId="PlaceholderText">
    <w:name w:val="Placeholder Text"/>
    <w:basedOn w:val="DefaultParagraphFont"/>
    <w:uiPriority w:val="99"/>
    <w:semiHidden/>
    <w:rsid w:val="002177BB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177B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177B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177BB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2177BB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177BB"/>
    <w:rPr>
      <w:rFonts w:ascii="Arial" w:hAnsi="Arial"/>
      <w:sz w:val="24"/>
      <w:szCs w:val="24"/>
    </w:rPr>
  </w:style>
  <w:style w:type="character" w:styleId="Strong">
    <w:name w:val="Strong"/>
    <w:basedOn w:val="DefaultParagraphFont"/>
    <w:uiPriority w:val="99"/>
    <w:semiHidden/>
    <w:qFormat/>
    <w:rsid w:val="002177BB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2177BB"/>
  </w:style>
  <w:style w:type="table" w:styleId="TableProfessional">
    <w:name w:val="Table Professional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TOC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13E134-DE2F-4FAD-9A9F-368AD4976F2E}"/>
</file>

<file path=customXml/itemProps2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83E3A9-D3FB-9747-A91E-C7E57682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creator>Sebastian Beck</dc:creator>
  <cp:lastModifiedBy>Cecilie Strandsbjerg</cp:lastModifiedBy>
  <cp:revision>2</cp:revision>
  <cp:lastPrinted>2018-11-21T14:45:00Z</cp:lastPrinted>
  <dcterms:created xsi:type="dcterms:W3CDTF">2020-01-10T10:03:00Z</dcterms:created>
  <dcterms:modified xsi:type="dcterms:W3CDTF">2020-01-10T10:03:00Z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