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DC8D" w14:textId="01756848" w:rsidR="00976E15" w:rsidRDefault="00AC0C51" w:rsidP="0094264D">
      <w:pPr>
        <w:pStyle w:val="Titel"/>
        <w:rPr>
          <w:lang w:val="en-US"/>
        </w:rPr>
      </w:pPr>
      <w:r w:rsidRPr="001F75A1">
        <w:rPr>
          <w:lang w:val="en-US"/>
        </w:rPr>
        <w:t>Atte</w:t>
      </w:r>
      <w:r w:rsidR="0094264D" w:rsidRPr="001F75A1">
        <w:rPr>
          <w:lang w:val="en-US"/>
        </w:rPr>
        <w:t>ntion</w:t>
      </w:r>
    </w:p>
    <w:p w14:paraId="102E4449" w14:textId="31B73D87" w:rsidR="006F6BE4" w:rsidRPr="006F6BE4" w:rsidRDefault="006F6BE4" w:rsidP="006F6BE4">
      <w:pPr>
        <w:rPr>
          <w:color w:val="FF0000"/>
          <w:lang w:val="en-US"/>
        </w:rPr>
      </w:pPr>
      <w:r w:rsidRPr="002C4310">
        <w:rPr>
          <w:color w:val="FF0000"/>
          <w:lang w:val="en-US"/>
        </w:rPr>
        <w:t xml:space="preserve">Weighting: </w:t>
      </w:r>
      <w:r>
        <w:rPr>
          <w:color w:val="FF0000"/>
          <w:lang w:val="en-US"/>
        </w:rPr>
        <w:t>2</w:t>
      </w:r>
      <w:r w:rsidRPr="002C4310">
        <w:rPr>
          <w:color w:val="FF0000"/>
          <w:lang w:val="en-US"/>
        </w:rPr>
        <w:t>/17</w:t>
      </w:r>
    </w:p>
    <w:p w14:paraId="2B43A41A" w14:textId="77777777" w:rsidR="0028780C" w:rsidRPr="0090560A" w:rsidRDefault="0028780C" w:rsidP="0028780C">
      <w:pPr>
        <w:pStyle w:val="NormalWeb"/>
        <w:ind w:left="480" w:hanging="480"/>
        <w:rPr>
          <w:lang w:val="en-GB"/>
        </w:rPr>
      </w:pPr>
      <w:r w:rsidRPr="0090560A">
        <w:rPr>
          <w:lang w:val="en-GB"/>
        </w:rPr>
        <w:t xml:space="preserve">Chang, S., &amp; Egeth, H. E. (2019). Enhancement and Suppression Flexibly Guide Attention. </w:t>
      </w:r>
      <w:r w:rsidRPr="0090560A">
        <w:rPr>
          <w:i/>
          <w:iCs/>
          <w:lang w:val="en-GB"/>
        </w:rPr>
        <w:t>Psychological Science</w:t>
      </w:r>
      <w:r w:rsidRPr="0090560A">
        <w:rPr>
          <w:lang w:val="en-GB"/>
        </w:rPr>
        <w:t xml:space="preserve">, 1–9. </w:t>
      </w:r>
      <w:hyperlink r:id="rId8" w:history="1">
        <w:r w:rsidRPr="0090560A">
          <w:rPr>
            <w:rStyle w:val="Hyperlink"/>
            <w:rFonts w:eastAsiaTheme="majorEastAsia"/>
            <w:lang w:val="en-GB"/>
          </w:rPr>
          <w:t>https://doi.org/10.1177/0956797619878813</w:t>
        </w:r>
      </w:hyperlink>
    </w:p>
    <w:p w14:paraId="1888BEF7" w14:textId="000D77A2" w:rsidR="00021521" w:rsidRPr="00021521" w:rsidRDefault="00021521" w:rsidP="00365249">
      <w:pPr>
        <w:pStyle w:val="Overskrift1"/>
        <w:rPr>
          <w:lang w:val="en-GB"/>
        </w:rPr>
      </w:pPr>
      <w:r>
        <w:rPr>
          <w:lang w:val="en-GB"/>
        </w:rPr>
        <w:t>Agenda</w:t>
      </w:r>
    </w:p>
    <w:p w14:paraId="06B2F8C1" w14:textId="0B1F8771" w:rsidR="00601D20" w:rsidRPr="002B32EF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 w:rsidRPr="002B32EF">
        <w:rPr>
          <w:lang w:val="en-GB"/>
        </w:rPr>
        <w:t xml:space="preserve">What is </w:t>
      </w:r>
      <w:r w:rsidR="00021521">
        <w:rPr>
          <w:lang w:val="en-GB"/>
        </w:rPr>
        <w:t>attention</w:t>
      </w:r>
      <w:r w:rsidRPr="002B32EF">
        <w:rPr>
          <w:lang w:val="en-GB"/>
        </w:rPr>
        <w:t>?</w:t>
      </w:r>
    </w:p>
    <w:p w14:paraId="1AFDC53B" w14:textId="3E7D7D6A" w:rsidR="00601D20" w:rsidRPr="002B32EF" w:rsidRDefault="00915527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article: </w:t>
      </w:r>
      <w:r w:rsidR="001E1110">
        <w:rPr>
          <w:lang w:val="en-GB"/>
        </w:rPr>
        <w:t xml:space="preserve">Enhancement and </w:t>
      </w:r>
      <w:r w:rsidR="00F1471B">
        <w:rPr>
          <w:lang w:val="en-GB"/>
        </w:rPr>
        <w:t>S</w:t>
      </w:r>
      <w:r w:rsidR="001E1110">
        <w:rPr>
          <w:lang w:val="en-GB"/>
        </w:rPr>
        <w:t>uppression</w:t>
      </w:r>
      <w:r w:rsidR="008C1252">
        <w:rPr>
          <w:lang w:val="en-GB"/>
        </w:rPr>
        <w:t xml:space="preserve"> Flexibly </w:t>
      </w:r>
      <w:r w:rsidR="00910087">
        <w:rPr>
          <w:lang w:val="en-GB"/>
        </w:rPr>
        <w:t>Guide Attention</w:t>
      </w:r>
    </w:p>
    <w:p w14:paraId="148415FE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 w:rsidRPr="002B32EF">
        <w:rPr>
          <w:lang w:val="en-GB"/>
        </w:rPr>
        <w:t>Motivation and hypothesis</w:t>
      </w:r>
    </w:p>
    <w:p w14:paraId="2A4C7589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5245CE74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5B0E0F22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Authors’ conclusion</w:t>
      </w:r>
    </w:p>
    <w:p w14:paraId="456760C5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Criticism</w:t>
      </w:r>
    </w:p>
    <w:p w14:paraId="29F8421B" w14:textId="77777777" w:rsidR="00601D20" w:rsidRDefault="00601D20" w:rsidP="00601D2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Greater perspective</w:t>
      </w:r>
    </w:p>
    <w:p w14:paraId="37205F90" w14:textId="25A98C1A" w:rsidR="0082634E" w:rsidRDefault="00652EB9" w:rsidP="00365249">
      <w:pPr>
        <w:pStyle w:val="Overskrift1"/>
        <w:rPr>
          <w:lang w:val="en-GB"/>
        </w:rPr>
      </w:pPr>
      <w:r>
        <w:rPr>
          <w:lang w:val="en-GB"/>
        </w:rPr>
        <w:t>What is attention</w:t>
      </w:r>
      <w:r w:rsidR="0082634E">
        <w:rPr>
          <w:lang w:val="en-GB"/>
        </w:rPr>
        <w:t>?</w:t>
      </w:r>
    </w:p>
    <w:p w14:paraId="1ACC21B1" w14:textId="41F660E7" w:rsidR="001C3994" w:rsidRDefault="00CE5630" w:rsidP="001C3994">
      <w:pPr>
        <w:rPr>
          <w:lang w:val="en-US"/>
        </w:rPr>
      </w:pPr>
      <w:r>
        <w:rPr>
          <w:lang w:val="en-US"/>
        </w:rPr>
        <w:t>“</w:t>
      </w:r>
      <w:r w:rsidR="00757E73" w:rsidRPr="00757E73">
        <w:rPr>
          <w:lang w:val="en-US"/>
        </w:rPr>
        <w:t>The marshalling of cognitive processing resources on a particular aspect of the external or internal environment, or on internal processes such as thoughts or memories.</w:t>
      </w:r>
      <w:r>
        <w:rPr>
          <w:lang w:val="en-US"/>
        </w:rPr>
        <w:t xml:space="preserve">” </w:t>
      </w:r>
      <w:r w:rsidR="006D66F1">
        <w:rPr>
          <w:lang w:val="en-US"/>
        </w:rPr>
        <w:t>–</w:t>
      </w:r>
      <w:r w:rsidR="0082642D">
        <w:rPr>
          <w:lang w:val="en-US"/>
        </w:rPr>
        <w:t xml:space="preserve"> </w:t>
      </w:r>
      <w:r>
        <w:rPr>
          <w:lang w:val="en-US"/>
        </w:rPr>
        <w:t>Purves</w:t>
      </w:r>
    </w:p>
    <w:p w14:paraId="58FE6C5F" w14:textId="0927D1C6" w:rsidR="006D66F1" w:rsidRDefault="00C77EA5" w:rsidP="006D66F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information</w:t>
      </w:r>
      <w:r w:rsidR="00E96937">
        <w:rPr>
          <w:lang w:val="en-US"/>
        </w:rPr>
        <w:t>/directs focus</w:t>
      </w:r>
      <w:r w:rsidR="00381D80">
        <w:rPr>
          <w:lang w:val="en-US"/>
        </w:rPr>
        <w:t xml:space="preserve"> (</w:t>
      </w:r>
      <w:r w:rsidR="00DF7CF1">
        <w:rPr>
          <w:lang w:val="en-US"/>
        </w:rPr>
        <w:t>external</w:t>
      </w:r>
      <w:r w:rsidR="00381D80">
        <w:rPr>
          <w:lang w:val="en-US"/>
        </w:rPr>
        <w:t xml:space="preserve">/perceptual or </w:t>
      </w:r>
      <w:r w:rsidR="00DF7CF1">
        <w:rPr>
          <w:lang w:val="en-US"/>
        </w:rPr>
        <w:t>internal/thoughts/memories)</w:t>
      </w:r>
    </w:p>
    <w:p w14:paraId="4A390BC9" w14:textId="5D7E789E" w:rsidR="00DF7CF1" w:rsidRDefault="00A17722" w:rsidP="006D66F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Selective attention: </w:t>
      </w:r>
      <w:r w:rsidR="00F01214">
        <w:rPr>
          <w:lang w:val="en-US"/>
        </w:rPr>
        <w:t>chooses a type of stimulus and ‘highlights’ it</w:t>
      </w:r>
    </w:p>
    <w:p w14:paraId="25D6DD21" w14:textId="695A25AF" w:rsidR="006C58AC" w:rsidRPr="006D66F1" w:rsidRDefault="006C58AC" w:rsidP="006D66F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selection: early (stimulus driven, based on physical characteristics) and late (top-down, based on semantic knowledge</w:t>
      </w:r>
      <w:r w:rsidR="00AB324A">
        <w:rPr>
          <w:lang w:val="en-US"/>
        </w:rPr>
        <w:t xml:space="preserve"> or controlled attention</w:t>
      </w:r>
      <w:r>
        <w:rPr>
          <w:lang w:val="en-US"/>
        </w:rPr>
        <w:t>)</w:t>
      </w:r>
    </w:p>
    <w:p w14:paraId="1392B2A7" w14:textId="1CA627A0" w:rsidR="00992229" w:rsidRDefault="00F96246" w:rsidP="00365249">
      <w:pPr>
        <w:pStyle w:val="Overskrift1"/>
        <w:rPr>
          <w:lang w:val="en-GB"/>
        </w:rPr>
      </w:pPr>
      <w:r>
        <w:rPr>
          <w:lang w:val="en-US"/>
        </w:rPr>
        <w:t xml:space="preserve">The article: </w:t>
      </w:r>
      <w:r>
        <w:rPr>
          <w:lang w:val="en-GB"/>
        </w:rPr>
        <w:t>Enhancement and Suppression Flexibly Guide Attention</w:t>
      </w:r>
    </w:p>
    <w:p w14:paraId="2B953B6C" w14:textId="3AF35238" w:rsidR="00F96246" w:rsidRPr="00A652B4" w:rsidRDefault="007D483A" w:rsidP="00A652B4">
      <w:pPr>
        <w:pStyle w:val="Overskrift2"/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</w:pPr>
      <w:r w:rsidRPr="0090560A"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t>“Previous research suggests that observers can suppress salient-but-irrelevant stimuli in a top-down manner. However, one question left unresolved is whether such suppression is, in fact, solely due to distractor-feature suppression or whether it instead also reflects some degree of target-feature enhancement” (p. 1)</w:t>
      </w:r>
    </w:p>
    <w:p w14:paraId="7A288DFA" w14:textId="200BCC7E" w:rsidR="0094264D" w:rsidRDefault="007244D0" w:rsidP="00365249">
      <w:pPr>
        <w:pStyle w:val="Overskrift2"/>
        <w:rPr>
          <w:lang w:val="en-US"/>
        </w:rPr>
      </w:pPr>
      <w:r>
        <w:rPr>
          <w:lang w:val="en-US"/>
        </w:rPr>
        <w:t>Motivation and hypothesis</w:t>
      </w:r>
    </w:p>
    <w:p w14:paraId="0C7D4BFA" w14:textId="77777777" w:rsidR="007244D0" w:rsidRPr="0090560A" w:rsidRDefault="007244D0" w:rsidP="007244D0">
      <w:pPr>
        <w:rPr>
          <w:lang w:val="en-GB"/>
        </w:rPr>
      </w:pPr>
      <w:r w:rsidRPr="0090560A">
        <w:rPr>
          <w:lang w:val="en-GB"/>
        </w:rPr>
        <w:t>“In the current study, we used a new capture-probe paradigm to test whether attention can be guided by target-feature enhancement as well as by distractor-feature suppression.” (p. 2)</w:t>
      </w:r>
    </w:p>
    <w:p w14:paraId="3C470AFC" w14:textId="32506C8D" w:rsidR="007244D0" w:rsidRDefault="00822341" w:rsidP="00822341">
      <w:pPr>
        <w:pStyle w:val="Overskrift2"/>
        <w:rPr>
          <w:lang w:val="en-US"/>
        </w:rPr>
      </w:pPr>
      <w:r>
        <w:rPr>
          <w:lang w:val="en-US"/>
        </w:rPr>
        <w:t>Method</w:t>
      </w:r>
    </w:p>
    <w:p w14:paraId="75EEF977" w14:textId="397CE7CD" w:rsidR="00822341" w:rsidRDefault="00EF2B62" w:rsidP="00EA63E0">
      <w:pPr>
        <w:pStyle w:val="Overskrift4"/>
        <w:rPr>
          <w:lang w:val="en-US"/>
        </w:rPr>
      </w:pPr>
      <w:r>
        <w:rPr>
          <w:lang w:val="en-US"/>
        </w:rPr>
        <w:t>Figure 1:</w:t>
      </w:r>
    </w:p>
    <w:p w14:paraId="1D006E17" w14:textId="45B68F38" w:rsidR="00EF2B62" w:rsidRPr="0090560A" w:rsidRDefault="00EF2B62" w:rsidP="00EF2B62">
      <w:pPr>
        <w:rPr>
          <w:lang w:val="en-GB"/>
        </w:rPr>
      </w:pPr>
      <w:r w:rsidRPr="00B51BDF">
        <w:rPr>
          <w:b/>
          <w:lang w:val="en-GB"/>
        </w:rPr>
        <w:t>Search trials</w:t>
      </w:r>
      <w:r w:rsidR="00EA63E0">
        <w:rPr>
          <w:lang w:val="en-GB"/>
        </w:rPr>
        <w:t xml:space="preserve"> (70%)</w:t>
      </w:r>
      <w:r w:rsidRPr="0090560A">
        <w:rPr>
          <w:lang w:val="en-GB"/>
        </w:rPr>
        <w:t>: The task is to search for the diamond, and report in which side the black dot appears. In some trials a singleton (one shape shown in a different colo</w:t>
      </w:r>
      <w:r>
        <w:rPr>
          <w:lang w:val="en-GB"/>
        </w:rPr>
        <w:t>u</w:t>
      </w:r>
      <w:r w:rsidRPr="0090560A">
        <w:rPr>
          <w:lang w:val="en-GB"/>
        </w:rPr>
        <w:t xml:space="preserve">r) was present as a distractor. </w:t>
      </w:r>
      <w:r w:rsidR="0085431E">
        <w:rPr>
          <w:lang w:val="en-GB"/>
        </w:rPr>
        <w:t>All other</w:t>
      </w:r>
      <w:r w:rsidR="007949F2">
        <w:rPr>
          <w:lang w:val="en-GB"/>
        </w:rPr>
        <w:t xml:space="preserve"> shapes are the same colour, which varies between participants</w:t>
      </w:r>
      <w:r w:rsidR="00B23295">
        <w:rPr>
          <w:lang w:val="en-GB"/>
        </w:rPr>
        <w:t>, though they do not know the meaning of colours</w:t>
      </w:r>
      <w:r w:rsidR="007949F2">
        <w:rPr>
          <w:lang w:val="en-GB"/>
        </w:rPr>
        <w:t>.</w:t>
      </w:r>
      <w:r w:rsidR="00493C7B">
        <w:rPr>
          <w:lang w:val="en-GB"/>
        </w:rPr>
        <w:t xml:space="preserve"> Target display shown for up to 2000 ms.</w:t>
      </w:r>
    </w:p>
    <w:p w14:paraId="348C3CBA" w14:textId="1203263A" w:rsidR="00EF2B62" w:rsidRDefault="00EF2B62" w:rsidP="00EF2B62">
      <w:pPr>
        <w:rPr>
          <w:lang w:val="en-GB"/>
        </w:rPr>
      </w:pPr>
      <w:r w:rsidRPr="00B51BDF">
        <w:rPr>
          <w:b/>
          <w:lang w:val="en-GB"/>
        </w:rPr>
        <w:t>Probe trials</w:t>
      </w:r>
      <w:r w:rsidR="00EA63E0">
        <w:rPr>
          <w:lang w:val="en-GB"/>
        </w:rPr>
        <w:t xml:space="preserve"> (30%)</w:t>
      </w:r>
      <w:r w:rsidRPr="0090560A">
        <w:rPr>
          <w:lang w:val="en-GB"/>
        </w:rPr>
        <w:t xml:space="preserve">: </w:t>
      </w:r>
      <w:r w:rsidR="00EA63E0">
        <w:rPr>
          <w:lang w:val="en-GB"/>
        </w:rPr>
        <w:t>F</w:t>
      </w:r>
      <w:r w:rsidRPr="0090560A">
        <w:rPr>
          <w:lang w:val="en-GB"/>
        </w:rPr>
        <w:t xml:space="preserve">our ovals of different colour, task being to report whether an A or a B (probe target) was present. One oval would have a critical colour (target or distractor colour in search trials); sometimes </w:t>
      </w:r>
      <w:r w:rsidRPr="0090560A">
        <w:rPr>
          <w:lang w:val="en-GB"/>
        </w:rPr>
        <w:lastRenderedPageBreak/>
        <w:t>the probe target would appear on a critical colour and sometimes it would appear on a neutral colour.</w:t>
      </w:r>
      <w:r w:rsidR="00C361AE">
        <w:rPr>
          <w:lang w:val="en-GB"/>
        </w:rPr>
        <w:t xml:space="preserve"> Target display shown for 100 ms.</w:t>
      </w:r>
    </w:p>
    <w:p w14:paraId="5E197E40" w14:textId="77777777" w:rsidR="006756E2" w:rsidRDefault="006756E2" w:rsidP="00EF2B62">
      <w:pPr>
        <w:rPr>
          <w:lang w:val="en-GB"/>
        </w:rPr>
      </w:pPr>
    </w:p>
    <w:p w14:paraId="54AB0312" w14:textId="1B2FD7D1" w:rsidR="006756E2" w:rsidRDefault="006756E2" w:rsidP="00EF2B62">
      <w:pPr>
        <w:rPr>
          <w:lang w:val="en-GB"/>
        </w:rPr>
      </w:pPr>
      <w:r>
        <w:rPr>
          <w:lang w:val="en-GB"/>
        </w:rPr>
        <w:t xml:space="preserve">Feedback was given immediately </w:t>
      </w:r>
      <w:r w:rsidR="002B3EE4">
        <w:rPr>
          <w:lang w:val="en-GB"/>
        </w:rPr>
        <w:t>by showing ‘correct!’ or ‘incorrect!’ in the middle of the screen for 500 ms.</w:t>
      </w:r>
    </w:p>
    <w:p w14:paraId="3F57958F" w14:textId="45146BD6" w:rsidR="003D4E35" w:rsidRPr="0090560A" w:rsidRDefault="003D4E35" w:rsidP="00EF2B62">
      <w:pPr>
        <w:rPr>
          <w:lang w:val="en-GB"/>
        </w:rPr>
      </w:pPr>
      <w:r>
        <w:rPr>
          <w:lang w:val="en-GB"/>
        </w:rPr>
        <w:t>“</w:t>
      </w:r>
      <w:r w:rsidRPr="003D4E35">
        <w:rPr>
          <w:lang w:val="en-GB"/>
        </w:rPr>
        <w:t>To avoid reallocation of attention following initial attentional selection, we presented the target display for 100 ms.</w:t>
      </w:r>
      <w:r>
        <w:rPr>
          <w:lang w:val="en-GB"/>
        </w:rPr>
        <w:t>”</w:t>
      </w:r>
    </w:p>
    <w:p w14:paraId="233E02DC" w14:textId="37203C69" w:rsidR="00EF2B62" w:rsidRDefault="00ED2929" w:rsidP="00ED2929">
      <w:pPr>
        <w:pStyle w:val="Overskrift2"/>
        <w:rPr>
          <w:lang w:val="en-GB"/>
        </w:rPr>
      </w:pPr>
      <w:r>
        <w:rPr>
          <w:lang w:val="en-GB"/>
        </w:rPr>
        <w:t>Results</w:t>
      </w:r>
    </w:p>
    <w:p w14:paraId="0811F778" w14:textId="1742FE25" w:rsidR="00ED2929" w:rsidRDefault="003607D4" w:rsidP="003607D4">
      <w:pPr>
        <w:pStyle w:val="Overskrift4"/>
        <w:rPr>
          <w:lang w:val="en-GB"/>
        </w:rPr>
      </w:pPr>
      <w:r>
        <w:rPr>
          <w:lang w:val="en-GB"/>
        </w:rPr>
        <w:t>Search trials</w:t>
      </w:r>
    </w:p>
    <w:p w14:paraId="61159DB0" w14:textId="3727CE98" w:rsidR="00CD34EA" w:rsidRDefault="0085431E" w:rsidP="003607D4">
      <w:pPr>
        <w:rPr>
          <w:lang w:val="en-GB"/>
        </w:rPr>
      </w:pPr>
      <w:r>
        <w:rPr>
          <w:lang w:val="en-GB"/>
        </w:rPr>
        <w:t>Responses were faster when singleton was present than when it was absent, 9 ms singleton presence benefit; participants did learn the relationship.</w:t>
      </w:r>
    </w:p>
    <w:p w14:paraId="79951C71" w14:textId="09D76BAB" w:rsidR="00C649AC" w:rsidRPr="00C649AC" w:rsidRDefault="00DD0684" w:rsidP="00C649AC">
      <w:pPr>
        <w:pStyle w:val="Overskrift4"/>
        <w:rPr>
          <w:lang w:val="en-GB"/>
        </w:rPr>
      </w:pPr>
      <w:r>
        <w:rPr>
          <w:lang w:val="en-GB"/>
        </w:rPr>
        <w:t>Probe trials</w:t>
      </w:r>
      <w:r w:rsidR="00D02A28">
        <w:rPr>
          <w:lang w:val="en-GB"/>
        </w:rPr>
        <w:t xml:space="preserve"> (Figure 2)</w:t>
      </w:r>
    </w:p>
    <w:p w14:paraId="13681BEE" w14:textId="02A8F363" w:rsidR="0017097E" w:rsidRPr="0017097E" w:rsidRDefault="00411451" w:rsidP="003B619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colour present</w:t>
      </w:r>
    </w:p>
    <w:p w14:paraId="276758FA" w14:textId="51ACAE71" w:rsidR="003B619E" w:rsidRDefault="003B619E" w:rsidP="003B619E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Probe on target:</w:t>
      </w:r>
      <w:r w:rsidR="00DA775B">
        <w:rPr>
          <w:lang w:val="en-GB"/>
        </w:rPr>
        <w:t xml:space="preserve"> </w:t>
      </w:r>
      <w:r w:rsidR="00997C7A">
        <w:rPr>
          <w:rFonts w:cstheme="minorHAnsi"/>
          <w:lang w:val="en-GB"/>
        </w:rPr>
        <w:t>↓RT ↑ACC</w:t>
      </w:r>
      <w:r w:rsidR="0089550E">
        <w:rPr>
          <w:rFonts w:cstheme="minorHAnsi"/>
          <w:lang w:val="en-GB"/>
        </w:rPr>
        <w:t xml:space="preserve"> - </w:t>
      </w:r>
      <w:r w:rsidR="0089550E" w:rsidRPr="0089550E">
        <w:rPr>
          <w:rFonts w:cstheme="minorHAnsi"/>
          <w:lang w:val="en-GB"/>
        </w:rPr>
        <w:t>34-ms target-color benefit.</w:t>
      </w:r>
    </w:p>
    <w:p w14:paraId="7F817C75" w14:textId="21CD97F1" w:rsidR="00D02A28" w:rsidRPr="00D02A28" w:rsidRDefault="003B619E" w:rsidP="00D02A28">
      <w:pPr>
        <w:pStyle w:val="Listeafsnit"/>
        <w:numPr>
          <w:ilvl w:val="1"/>
          <w:numId w:val="1"/>
        </w:numPr>
        <w:rPr>
          <w:rFonts w:cstheme="minorHAnsi"/>
          <w:lang w:val="en-GB"/>
        </w:rPr>
      </w:pPr>
      <w:r>
        <w:rPr>
          <w:lang w:val="en-GB"/>
        </w:rPr>
        <w:t>Pro</w:t>
      </w:r>
      <w:r w:rsidR="00997C7A">
        <w:rPr>
          <w:lang w:val="en-GB"/>
        </w:rPr>
        <w:t>b</w:t>
      </w:r>
      <w:r>
        <w:rPr>
          <w:lang w:val="en-GB"/>
        </w:rPr>
        <w:t xml:space="preserve">e on </w:t>
      </w:r>
      <w:r w:rsidR="009106DF" w:rsidRPr="009106DF">
        <w:rPr>
          <w:lang w:val="en-GB"/>
        </w:rPr>
        <w:t>neutral</w:t>
      </w:r>
      <w:r>
        <w:rPr>
          <w:lang w:val="en-GB"/>
        </w:rPr>
        <w:t>:</w:t>
      </w:r>
      <w:r w:rsidR="00997C7A">
        <w:rPr>
          <w:lang w:val="en-GB"/>
        </w:rPr>
        <w:t xml:space="preserve"> </w:t>
      </w:r>
      <w:r w:rsidR="009106DF">
        <w:rPr>
          <w:rFonts w:cstheme="minorHAnsi"/>
          <w:lang w:val="en-GB"/>
        </w:rPr>
        <w:t>↑</w:t>
      </w:r>
      <w:r w:rsidR="00997C7A">
        <w:rPr>
          <w:rFonts w:cstheme="minorHAnsi"/>
          <w:lang w:val="en-GB"/>
        </w:rPr>
        <w:t xml:space="preserve">RT </w:t>
      </w:r>
      <w:r w:rsidR="00A566F1">
        <w:rPr>
          <w:rFonts w:cstheme="minorHAnsi"/>
          <w:lang w:val="en-GB"/>
        </w:rPr>
        <w:t>↓</w:t>
      </w:r>
      <w:r w:rsidR="00997C7A">
        <w:rPr>
          <w:rFonts w:cstheme="minorHAnsi"/>
          <w:lang w:val="en-GB"/>
        </w:rPr>
        <w:t>ACC</w:t>
      </w:r>
    </w:p>
    <w:p w14:paraId="3A932DBA" w14:textId="27EB2A5F" w:rsidR="00A566F1" w:rsidRPr="00A566F1" w:rsidRDefault="00A566F1" w:rsidP="00A566F1">
      <w:pPr>
        <w:pStyle w:val="Listeafsnit"/>
        <w:numPr>
          <w:ilvl w:val="0"/>
          <w:numId w:val="1"/>
        </w:numPr>
        <w:rPr>
          <w:lang w:val="en-GB"/>
        </w:rPr>
      </w:pPr>
      <w:r>
        <w:rPr>
          <w:rFonts w:cstheme="minorHAnsi"/>
          <w:lang w:val="en-GB"/>
        </w:rPr>
        <w:t>Distractor colour present:</w:t>
      </w:r>
    </w:p>
    <w:p w14:paraId="3F80240E" w14:textId="7283B710" w:rsidR="00A566F1" w:rsidRPr="00A566F1" w:rsidRDefault="00A566F1" w:rsidP="00A566F1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cstheme="minorHAnsi"/>
          <w:lang w:val="en-GB"/>
        </w:rPr>
        <w:t>Probe on distractor: ↑RT ↓ACC</w:t>
      </w:r>
      <w:r w:rsidR="00C973F8">
        <w:rPr>
          <w:rFonts w:cstheme="minorHAnsi"/>
          <w:lang w:val="en-GB"/>
        </w:rPr>
        <w:t xml:space="preserve"> - </w:t>
      </w:r>
      <w:r w:rsidR="00C973F8" w:rsidRPr="00C973F8">
        <w:rPr>
          <w:rFonts w:cstheme="minorHAnsi"/>
          <w:lang w:val="en-GB"/>
        </w:rPr>
        <w:t>43-ms distractor-color cost</w:t>
      </w:r>
    </w:p>
    <w:p w14:paraId="57612682" w14:textId="1E6210CC" w:rsidR="00A566F1" w:rsidRPr="003B619E" w:rsidRDefault="00A566F1" w:rsidP="00A566F1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cstheme="minorHAnsi"/>
          <w:lang w:val="en-GB"/>
        </w:rPr>
        <w:t>Probe on neutral:</w:t>
      </w:r>
      <w:r w:rsidR="00C55803" w:rsidRPr="00C55803">
        <w:rPr>
          <w:rFonts w:cstheme="minorHAnsi"/>
          <w:lang w:val="en-GB"/>
        </w:rPr>
        <w:t xml:space="preserve"> </w:t>
      </w:r>
      <w:r w:rsidR="00C55803">
        <w:rPr>
          <w:rFonts w:cstheme="minorHAnsi"/>
          <w:lang w:val="en-GB"/>
        </w:rPr>
        <w:t>↓RT ↑ACC</w:t>
      </w:r>
    </w:p>
    <w:p w14:paraId="329B997D" w14:textId="2738F3BE" w:rsidR="00BC31B5" w:rsidRDefault="007C5401" w:rsidP="007C5401">
      <w:pPr>
        <w:pStyle w:val="Overskrift2"/>
        <w:rPr>
          <w:lang w:val="en-GB"/>
        </w:rPr>
      </w:pPr>
      <w:r>
        <w:rPr>
          <w:lang w:val="en-GB"/>
        </w:rPr>
        <w:t>Authors</w:t>
      </w:r>
      <w:r w:rsidR="00BF7C47">
        <w:rPr>
          <w:lang w:val="en-GB"/>
        </w:rPr>
        <w:t>’</w:t>
      </w:r>
      <w:r>
        <w:rPr>
          <w:lang w:val="en-GB"/>
        </w:rPr>
        <w:t xml:space="preserve"> conclusion</w:t>
      </w:r>
    </w:p>
    <w:p w14:paraId="0E20930C" w14:textId="77777777" w:rsidR="00863610" w:rsidRDefault="00863610" w:rsidP="00863610">
      <w:pPr>
        <w:rPr>
          <w:lang w:val="en-US" w:eastAsia="en-GB"/>
        </w:rPr>
      </w:pPr>
      <w:r>
        <w:rPr>
          <w:lang w:val="en-GB"/>
        </w:rPr>
        <w:t>“</w:t>
      </w:r>
      <w:r w:rsidRPr="00853E63">
        <w:rPr>
          <w:lang w:val="en-US" w:eastAsia="en-GB"/>
        </w:rPr>
        <w:t>The current study provides a clear demonstration that both target-feature enhancement and distractor-feature suppression contribute to guiding attention in separate and independent ways.”</w:t>
      </w:r>
      <w:r>
        <w:rPr>
          <w:lang w:val="en-US" w:eastAsia="en-GB"/>
        </w:rPr>
        <w:t xml:space="preserve"> (p. 7)</w:t>
      </w:r>
    </w:p>
    <w:p w14:paraId="12B5E4E4" w14:textId="77777777" w:rsidR="00863610" w:rsidRPr="003D4E35" w:rsidRDefault="00863610" w:rsidP="00863610">
      <w:pPr>
        <w:rPr>
          <w:szCs w:val="24"/>
          <w:lang w:val="en-US" w:eastAsia="en-GB"/>
        </w:rPr>
      </w:pPr>
      <w:r>
        <w:rPr>
          <w:lang w:val="en-US" w:eastAsia="en-GB"/>
        </w:rPr>
        <w:t>“</w:t>
      </w:r>
      <w:r w:rsidRPr="00BD3C4D">
        <w:rPr>
          <w:lang w:val="en-US" w:eastAsia="en-GB"/>
        </w:rPr>
        <w:t>The current results contribute to resolving the debate between models of target-feature enhancement and distractor-feature suppression by providing clear behavioral evidence for an enhancement-plus-suppression model; observers can concurrently maintain two different attentional control processes and use either one of them as the occasion demands.</w:t>
      </w:r>
      <w:r>
        <w:rPr>
          <w:lang w:val="en-US" w:eastAsia="en-GB"/>
        </w:rPr>
        <w:t xml:space="preserve">” </w:t>
      </w:r>
      <w:r w:rsidRPr="003D4E35">
        <w:rPr>
          <w:lang w:val="en-US" w:eastAsia="en-GB"/>
        </w:rPr>
        <w:t>(p. 8)</w:t>
      </w:r>
    </w:p>
    <w:p w14:paraId="3FD0FD0D" w14:textId="0F9FF5D6" w:rsidR="002B3EE4" w:rsidRDefault="00C001A4" w:rsidP="00C001A4">
      <w:pPr>
        <w:pStyle w:val="Overskrift1"/>
        <w:rPr>
          <w:lang w:val="en-GB"/>
        </w:rPr>
      </w:pPr>
      <w:r>
        <w:rPr>
          <w:lang w:val="en-GB"/>
        </w:rPr>
        <w:t>Criticism</w:t>
      </w:r>
    </w:p>
    <w:p w14:paraId="48C4105C" w14:textId="2EE4B89A" w:rsidR="00C001A4" w:rsidRDefault="006B233C" w:rsidP="006B233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Ceiling effect: </w:t>
      </w:r>
      <w:r w:rsidR="00664462">
        <w:rPr>
          <w:lang w:val="en-GB"/>
        </w:rPr>
        <w:t>is the task too easy? Very high accuracy scores</w:t>
      </w:r>
      <w:r w:rsidR="00413D94">
        <w:rPr>
          <w:lang w:val="en-GB"/>
        </w:rPr>
        <w:t>!</w:t>
      </w:r>
      <w:r w:rsidR="00751647">
        <w:rPr>
          <w:lang w:val="en-GB"/>
        </w:rPr>
        <w:t xml:space="preserve"> It might not be necessary to </w:t>
      </w:r>
      <w:r w:rsidR="00331741">
        <w:rPr>
          <w:lang w:val="en-GB"/>
        </w:rPr>
        <w:t>maintain two different attentional control processes at the same time</w:t>
      </w:r>
      <w:r w:rsidR="00B810AC">
        <w:rPr>
          <w:lang w:val="en-GB"/>
        </w:rPr>
        <w:t xml:space="preserve">. Participants might be able to </w:t>
      </w:r>
      <w:r w:rsidR="006B4FDF">
        <w:rPr>
          <w:lang w:val="en-GB"/>
        </w:rPr>
        <w:t xml:space="preserve">solve the task without relying on </w:t>
      </w:r>
      <w:r w:rsidR="00AF7EDC">
        <w:rPr>
          <w:lang w:val="en-GB"/>
        </w:rPr>
        <w:t>either suppression or enhancement.</w:t>
      </w:r>
    </w:p>
    <w:p w14:paraId="13665784" w14:textId="7A67E043" w:rsidR="00DC25EF" w:rsidRDefault="00DC25EF" w:rsidP="006B233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mas</w:t>
      </w:r>
      <w:r w:rsidR="00E27A66">
        <w:rPr>
          <w:lang w:val="en-GB"/>
        </w:rPr>
        <w:t xml:space="preserve">king of </w:t>
      </w:r>
      <w:r w:rsidR="009C5B1A">
        <w:rPr>
          <w:lang w:val="en-GB"/>
        </w:rPr>
        <w:t xml:space="preserve">probe target display meaning participants might actually have more than </w:t>
      </w:r>
      <w:r w:rsidR="002A2F95">
        <w:rPr>
          <w:lang w:val="en-GB"/>
        </w:rPr>
        <w:t xml:space="preserve">100 ms </w:t>
      </w:r>
      <w:r w:rsidR="002F25CD">
        <w:rPr>
          <w:lang w:val="en-GB"/>
        </w:rPr>
        <w:t xml:space="preserve">to search </w:t>
      </w:r>
      <w:r w:rsidR="00A21850">
        <w:rPr>
          <w:b/>
          <w:bCs/>
          <w:lang w:val="en-GB"/>
        </w:rPr>
        <w:t>(i</w:t>
      </w:r>
      <w:r w:rsidR="002F25CD">
        <w:rPr>
          <w:b/>
          <w:bCs/>
          <w:lang w:val="en-GB"/>
        </w:rPr>
        <w:t>conic memory/sensory memory/</w:t>
      </w:r>
      <w:r w:rsidR="00953B15">
        <w:rPr>
          <w:b/>
          <w:bCs/>
          <w:lang w:val="en-GB"/>
        </w:rPr>
        <w:t>afterimage</w:t>
      </w:r>
      <w:r w:rsidR="00A21850">
        <w:rPr>
          <w:b/>
          <w:bCs/>
          <w:lang w:val="en-GB"/>
        </w:rPr>
        <w:t>)</w:t>
      </w:r>
    </w:p>
    <w:p w14:paraId="5FCFCB3A" w14:textId="5C5A81DF" w:rsidR="00DC25EF" w:rsidRDefault="00D06FD5" w:rsidP="006B233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r w:rsidR="005308F6">
        <w:rPr>
          <w:lang w:val="en-GB"/>
        </w:rPr>
        <w:t>control with neither target nor distractor colour</w:t>
      </w:r>
      <w:r w:rsidR="007E3D36">
        <w:rPr>
          <w:lang w:val="en-GB"/>
        </w:rPr>
        <w:t>:</w:t>
      </w:r>
      <w:r w:rsidR="001A4AC8">
        <w:rPr>
          <w:lang w:val="en-GB"/>
        </w:rPr>
        <w:t xml:space="preserve"> we can’t be sure that we’re witnessing enhancement and suppression as two separate processes.</w:t>
      </w:r>
    </w:p>
    <w:p w14:paraId="2B115558" w14:textId="70453FFE" w:rsidR="00DA2271" w:rsidRDefault="00DA2271" w:rsidP="00DA2271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We are comparing a version of the task made easier with a version of the task made more difficult instead of comparing them to the ‘unaltered’ task (without target or distractor colour)</w:t>
      </w:r>
    </w:p>
    <w:p w14:paraId="347343B7" w14:textId="7A2C42A2" w:rsidR="00DA62BC" w:rsidRDefault="00DA62BC" w:rsidP="00DA2271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Would such a comparison still provide a significant result? If so, who not include it?</w:t>
      </w:r>
    </w:p>
    <w:p w14:paraId="7AFD736C" w14:textId="7DCE017E" w:rsidR="007A6F5B" w:rsidRPr="007A6F5B" w:rsidRDefault="000361BD" w:rsidP="007A6F5B">
      <w:pPr>
        <w:pStyle w:val="Listeafsnit"/>
        <w:numPr>
          <w:ilvl w:val="0"/>
          <w:numId w:val="1"/>
        </w:numPr>
        <w:rPr>
          <w:lang w:val="en-GB"/>
        </w:rPr>
      </w:pPr>
      <w:r w:rsidRPr="00A62FAE">
        <w:rPr>
          <w:b/>
          <w:bCs/>
          <w:lang w:val="en-GB"/>
        </w:rPr>
        <w:t>Uncertainty</w:t>
      </w:r>
      <w:r>
        <w:rPr>
          <w:lang w:val="en-GB"/>
        </w:rPr>
        <w:t>: Are we measuring peoples attention or how certain they are of their answer?</w:t>
      </w:r>
    </w:p>
    <w:p w14:paraId="3E07031E" w14:textId="3A0FEE09" w:rsidR="00BB7AD6" w:rsidRPr="00BB7AD6" w:rsidRDefault="00FA67D0" w:rsidP="00BB7AD6">
      <w:pPr>
        <w:pStyle w:val="Overskrift1"/>
        <w:rPr>
          <w:lang w:val="en-GB"/>
        </w:rPr>
      </w:pPr>
      <w:r>
        <w:rPr>
          <w:lang w:val="en-GB"/>
        </w:rPr>
        <w:lastRenderedPageBreak/>
        <w:t>Broader perspective</w:t>
      </w:r>
    </w:p>
    <w:p w14:paraId="5780A0ED" w14:textId="77777777" w:rsidR="0021510B" w:rsidRPr="0090560A" w:rsidRDefault="0021510B" w:rsidP="0021510B">
      <w:pPr>
        <w:pStyle w:val="Listeafsnit"/>
        <w:numPr>
          <w:ilvl w:val="0"/>
          <w:numId w:val="4"/>
        </w:numPr>
        <w:rPr>
          <w:lang w:val="en-GB"/>
        </w:rPr>
      </w:pPr>
      <w:r w:rsidRPr="00D2454F">
        <w:rPr>
          <w:lang w:val="en-US"/>
        </w:rPr>
        <w:t>Stroop</w:t>
      </w:r>
      <w:r>
        <w:rPr>
          <w:lang w:val="en-US"/>
        </w:rPr>
        <w:t>: T</w:t>
      </w:r>
      <w:r w:rsidRPr="00D2454F">
        <w:rPr>
          <w:lang w:val="en-US"/>
        </w:rPr>
        <w:t>rained responses,</w:t>
      </w:r>
      <w:r>
        <w:rPr>
          <w:lang w:val="en-US"/>
        </w:rPr>
        <w:t xml:space="preserve"> inhibition,</w:t>
      </w:r>
      <w:r w:rsidRPr="00D2454F">
        <w:rPr>
          <w:lang w:val="en-US"/>
        </w:rPr>
        <w:t xml:space="preserve"> executive f</w:t>
      </w:r>
      <w:r>
        <w:rPr>
          <w:lang w:val="en-US"/>
        </w:rPr>
        <w:t>unctions</w:t>
      </w:r>
    </w:p>
    <w:p w14:paraId="7CAA977C" w14:textId="77777777" w:rsidR="0021510B" w:rsidRPr="00D2454F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IOWA: Somatic marker - Correct! Incorrect! Too slow! (clear, immediate feedback, good for skill learning)</w:t>
      </w:r>
    </w:p>
    <w:p w14:paraId="378265C3" w14:textId="77777777" w:rsidR="0021510B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RTPD: Learning occurs nondeclaratively- if the participants in this experiment aren’t aware of target or distractor colours, the experiment shows that implicit learning did occur </w:t>
      </w:r>
    </w:p>
    <w:p w14:paraId="2086AB1B" w14:textId="77777777" w:rsidR="0021510B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search: pop-out effect versus suppression in this</w:t>
      </w:r>
    </w:p>
    <w:p w14:paraId="695EE64D" w14:textId="77777777" w:rsidR="0021510B" w:rsidRPr="00D2454F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attention versus controlled attention (R&amp;A kap. 4)</w:t>
      </w:r>
    </w:p>
    <w:p w14:paraId="78B5FA5A" w14:textId="77777777" w:rsidR="0021510B" w:rsidRPr="00D2454F" w:rsidRDefault="0021510B" w:rsidP="0021510B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Cocktail party effect</w:t>
      </w:r>
    </w:p>
    <w:p w14:paraId="78523B7D" w14:textId="77777777" w:rsidR="0021510B" w:rsidRPr="003E760A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priming: A stimuli that was just suppressed, takes a longer time to acknowledge when it isn’t supposed to be suppressed anymore. Example: Red was distractor colour in search trails, therefore it takes a longer time to locate the probe in the probe trails, if the probe is in a red oval. (Negative priming = suppression effect)</w:t>
      </w:r>
    </w:p>
    <w:p w14:paraId="05C120BA" w14:textId="46AAA3E6" w:rsidR="0021510B" w:rsidRPr="00DF183C" w:rsidRDefault="0021510B" w:rsidP="0021510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Selection models</w:t>
      </w:r>
    </w:p>
    <w:p w14:paraId="46BF7E7C" w14:textId="734C068D" w:rsidR="0019001D" w:rsidRDefault="0021510B" w:rsidP="0021510B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Early selection (Broadbent, 1958)</w:t>
      </w:r>
      <w:r w:rsidR="003040C3">
        <w:rPr>
          <w:lang w:val="en-US"/>
        </w:rPr>
        <w:t xml:space="preserve">: </w:t>
      </w:r>
      <w:r w:rsidR="00BF614E">
        <w:rPr>
          <w:lang w:val="en-US"/>
        </w:rPr>
        <w:t>sensory systems filter information because they cannot process all of it.</w:t>
      </w:r>
      <w:r w:rsidR="0060207C">
        <w:rPr>
          <w:lang w:val="en-US"/>
        </w:rPr>
        <w:t xml:space="preserve"> Perception </w:t>
      </w:r>
      <w:r w:rsidR="00F27F28">
        <w:rPr>
          <w:lang w:val="en-US"/>
        </w:rPr>
        <w:t xml:space="preserve">of a stimulus </w:t>
      </w:r>
      <w:r w:rsidR="0060207C">
        <w:rPr>
          <w:lang w:val="en-US"/>
        </w:rPr>
        <w:t xml:space="preserve">is not required for </w:t>
      </w:r>
      <w:r w:rsidR="00F27F28">
        <w:rPr>
          <w:lang w:val="en-US"/>
        </w:rPr>
        <w:t>it</w:t>
      </w:r>
      <w:r w:rsidR="0060207C">
        <w:rPr>
          <w:lang w:val="en-US"/>
        </w:rPr>
        <w:t xml:space="preserve"> to be filtered.</w:t>
      </w:r>
      <w:r w:rsidR="00BF614E">
        <w:rPr>
          <w:lang w:val="en-US"/>
        </w:rPr>
        <w:t xml:space="preserve"> Not consistent with </w:t>
      </w:r>
      <w:r w:rsidR="004C16D6">
        <w:rPr>
          <w:lang w:val="en-US"/>
        </w:rPr>
        <w:t>empirical evidence</w:t>
      </w:r>
      <w:r w:rsidR="00F27F28">
        <w:rPr>
          <w:lang w:val="en-US"/>
        </w:rPr>
        <w:t xml:space="preserve">, as </w:t>
      </w:r>
      <w:r w:rsidR="002B2919">
        <w:rPr>
          <w:lang w:val="en-US"/>
        </w:rPr>
        <w:t xml:space="preserve">stimuli which do not comply with pre-applied filters can </w:t>
      </w:r>
      <w:r w:rsidR="00EB393E">
        <w:rPr>
          <w:lang w:val="en-US"/>
        </w:rPr>
        <w:t>be perceived (hearing one’s name)</w:t>
      </w:r>
    </w:p>
    <w:p w14:paraId="4228BA82" w14:textId="25476897" w:rsidR="0019001D" w:rsidRDefault="0021510B" w:rsidP="0021510B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Attenuation (Treisman, 1960)</w:t>
      </w:r>
      <w:r w:rsidR="00EB393E">
        <w:rPr>
          <w:lang w:val="en-US"/>
        </w:rPr>
        <w:t xml:space="preserve">: </w:t>
      </w:r>
      <w:r w:rsidR="001325E0">
        <w:rPr>
          <w:lang w:val="en-US"/>
        </w:rPr>
        <w:t>Stimuli are not processed at an all or nothing rate. I</w:t>
      </w:r>
      <w:r w:rsidR="00261748">
        <w:rPr>
          <w:lang w:val="en-US"/>
        </w:rPr>
        <w:t xml:space="preserve">rrelevant </w:t>
      </w:r>
      <w:r w:rsidR="0040451E">
        <w:rPr>
          <w:lang w:val="en-US"/>
        </w:rPr>
        <w:t xml:space="preserve">stimuli are </w:t>
      </w:r>
      <w:r w:rsidR="0024434F">
        <w:rPr>
          <w:lang w:val="en-US"/>
        </w:rPr>
        <w:t xml:space="preserve">suppressed </w:t>
      </w:r>
      <w:r w:rsidR="001325E0">
        <w:rPr>
          <w:lang w:val="en-US"/>
        </w:rPr>
        <w:t>while important ones are enhanced.</w:t>
      </w:r>
    </w:p>
    <w:p w14:paraId="5D112BDA" w14:textId="7F067ADD" w:rsidR="0021510B" w:rsidRDefault="0021510B" w:rsidP="0021510B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Late selection (Deutsch &amp; Deutsch, 1963)</w:t>
      </w:r>
      <w:r w:rsidR="003C36F6">
        <w:rPr>
          <w:lang w:val="en-US"/>
        </w:rPr>
        <w:t>:</w:t>
      </w:r>
      <w:r w:rsidR="001325E0">
        <w:rPr>
          <w:lang w:val="en-US"/>
        </w:rPr>
        <w:t xml:space="preserve"> </w:t>
      </w:r>
      <w:r w:rsidR="003E642C">
        <w:rPr>
          <w:lang w:val="en-US"/>
        </w:rPr>
        <w:t>All stimuli are processed to the semantic level</w:t>
      </w:r>
      <w:r w:rsidR="00660EBD">
        <w:rPr>
          <w:lang w:val="en-US"/>
        </w:rPr>
        <w:t>, but this can happen without conscious awareness</w:t>
      </w:r>
      <w:r w:rsidR="00B30ACC">
        <w:rPr>
          <w:lang w:val="en-US"/>
        </w:rPr>
        <w:t>. Only few stimuli are processed to response level.</w:t>
      </w:r>
    </w:p>
    <w:p w14:paraId="5AE43AF4" w14:textId="16F1E9E7" w:rsidR="00B30ACC" w:rsidRDefault="00B30ACC" w:rsidP="0021510B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Modern understandings usually</w:t>
      </w:r>
      <w:r w:rsidR="00195F9D">
        <w:rPr>
          <w:lang w:val="en-US"/>
        </w:rPr>
        <w:t xml:space="preserve"> include selection at several </w:t>
      </w:r>
      <w:r w:rsidR="00B56E7F">
        <w:rPr>
          <w:lang w:val="en-US"/>
        </w:rPr>
        <w:t>stages</w:t>
      </w:r>
      <w:r w:rsidR="00195F9D">
        <w:rPr>
          <w:lang w:val="en-US"/>
        </w:rPr>
        <w:t xml:space="preserve"> by accounting for </w:t>
      </w:r>
      <w:r w:rsidR="00325DED">
        <w:rPr>
          <w:lang w:val="en-US"/>
        </w:rPr>
        <w:t xml:space="preserve">both sensory level and </w:t>
      </w:r>
      <w:r w:rsidR="001D3EE7">
        <w:rPr>
          <w:lang w:val="en-US"/>
        </w:rPr>
        <w:t>higher-level</w:t>
      </w:r>
      <w:r w:rsidR="00325DED">
        <w:rPr>
          <w:lang w:val="en-US"/>
        </w:rPr>
        <w:t xml:space="preserve"> processing. </w:t>
      </w:r>
      <w:r w:rsidR="001D3EE7">
        <w:rPr>
          <w:lang w:val="en-US"/>
        </w:rPr>
        <w:t>Sensory memory is required for this to work, hence iconic, echoic and other memory types are included in this understanding.</w:t>
      </w:r>
    </w:p>
    <w:p w14:paraId="4E6C45C6" w14:textId="79FFD417" w:rsidR="007A6F5B" w:rsidRDefault="007A6F5B" w:rsidP="007A6F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TVA</w:t>
      </w:r>
    </w:p>
    <w:p w14:paraId="368B9C25" w14:textId="4A47B898" w:rsidR="007A6F5B" w:rsidRDefault="007A6F5B" w:rsidP="007A6F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Attentional blink</w:t>
      </w:r>
    </w:p>
    <w:p w14:paraId="44569ED5" w14:textId="76825E26" w:rsidR="00DC142B" w:rsidRDefault="00DC142B" w:rsidP="007A6F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Neglect</w:t>
      </w:r>
    </w:p>
    <w:p w14:paraId="009C8CC8" w14:textId="77777777" w:rsidR="005123D9" w:rsidRDefault="00BC2573" w:rsidP="007A6F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Posner cueing task:</w:t>
      </w:r>
      <w:r w:rsidR="00C71378">
        <w:rPr>
          <w:b/>
          <w:bCs/>
          <w:lang w:val="en-US"/>
        </w:rPr>
        <w:t xml:space="preserve"> </w:t>
      </w:r>
      <w:r w:rsidR="00C71378">
        <w:rPr>
          <w:lang w:val="en-US"/>
        </w:rPr>
        <w:t xml:space="preserve">Participants must react to </w:t>
      </w:r>
      <w:r w:rsidR="00F674B4">
        <w:rPr>
          <w:lang w:val="en-US"/>
        </w:rPr>
        <w:t>stimuli left or right of fixation without moving their eyes.</w:t>
      </w:r>
    </w:p>
    <w:p w14:paraId="0262D58A" w14:textId="650C090D" w:rsidR="00BC2573" w:rsidRDefault="003E567E" w:rsidP="005123D9">
      <w:pPr>
        <w:pStyle w:val="Listeafsnit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Endogenous cues (arrows): </w:t>
      </w:r>
      <w:r w:rsidR="00624AEF">
        <w:rPr>
          <w:lang w:val="en-US"/>
        </w:rPr>
        <w:t>Va</w:t>
      </w:r>
      <w:r w:rsidR="00C71378">
        <w:rPr>
          <w:lang w:val="en-US"/>
        </w:rPr>
        <w:t>lid</w:t>
      </w:r>
      <w:r w:rsidR="00624AEF">
        <w:rPr>
          <w:lang w:val="en-US"/>
        </w:rPr>
        <w:t>, invalid</w:t>
      </w:r>
      <w:r w:rsidR="00BA5D93">
        <w:rPr>
          <w:lang w:val="en-US"/>
        </w:rPr>
        <w:t xml:space="preserve">, and neutral </w:t>
      </w:r>
      <w:r w:rsidR="00C71378">
        <w:rPr>
          <w:lang w:val="en-US"/>
        </w:rPr>
        <w:t>cues</w:t>
      </w:r>
      <w:r w:rsidR="00BA5D93">
        <w:rPr>
          <w:lang w:val="en-US"/>
        </w:rPr>
        <w:t xml:space="preserve"> are given (arrows pointing in right, wrong or both directions).</w:t>
      </w:r>
      <w:r w:rsidR="00722797">
        <w:rPr>
          <w:lang w:val="en-US"/>
        </w:rPr>
        <w:t xml:space="preserve"> Valid cues </w:t>
      </w:r>
      <w:r w:rsidR="00FE2EF9">
        <w:rPr>
          <w:lang w:val="en-US"/>
        </w:rPr>
        <w:t>facilitate</w:t>
      </w:r>
      <w:r w:rsidR="00722797">
        <w:rPr>
          <w:lang w:val="en-US"/>
        </w:rPr>
        <w:t xml:space="preserve"> for attention to be moved and processing of target to begin earlier.</w:t>
      </w:r>
    </w:p>
    <w:p w14:paraId="19C419F5" w14:textId="47FAA6F8" w:rsidR="00450EF7" w:rsidRDefault="00450EF7" w:rsidP="005123D9">
      <w:pPr>
        <w:pStyle w:val="Listeafsnit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Exogenous cues (highlighting target box)</w:t>
      </w:r>
      <w:r>
        <w:rPr>
          <w:lang w:val="en-US"/>
        </w:rPr>
        <w:t xml:space="preserve">: </w:t>
      </w:r>
      <w:r w:rsidR="00CF52E9">
        <w:rPr>
          <w:lang w:val="en-US"/>
        </w:rPr>
        <w:t>High</w:t>
      </w:r>
      <w:r w:rsidR="00161378">
        <w:rPr>
          <w:lang w:val="en-US"/>
        </w:rPr>
        <w:t xml:space="preserve">lighting the target box or presenting an arrow outside the </w:t>
      </w:r>
      <w:r w:rsidR="000C20D7">
        <w:rPr>
          <w:lang w:val="en-US"/>
        </w:rPr>
        <w:t>fovea creates exogenous cueing</w:t>
      </w:r>
      <w:r w:rsidR="00777D38">
        <w:rPr>
          <w:lang w:val="en-US"/>
        </w:rPr>
        <w:t>.</w:t>
      </w:r>
    </w:p>
    <w:p w14:paraId="75E44F28" w14:textId="76F89A54" w:rsidR="00777D38" w:rsidRDefault="00777D38" w:rsidP="005123D9">
      <w:pPr>
        <w:pStyle w:val="Listeafsnit"/>
        <w:numPr>
          <w:ilvl w:val="1"/>
          <w:numId w:val="4"/>
        </w:numPr>
        <w:rPr>
          <w:lang w:val="en-US"/>
        </w:rPr>
      </w:pPr>
      <w:r w:rsidRPr="00777D38">
        <w:rPr>
          <w:lang w:val="en-US"/>
        </w:rPr>
        <w:t xml:space="preserve">There are </w:t>
      </w:r>
      <w:r>
        <w:rPr>
          <w:lang w:val="en-US"/>
        </w:rPr>
        <w:t>3</w:t>
      </w:r>
      <w:r w:rsidRPr="00777D38">
        <w:rPr>
          <w:lang w:val="en-US"/>
        </w:rPr>
        <w:t xml:space="preserve"> mental operations that occur during covert orienting: </w:t>
      </w:r>
      <w:r w:rsidRPr="00777D38">
        <w:rPr>
          <w:b/>
          <w:bCs/>
          <w:lang w:val="en-US"/>
        </w:rPr>
        <w:t>disengagement</w:t>
      </w:r>
      <w:r w:rsidRPr="00777D38">
        <w:rPr>
          <w:lang w:val="en-US"/>
        </w:rPr>
        <w:t xml:space="preserve"> of current focus, </w:t>
      </w:r>
      <w:r w:rsidRPr="00777D38">
        <w:rPr>
          <w:b/>
          <w:bCs/>
          <w:lang w:val="en-US"/>
        </w:rPr>
        <w:t>movement</w:t>
      </w:r>
      <w:r w:rsidRPr="00777D38">
        <w:rPr>
          <w:lang w:val="en-US"/>
        </w:rPr>
        <w:t xml:space="preserve"> to selected target, and </w:t>
      </w:r>
      <w:r w:rsidRPr="00777D38">
        <w:rPr>
          <w:b/>
          <w:bCs/>
          <w:lang w:val="en-US"/>
        </w:rPr>
        <w:t>engagement</w:t>
      </w:r>
      <w:r w:rsidRPr="00777D38">
        <w:rPr>
          <w:lang w:val="en-US"/>
        </w:rPr>
        <w:t xml:space="preserve"> of selected target</w:t>
      </w:r>
      <w:r>
        <w:rPr>
          <w:lang w:val="en-US"/>
        </w:rPr>
        <w:t>.</w:t>
      </w:r>
      <w:bookmarkStart w:id="0" w:name="_GoBack"/>
      <w:bookmarkEnd w:id="0"/>
    </w:p>
    <w:p w14:paraId="39BB0A23" w14:textId="77777777" w:rsidR="0021510B" w:rsidRPr="0021510B" w:rsidRDefault="0021510B" w:rsidP="0021510B">
      <w:pPr>
        <w:rPr>
          <w:lang w:val="en-US"/>
        </w:rPr>
      </w:pPr>
    </w:p>
    <w:p w14:paraId="76BB6090" w14:textId="77777777" w:rsidR="00FA67D0" w:rsidRPr="00FA67D0" w:rsidRDefault="00FA67D0" w:rsidP="00FA67D0">
      <w:pPr>
        <w:rPr>
          <w:lang w:val="en-GB"/>
        </w:rPr>
      </w:pPr>
    </w:p>
    <w:sectPr w:rsidR="00FA67D0" w:rsidRPr="00FA6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2C69"/>
    <w:multiLevelType w:val="hybridMultilevel"/>
    <w:tmpl w:val="446438EE"/>
    <w:lvl w:ilvl="0" w:tplc="0E08CBB0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3A97"/>
    <w:multiLevelType w:val="hybridMultilevel"/>
    <w:tmpl w:val="0308C934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4D52"/>
    <w:multiLevelType w:val="hybridMultilevel"/>
    <w:tmpl w:val="21D69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AA"/>
    <w:rsid w:val="00014F4D"/>
    <w:rsid w:val="00021521"/>
    <w:rsid w:val="000361BD"/>
    <w:rsid w:val="00036AAF"/>
    <w:rsid w:val="00065A83"/>
    <w:rsid w:val="00072DB5"/>
    <w:rsid w:val="00075ADF"/>
    <w:rsid w:val="000B3A3F"/>
    <w:rsid w:val="000C20D7"/>
    <w:rsid w:val="0011008B"/>
    <w:rsid w:val="00110337"/>
    <w:rsid w:val="00121356"/>
    <w:rsid w:val="001325E0"/>
    <w:rsid w:val="00161378"/>
    <w:rsid w:val="001651D4"/>
    <w:rsid w:val="0017097E"/>
    <w:rsid w:val="001768AA"/>
    <w:rsid w:val="00177B2B"/>
    <w:rsid w:val="00180AD7"/>
    <w:rsid w:val="00185B12"/>
    <w:rsid w:val="0019001D"/>
    <w:rsid w:val="00195F9D"/>
    <w:rsid w:val="001A3F88"/>
    <w:rsid w:val="001A4AC8"/>
    <w:rsid w:val="001C3994"/>
    <w:rsid w:val="001D1A89"/>
    <w:rsid w:val="001D3EE7"/>
    <w:rsid w:val="001E1110"/>
    <w:rsid w:val="001F75A1"/>
    <w:rsid w:val="00201625"/>
    <w:rsid w:val="0021510B"/>
    <w:rsid w:val="002421AA"/>
    <w:rsid w:val="0024434F"/>
    <w:rsid w:val="0025243F"/>
    <w:rsid w:val="00261748"/>
    <w:rsid w:val="0028780C"/>
    <w:rsid w:val="00293229"/>
    <w:rsid w:val="002A2F95"/>
    <w:rsid w:val="002B2919"/>
    <w:rsid w:val="002B3EE4"/>
    <w:rsid w:val="002F25CD"/>
    <w:rsid w:val="003040C3"/>
    <w:rsid w:val="00310CCD"/>
    <w:rsid w:val="003144E5"/>
    <w:rsid w:val="00321E1A"/>
    <w:rsid w:val="00325DED"/>
    <w:rsid w:val="00331741"/>
    <w:rsid w:val="003361A7"/>
    <w:rsid w:val="00342BC4"/>
    <w:rsid w:val="003430D7"/>
    <w:rsid w:val="003473DD"/>
    <w:rsid w:val="003607D4"/>
    <w:rsid w:val="0036116B"/>
    <w:rsid w:val="00361680"/>
    <w:rsid w:val="00363259"/>
    <w:rsid w:val="00365249"/>
    <w:rsid w:val="0037634C"/>
    <w:rsid w:val="00381D80"/>
    <w:rsid w:val="00385166"/>
    <w:rsid w:val="003B619E"/>
    <w:rsid w:val="003C0711"/>
    <w:rsid w:val="003C36F6"/>
    <w:rsid w:val="003D4E35"/>
    <w:rsid w:val="003E3B73"/>
    <w:rsid w:val="003E567E"/>
    <w:rsid w:val="003E642C"/>
    <w:rsid w:val="003E65D5"/>
    <w:rsid w:val="00402202"/>
    <w:rsid w:val="0040451E"/>
    <w:rsid w:val="00411451"/>
    <w:rsid w:val="00413D73"/>
    <w:rsid w:val="00413D94"/>
    <w:rsid w:val="00450EF7"/>
    <w:rsid w:val="004672A5"/>
    <w:rsid w:val="00481069"/>
    <w:rsid w:val="00493C7B"/>
    <w:rsid w:val="004A6301"/>
    <w:rsid w:val="004B1D46"/>
    <w:rsid w:val="004B34CA"/>
    <w:rsid w:val="004C16D6"/>
    <w:rsid w:val="005045F7"/>
    <w:rsid w:val="005123D9"/>
    <w:rsid w:val="00517494"/>
    <w:rsid w:val="00524138"/>
    <w:rsid w:val="005308F6"/>
    <w:rsid w:val="005318E2"/>
    <w:rsid w:val="00576B1A"/>
    <w:rsid w:val="005C05D2"/>
    <w:rsid w:val="005F3473"/>
    <w:rsid w:val="00601D20"/>
    <w:rsid w:val="0060207C"/>
    <w:rsid w:val="00604BC2"/>
    <w:rsid w:val="00624AEF"/>
    <w:rsid w:val="006265F6"/>
    <w:rsid w:val="00631686"/>
    <w:rsid w:val="00646601"/>
    <w:rsid w:val="00652EB9"/>
    <w:rsid w:val="00660EBD"/>
    <w:rsid w:val="00664462"/>
    <w:rsid w:val="006756E2"/>
    <w:rsid w:val="00680EB4"/>
    <w:rsid w:val="00695606"/>
    <w:rsid w:val="00696039"/>
    <w:rsid w:val="006B233C"/>
    <w:rsid w:val="006B4FDF"/>
    <w:rsid w:val="006C58AC"/>
    <w:rsid w:val="006D66F1"/>
    <w:rsid w:val="006D77BF"/>
    <w:rsid w:val="006F37FE"/>
    <w:rsid w:val="006F6BE4"/>
    <w:rsid w:val="00713593"/>
    <w:rsid w:val="00722797"/>
    <w:rsid w:val="007244D0"/>
    <w:rsid w:val="00737C17"/>
    <w:rsid w:val="00751647"/>
    <w:rsid w:val="00757E73"/>
    <w:rsid w:val="00777D38"/>
    <w:rsid w:val="007949F2"/>
    <w:rsid w:val="007A6F5B"/>
    <w:rsid w:val="007C5401"/>
    <w:rsid w:val="007D483A"/>
    <w:rsid w:val="007E3D36"/>
    <w:rsid w:val="007F0BF8"/>
    <w:rsid w:val="00822341"/>
    <w:rsid w:val="0082634E"/>
    <w:rsid w:val="0082642D"/>
    <w:rsid w:val="00843A63"/>
    <w:rsid w:val="0085431E"/>
    <w:rsid w:val="00863610"/>
    <w:rsid w:val="0089550E"/>
    <w:rsid w:val="00895A33"/>
    <w:rsid w:val="008B77AD"/>
    <w:rsid w:val="008C1252"/>
    <w:rsid w:val="008C186B"/>
    <w:rsid w:val="008E02E0"/>
    <w:rsid w:val="00902ED4"/>
    <w:rsid w:val="00910087"/>
    <w:rsid w:val="009106DF"/>
    <w:rsid w:val="00911C97"/>
    <w:rsid w:val="00915527"/>
    <w:rsid w:val="00930218"/>
    <w:rsid w:val="0094264D"/>
    <w:rsid w:val="00951942"/>
    <w:rsid w:val="00953B15"/>
    <w:rsid w:val="009544B3"/>
    <w:rsid w:val="00976E15"/>
    <w:rsid w:val="00992229"/>
    <w:rsid w:val="00997C7A"/>
    <w:rsid w:val="009A14E9"/>
    <w:rsid w:val="009C0C61"/>
    <w:rsid w:val="009C102C"/>
    <w:rsid w:val="009C5B1A"/>
    <w:rsid w:val="009E4A26"/>
    <w:rsid w:val="009F3963"/>
    <w:rsid w:val="009F3FAA"/>
    <w:rsid w:val="00A17722"/>
    <w:rsid w:val="00A21850"/>
    <w:rsid w:val="00A36031"/>
    <w:rsid w:val="00A54031"/>
    <w:rsid w:val="00A566F1"/>
    <w:rsid w:val="00A62FAE"/>
    <w:rsid w:val="00A652B4"/>
    <w:rsid w:val="00A756A3"/>
    <w:rsid w:val="00A9121A"/>
    <w:rsid w:val="00AA3CBB"/>
    <w:rsid w:val="00AA4064"/>
    <w:rsid w:val="00AB324A"/>
    <w:rsid w:val="00AC0986"/>
    <w:rsid w:val="00AC0C51"/>
    <w:rsid w:val="00AC61CA"/>
    <w:rsid w:val="00AF2643"/>
    <w:rsid w:val="00AF7EDC"/>
    <w:rsid w:val="00B000FA"/>
    <w:rsid w:val="00B06390"/>
    <w:rsid w:val="00B23295"/>
    <w:rsid w:val="00B30ACC"/>
    <w:rsid w:val="00B50D55"/>
    <w:rsid w:val="00B51BDF"/>
    <w:rsid w:val="00B56B2C"/>
    <w:rsid w:val="00B56E7F"/>
    <w:rsid w:val="00B810AC"/>
    <w:rsid w:val="00BA5D93"/>
    <w:rsid w:val="00BB4531"/>
    <w:rsid w:val="00BB7AD6"/>
    <w:rsid w:val="00BC2573"/>
    <w:rsid w:val="00BC31B5"/>
    <w:rsid w:val="00BF614E"/>
    <w:rsid w:val="00BF7C47"/>
    <w:rsid w:val="00C001A4"/>
    <w:rsid w:val="00C03EBE"/>
    <w:rsid w:val="00C361AE"/>
    <w:rsid w:val="00C55803"/>
    <w:rsid w:val="00C649AC"/>
    <w:rsid w:val="00C71378"/>
    <w:rsid w:val="00C751D9"/>
    <w:rsid w:val="00C77EA5"/>
    <w:rsid w:val="00C86EC9"/>
    <w:rsid w:val="00C9343F"/>
    <w:rsid w:val="00C96C3C"/>
    <w:rsid w:val="00C973F8"/>
    <w:rsid w:val="00CB08A0"/>
    <w:rsid w:val="00CC2DF9"/>
    <w:rsid w:val="00CD34EA"/>
    <w:rsid w:val="00CE5134"/>
    <w:rsid w:val="00CE5630"/>
    <w:rsid w:val="00CF0189"/>
    <w:rsid w:val="00CF52E9"/>
    <w:rsid w:val="00D02A28"/>
    <w:rsid w:val="00D06FD5"/>
    <w:rsid w:val="00D0768D"/>
    <w:rsid w:val="00D14B2C"/>
    <w:rsid w:val="00D502A9"/>
    <w:rsid w:val="00D76C55"/>
    <w:rsid w:val="00D869F9"/>
    <w:rsid w:val="00DA2271"/>
    <w:rsid w:val="00DA62BC"/>
    <w:rsid w:val="00DA775B"/>
    <w:rsid w:val="00DB242E"/>
    <w:rsid w:val="00DC0866"/>
    <w:rsid w:val="00DC142B"/>
    <w:rsid w:val="00DC25EF"/>
    <w:rsid w:val="00DD0684"/>
    <w:rsid w:val="00DF7CF1"/>
    <w:rsid w:val="00E154F6"/>
    <w:rsid w:val="00E23DF3"/>
    <w:rsid w:val="00E27A66"/>
    <w:rsid w:val="00E81D9E"/>
    <w:rsid w:val="00E96937"/>
    <w:rsid w:val="00EA63E0"/>
    <w:rsid w:val="00EB393E"/>
    <w:rsid w:val="00EC0D73"/>
    <w:rsid w:val="00EC3B55"/>
    <w:rsid w:val="00ED2929"/>
    <w:rsid w:val="00EE1935"/>
    <w:rsid w:val="00EF2B62"/>
    <w:rsid w:val="00EF749B"/>
    <w:rsid w:val="00F01214"/>
    <w:rsid w:val="00F1471B"/>
    <w:rsid w:val="00F26164"/>
    <w:rsid w:val="00F267BA"/>
    <w:rsid w:val="00F27F28"/>
    <w:rsid w:val="00F457CC"/>
    <w:rsid w:val="00F674B4"/>
    <w:rsid w:val="00F72DD5"/>
    <w:rsid w:val="00F90A2F"/>
    <w:rsid w:val="00F91C4D"/>
    <w:rsid w:val="00F96246"/>
    <w:rsid w:val="00FA67D0"/>
    <w:rsid w:val="00FE1B6A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DCFE"/>
  <w15:chartTrackingRefBased/>
  <w15:docId w15:val="{A379D865-5DDB-4E5C-BF63-5F64768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B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A6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6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42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4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8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28780C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B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B1D4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6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A6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A63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rrektur">
    <w:name w:val="Revision"/>
    <w:hidden/>
    <w:uiPriority w:val="99"/>
    <w:semiHidden/>
    <w:rsid w:val="00310CCD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1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1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1987881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2BE242-56F2-4E3E-A9E4-0DFA48A28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282B2-AA08-4BA5-82EF-CB1C9E7197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CABAD4-752A-418D-97D6-72156AA3CA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960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Bredgaard</dc:creator>
  <cp:keywords/>
  <dc:description/>
  <cp:lastModifiedBy>Frederik Bredgaard</cp:lastModifiedBy>
  <cp:revision>143</cp:revision>
  <dcterms:created xsi:type="dcterms:W3CDTF">2020-01-03T11:56:00Z</dcterms:created>
  <dcterms:modified xsi:type="dcterms:W3CDTF">2020-01-11T12:53:00Z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