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20"/>
      </w:pPr>
    </w:p>
    <w:p>
      <w:pPr>
        <w:spacing w:after="60" w:before="0" w:line="264"/>
      </w:pPr>
      <w:r>
        <w:rPr>
          <w:rFonts w:ascii="Calibri" w:cs="Calibri" w:eastAsia="Calibri" w:hAnsi="Calibri"/>
          <w:b/>
          <w:bCs/>
          <w:color w:val="6B6880"/>
          <w:spacing w:val="60"/>
          <w:sz w:val="17"/>
          <w:szCs w:val="17"/>
        </w:rPr>
        <w:t xml:space="preserve">TEAM NAME</w:t>
      </w:r>
    </w:p>
    <w:p>
      <w:pPr>
        <w:spacing w:after="260" w:before="0" w:line="264"/>
      </w:pPr>
      <w:r>
        <w:rPr>
          <w:rFonts w:ascii="Cambria" w:cs="Cambria" w:eastAsia="Cambria" w:hAnsi="Cambria"/>
          <w:b/>
          <w:bCs/>
          <w:color w:val="1B1733"/>
          <w:sz w:val="40"/>
          <w:szCs w:val="40"/>
        </w:rPr>
        <w:t xml:space="preserve">BYOND Asia</w:t>
      </w:r>
    </w:p>
    <w:p>
      <w:pPr>
        <w:spacing w:after="60" w:before="0" w:line="264"/>
      </w:pPr>
      <w:r>
        <w:rPr>
          <w:rFonts w:ascii="Calibri" w:cs="Calibri" w:eastAsia="Calibri" w:hAnsi="Calibri"/>
          <w:b/>
          <w:bCs/>
          <w:color w:val="6B6880"/>
          <w:spacing w:val="60"/>
          <w:sz w:val="17"/>
          <w:szCs w:val="17"/>
        </w:rPr>
        <w:t xml:space="preserve">SOLUTION NAME</w:t>
      </w:r>
    </w:p>
    <w:p>
      <w:pPr>
        <w:spacing w:after="90" w:before="0" w:line="264"/>
      </w:pPr>
      <w:r>
        <w:rPr>
          <w:rFonts w:ascii="Cambria" w:cs="Cambria" w:eastAsia="Cambria" w:hAnsi="Cambria"/>
          <w:b/>
          <w:bCs/>
          <w:color w:val="1B1733"/>
          <w:spacing w:val="20"/>
          <w:sz w:val="88"/>
          <w:szCs w:val="88"/>
        </w:rPr>
        <w:t xml:space="preserve">AUREN</w:t>
      </w:r>
    </w:p>
    <w:p>
      <w:pPr>
        <w:spacing w:after="200" w:before="0" w:line="264"/>
      </w:pPr>
      <w:r>
        <w:rPr>
          <w:rFonts w:ascii="Cambria" w:cs="Cambria" w:eastAsia="Cambria" w:hAnsi="Cambria"/>
          <w:i/>
          <w:iCs/>
          <w:color w:val="5A4A96"/>
          <w:sz w:val="32"/>
          <w:szCs w:val="32"/>
        </w:rPr>
        <w:t xml:space="preserve">Rehearse the moment. Not the warning.</w:t>
      </w:r>
    </w:p>
    <w:p>
      <w:pPr>
        <w:spacing w:after="320" w:before="0" w:line="264"/>
      </w:pPr>
      <w:r>
        <w:rPr>
          <w:rFonts w:ascii="Calibri" w:cs="Calibri" w:eastAsia="Calibri" w:hAnsi="Calibri"/>
          <w:color w:val="2A2447"/>
          <w:sz w:val="23"/>
          <w:szCs w:val="23"/>
        </w:rPr>
        <w:t xml:space="preserve">A governed interview engine that measures scam resistance as behaviour under pressure — and binds every finding to the investor's own words.</w:t>
      </w:r>
    </w:p>
    <w:tbl>
      <w:tblPr>
        <w:tblW w:type="dxa" w:w="15130"/>
        <w:tblBorders>
          <w:top w:val="single" w:color="7C6BC4" w:sz="8"/>
          <w:left w:val="none" w:color="FFFFFF" w:sz="0"/>
          <w:bottom w:val="none" w:color="FFFFFF" w:sz="0"/>
          <w:right w:val="none" w:color="FFFFFF" w:sz="0"/>
          <w:insideH w:val="none" w:color="FFFFFF" w:sz="0"/>
          <w:insideV w:val="none" w:color="FFFFFF" w:sz="0"/>
        </w:tblBorders>
      </w:tblPr>
      <w:tblGrid>
        <w:gridCol w:w="15130"/>
      </w:tblGrid>
      <w:tr>
        <w:tc>
          <w:tcPr>
            <w:tcW w:type="dxa" w:w="15130"/>
            <w:shd w:fill="FFFFFF" w:val="clear"/>
            <w:tcMar>
              <w:top w:type="dxa" w:w="190"/>
              <w:left w:type="dxa" w:w="0"/>
              <w:bottom w:type="dxa" w:w="0"/>
              <w:right w:type="dxa" w:w="190"/>
            </w:tcMar>
            <w:vAlign w:val="top"/>
          </w:tcPr>
          <w:p>
            <w:pPr>
              <w:spacing w:after="100" w:before="0" w:line="264"/>
            </w:pPr>
            <w:r>
              <w:rPr>
                <w:rFonts w:ascii="Calibri" w:cs="Calibri" w:eastAsia="Calibri" w:hAnsi="Calibri"/>
                <w:b/>
                <w:bCs/>
                <w:color w:val="5A4A96"/>
                <w:sz w:val="23"/>
                <w:szCs w:val="23"/>
              </w:rPr>
              <w:t xml:space="preserve">AUREN is powered by HoloMe</w:t>
            </w:r>
            <w:r>
              <w:rPr>
                <w:rFonts w:ascii="Calibri" w:cs="Calibri" w:eastAsia="Calibri" w:hAnsi="Calibri"/>
                <w:color w:val="D5D1E4"/>
                <w:sz w:val="23"/>
                <w:szCs w:val="23"/>
              </w:rPr>
              <w:t xml:space="preserve">     ·     </w:t>
            </w:r>
            <w:r>
              <w:rPr>
                <w:rFonts w:ascii="Calibri" w:cs="Calibri" w:eastAsia="Calibri" w:hAnsi="Calibri"/>
                <w:color w:val="1B1733"/>
                <w:sz w:val="23"/>
                <w:szCs w:val="23"/>
              </w:rPr>
              <w:t xml:space="preserve">IOSCO TechSprint 2026  ·  Demo Day</w:t>
            </w:r>
          </w:p>
          <w:p>
            <w:pPr>
              <w:spacing w:after="0" w:before="0" w:line="264"/>
            </w:pPr>
            <w:r>
              <w:rPr>
                <w:rFonts w:ascii="Calibri" w:cs="Calibri" w:eastAsia="Calibri" w:hAnsi="Calibri"/>
                <w:color w:val="6B6880"/>
                <w:sz w:val="19"/>
                <w:szCs w:val="19"/>
              </w:rPr>
              <w:t xml:space="preserve">Structured to the IOSCO slide-deck guidance · 7-minute presentation and 3 minutes of questions</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FRONT MATTER</w:t>
      </w:r>
      <w:r>
        <w:rPr>
          <w:rFonts w:ascii="Calibri" w:cs="Calibri" w:eastAsia="Calibri" w:hAnsi="Calibri"/>
          <w:b/>
          <w:bCs/>
          <w:color w:val="7C6BC4"/>
          <w:spacing w:val="30"/>
          <w:sz w:val="17"/>
          <w:szCs w:val="17"/>
        </w:rPr>
        <w:t xml:space="preserve">	NOT PRESENTED</w:t>
      </w:r>
    </w:p>
    <w:p>
      <w:pPr>
        <w:spacing w:after="200"/>
      </w:pPr>
      <w:r>
        <w:rPr>
          <w:rFonts w:ascii="Cambria" w:cs="Cambria" w:eastAsia="Cambria" w:hAnsi="Cambria"/>
          <w:b/>
          <w:bCs/>
          <w:color w:val="1B1733"/>
          <w:sz w:val="40"/>
          <w:szCs w:val="40"/>
        </w:rPr>
        <w:t xml:space="preserve">How this follows the guidance.</w:t>
      </w:r>
    </w:p>
    <w:p>
      <w:pPr>
        <w:spacing w:after="200" w:before="0" w:line="264"/>
      </w:pPr>
      <w:r>
        <w:rPr>
          <w:sz w:val="21"/>
          <w:szCs w:val="21"/>
        </w:rPr>
        <w:t xml:space="preserve">The IOSCO template supplies nine sections and says, in its own words, that “the style, design, content, structure, and flow of your team's presentation is up to you.” </w:t>
      </w:r>
      <w:r>
        <w:rPr>
          <w:b/>
          <w:bCs/>
          <w:sz w:val="21"/>
          <w:szCs w:val="21"/>
        </w:rPr>
        <w:t xml:space="preserve">So we have kept their section names and their order exactly, and layered the FCA AI Lab's seven-minute running order on top of them.</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3000"/>
        <w:gridCol w:w="1400"/>
        <w:gridCol w:w="1500"/>
        <w:gridCol w:w="9230"/>
      </w:tblGrid>
      <w:tr>
        <w:trPr>
          <w:tblHeader/>
        </w:trPr>
        <w:tc>
          <w:tcPr>
            <w:tcW w:type="dxa" w:w="3000"/>
            <w:shd w:fill="EDEAF7" w:val="clear"/>
            <w:tcMar>
              <w:top w:type="dxa" w:w="110"/>
              <w:left w:type="dxa" w:w="190"/>
              <w:bottom w:type="dxa" w:w="110"/>
              <w:right w:type="dxa" w:w="190"/>
            </w:tcMar>
            <w:vAlign w:val="top"/>
          </w:tcPr>
          <w:p>
            <w:pPr>
              <w:spacing w:after="0" w:before="0" w:line="264"/>
            </w:pPr>
            <w:r>
              <w:rPr>
                <w:rFonts w:ascii="Calibri" w:cs="Calibri" w:eastAsia="Calibri" w:hAnsi="Calibri"/>
                <w:b/>
                <w:bCs/>
                <w:color w:val="1B1733"/>
                <w:sz w:val="18"/>
                <w:szCs w:val="18"/>
              </w:rPr>
              <w:t xml:space="preserve">IOSCO section</w:t>
            </w:r>
          </w:p>
        </w:tc>
        <w:tc>
          <w:tcPr>
            <w:tcW w:type="dxa" w:w="1400"/>
            <w:shd w:fill="EDEAF7" w:val="clear"/>
            <w:tcMar>
              <w:top w:type="dxa" w:w="110"/>
              <w:left w:type="dxa" w:w="190"/>
              <w:bottom w:type="dxa" w:w="110"/>
              <w:right w:type="dxa" w:w="190"/>
            </w:tcMar>
            <w:vAlign w:val="top"/>
          </w:tcPr>
          <w:p>
            <w:pPr>
              <w:spacing w:after="0" w:before="0" w:line="264"/>
            </w:pPr>
            <w:r>
              <w:rPr>
                <w:rFonts w:ascii="Calibri" w:cs="Calibri" w:eastAsia="Calibri" w:hAnsi="Calibri"/>
                <w:b/>
                <w:bCs/>
                <w:color w:val="1B1733"/>
                <w:sz w:val="18"/>
                <w:szCs w:val="18"/>
              </w:rPr>
              <w:t xml:space="preserve">Slide</w:t>
            </w:r>
          </w:p>
        </w:tc>
        <w:tc>
          <w:tcPr>
            <w:tcW w:type="dxa" w:w="1500"/>
            <w:shd w:fill="EDEAF7" w:val="clear"/>
            <w:tcMar>
              <w:top w:type="dxa" w:w="110"/>
              <w:left w:type="dxa" w:w="190"/>
              <w:bottom w:type="dxa" w:w="110"/>
              <w:right w:type="dxa" w:w="190"/>
            </w:tcMar>
            <w:vAlign w:val="top"/>
          </w:tcPr>
          <w:p>
            <w:pPr>
              <w:spacing w:after="0" w:before="0" w:line="264"/>
            </w:pPr>
            <w:r>
              <w:rPr>
                <w:rFonts w:ascii="Calibri" w:cs="Calibri" w:eastAsia="Calibri" w:hAnsi="Calibri"/>
                <w:b/>
                <w:bCs/>
                <w:color w:val="1B1733"/>
                <w:sz w:val="18"/>
                <w:szCs w:val="18"/>
              </w:rPr>
              <w:t xml:space="preserve">Time</w:t>
            </w:r>
          </w:p>
        </w:tc>
        <w:tc>
          <w:tcPr>
            <w:tcW w:type="dxa" w:w="9230"/>
            <w:shd w:fill="EDEAF7" w:val="clear"/>
            <w:tcMar>
              <w:top w:type="dxa" w:w="110"/>
              <w:left w:type="dxa" w:w="190"/>
              <w:bottom w:type="dxa" w:w="110"/>
              <w:right w:type="dxa" w:w="190"/>
            </w:tcMar>
            <w:vAlign w:val="top"/>
          </w:tcPr>
          <w:p>
            <w:pPr>
              <w:spacing w:after="0" w:before="0" w:line="264"/>
            </w:pPr>
            <w:r>
              <w:rPr>
                <w:rFonts w:ascii="Calibri" w:cs="Calibri" w:eastAsia="Calibri" w:hAnsi="Calibri"/>
                <w:b/>
                <w:bCs/>
                <w:color w:val="1B1733"/>
                <w:sz w:val="18"/>
                <w:szCs w:val="18"/>
              </w:rPr>
              <w:t xml:space="preserve">The line that has to land</w:t>
            </w:r>
          </w:p>
        </w:tc>
      </w:tr>
      <w:tr>
        <w:tc>
          <w:tcPr>
            <w:tcW w:type="dxa" w:w="30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Title</w:t>
            </w:r>
          </w:p>
        </w:tc>
        <w:tc>
          <w:tcPr>
            <w:tcW w:type="dxa" w:w="14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1</w:t>
            </w:r>
          </w:p>
        </w:tc>
        <w:tc>
          <w:tcPr>
            <w:tcW w:type="dxa" w:w="15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w:t>
            </w:r>
          </w:p>
        </w:tc>
        <w:tc>
          <w:tcPr>
            <w:tcW w:type="dxa" w:w="9230"/>
            <w:shd w:fill="F7F5FC"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Team and solution named, and nothing else. No company history — you do not have the seconds.</w:t>
            </w:r>
          </w:p>
        </w:tc>
      </w:tr>
      <w:tr>
        <w:tc>
          <w:tcPr>
            <w:tcW w:type="dxa" w:w="30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Introduction</w:t>
            </w:r>
          </w:p>
        </w:tc>
        <w:tc>
          <w:tcPr>
            <w:tcW w:type="dxa" w:w="14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2</w:t>
            </w:r>
          </w:p>
        </w:tc>
        <w:tc>
          <w:tcPr>
            <w:tcW w:type="dxa" w:w="15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45 sec</w:t>
            </w:r>
          </w:p>
        </w:tc>
        <w:tc>
          <w:tcPr>
            <w:tcW w:type="dxa" w:w="9230"/>
            <w:shd w:fill="FFFFFF"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The gap is not knowledge. It is behaviour under pressure.</w:t>
            </w:r>
          </w:p>
        </w:tc>
      </w:tr>
      <w:tr>
        <w:tc>
          <w:tcPr>
            <w:tcW w:type="dxa" w:w="30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Solution summary</w:t>
            </w:r>
          </w:p>
        </w:tc>
        <w:tc>
          <w:tcPr>
            <w:tcW w:type="dxa" w:w="14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3</w:t>
            </w:r>
          </w:p>
        </w:tc>
        <w:tc>
          <w:tcPr>
            <w:tcW w:type="dxa" w:w="15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30 sec</w:t>
            </w:r>
          </w:p>
        </w:tc>
        <w:tc>
          <w:tcPr>
            <w:tcW w:type="dxa" w:w="9230"/>
            <w:shd w:fill="F7F5FC"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The output is a record, not a score.</w:t>
            </w:r>
          </w:p>
        </w:tc>
      </w:tr>
      <w:tr>
        <w:tc>
          <w:tcPr>
            <w:tcW w:type="dxa" w:w="30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Solution detail</w:t>
            </w:r>
          </w:p>
        </w:tc>
        <w:tc>
          <w:tcPr>
            <w:tcW w:type="dxa" w:w="14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4</w:t>
            </w:r>
          </w:p>
        </w:tc>
        <w:tc>
          <w:tcPr>
            <w:tcW w:type="dxa" w:w="15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45 sec</w:t>
            </w:r>
          </w:p>
        </w:tc>
        <w:tc>
          <w:tcPr>
            <w:tcW w:type="dxa" w:w="9230"/>
            <w:shd w:fill="FFFFFF"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Every sentence the system speaks was approved before the session started.</w:t>
            </w:r>
          </w:p>
        </w:tc>
      </w:tr>
      <w:tr>
        <w:tc>
          <w:tcPr>
            <w:tcW w:type="dxa" w:w="30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Demonstration</w:t>
            </w:r>
          </w:p>
        </w:tc>
        <w:tc>
          <w:tcPr>
            <w:tcW w:type="dxa" w:w="14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5</w:t>
            </w:r>
          </w:p>
        </w:tc>
        <w:tc>
          <w:tcPr>
            <w:tcW w:type="dxa" w:w="15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2 min</w:t>
            </w:r>
          </w:p>
        </w:tc>
        <w:tc>
          <w:tcPr>
            <w:tcW w:type="dxa" w:w="9230"/>
            <w:shd w:fill="F7F5FC"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Show it. Do not narrate it.</w:t>
            </w:r>
          </w:p>
        </w:tc>
      </w:tr>
      <w:tr>
        <w:tc>
          <w:tcPr>
            <w:tcW w:type="dxa" w:w="30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Evaluation</w:t>
            </w:r>
          </w:p>
        </w:tc>
        <w:tc>
          <w:tcPr>
            <w:tcW w:type="dxa" w:w="14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6</w:t>
            </w:r>
          </w:p>
        </w:tc>
        <w:tc>
          <w:tcPr>
            <w:tcW w:type="dxa" w:w="15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1 min 15</w:t>
            </w:r>
          </w:p>
        </w:tc>
        <w:tc>
          <w:tcPr>
            <w:tcW w:type="dxa" w:w="9230"/>
            <w:shd w:fill="FFFFFF"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Including the two things we did not achieve.</w:t>
            </w:r>
          </w:p>
        </w:tc>
      </w:tr>
      <w:tr>
        <w:tc>
          <w:tcPr>
            <w:tcW w:type="dxa" w:w="30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Deep dive</w:t>
            </w:r>
          </w:p>
        </w:tc>
        <w:tc>
          <w:tcPr>
            <w:tcW w:type="dxa" w:w="14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7</w:t>
            </w:r>
          </w:p>
        </w:tc>
        <w:tc>
          <w:tcPr>
            <w:tcW w:type="dxa" w:w="15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1 min</w:t>
            </w:r>
          </w:p>
        </w:tc>
        <w:tc>
          <w:tcPr>
            <w:tcW w:type="dxa" w:w="9230"/>
            <w:shd w:fill="F7F5FC"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We built a gate that can block us. Then it did.</w:t>
            </w:r>
          </w:p>
        </w:tc>
      </w:tr>
      <w:tr>
        <w:tc>
          <w:tcPr>
            <w:tcW w:type="dxa" w:w="30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Looking to the future</w:t>
            </w:r>
          </w:p>
        </w:tc>
        <w:tc>
          <w:tcPr>
            <w:tcW w:type="dxa" w:w="14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8</w:t>
            </w:r>
          </w:p>
        </w:tc>
        <w:tc>
          <w:tcPr>
            <w:tcW w:type="dxa" w:w="1500"/>
            <w:shd w:fill="FFFFFF"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45 sec</w:t>
            </w:r>
          </w:p>
        </w:tc>
        <w:tc>
          <w:tcPr>
            <w:tcW w:type="dxa" w:w="9230"/>
            <w:shd w:fill="FFFFFF"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Finish at 6:45. Control reads better than completeness.</w:t>
            </w:r>
          </w:p>
        </w:tc>
      </w:tr>
      <w:tr>
        <w:tc>
          <w:tcPr>
            <w:tcW w:type="dxa" w:w="30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20"/>
                <w:szCs w:val="20"/>
              </w:rPr>
              <w:t xml:space="preserve">Thank you · Q&amp;A</w:t>
            </w:r>
          </w:p>
        </w:tc>
        <w:tc>
          <w:tcPr>
            <w:tcW w:type="dxa" w:w="14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7C6BC4"/>
                <w:sz w:val="19"/>
                <w:szCs w:val="19"/>
              </w:rPr>
              <w:t xml:space="preserve">9</w:t>
            </w:r>
          </w:p>
        </w:tc>
        <w:tc>
          <w:tcPr>
            <w:tcW w:type="dxa" w:w="1500"/>
            <w:shd w:fill="F7F5FC" w:val="clear"/>
            <w:tcMar>
              <w:top w:type="dxa" w:w="105"/>
              <w:left w:type="dxa" w:w="190"/>
              <w:bottom w:type="dxa" w:w="105"/>
              <w:right w:type="dxa" w:w="190"/>
            </w:tcMar>
            <w:vAlign w:val="top"/>
          </w:tcPr>
          <w:p>
            <w:pPr>
              <w:spacing w:after="0" w:before="0" w:line="264"/>
            </w:pPr>
            <w:r>
              <w:rPr>
                <w:rFonts w:ascii="Calibri" w:cs="Calibri" w:eastAsia="Calibri" w:hAnsi="Calibri"/>
                <w:b/>
                <w:bCs/>
                <w:color w:val="5A4A96"/>
                <w:sz w:val="19"/>
                <w:szCs w:val="19"/>
              </w:rPr>
              <w:t xml:space="preserve">3 min</w:t>
            </w:r>
          </w:p>
        </w:tc>
        <w:tc>
          <w:tcPr>
            <w:tcW w:type="dxa" w:w="9230"/>
            <w:shd w:fill="F7F5FC" w:val="clear"/>
            <w:tcMar>
              <w:top w:type="dxa" w:w="105"/>
              <w:left w:type="dxa" w:w="190"/>
              <w:bottom w:type="dxa" w:w="105"/>
              <w:right w:type="dxa" w:w="190"/>
            </w:tcMar>
            <w:vAlign w:val="top"/>
          </w:tcPr>
          <w:p>
            <w:pPr>
              <w:spacing w:after="0" w:before="0" w:line="264"/>
            </w:pPr>
            <w:r>
              <w:rPr>
                <w:rFonts w:ascii="Calibri" w:cs="Calibri" w:eastAsia="Calibri" w:hAnsi="Calibri"/>
                <w:color w:val="2A2447"/>
                <w:sz w:val="19"/>
                <w:szCs w:val="19"/>
              </w:rPr>
              <w:t xml:space="preserve">Two lines, then stop. The prepared answers are on that page.</w:t>
            </w:r>
          </w:p>
        </w:tc>
      </w:tr>
    </w:tbl>
    <w:p>
      <w:pPr>
        <w:spacing w:after="18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15130"/>
      </w:tblGrid>
      <w:tr>
        <w:tc>
          <w:tcPr>
            <w:tcW w:type="dxa" w:w="15130"/>
            <w:shd w:fill="1B1733" w:val="clear"/>
            <w:tcMar>
              <w:top w:type="dxa" w:w="170"/>
              <w:left w:type="dxa" w:w="190"/>
              <w:bottom w:type="dxa" w:w="170"/>
              <w:right w:type="dxa" w:w="190"/>
            </w:tcMar>
            <w:vAlign w:val="top"/>
          </w:tcPr>
          <w:p>
            <w:pPr>
              <w:spacing w:after="0" w:before="0" w:line="264"/>
            </w:pPr>
            <w:r>
              <w:rPr>
                <w:rFonts w:ascii="Calibri" w:cs="Calibri" w:eastAsia="Calibri" w:hAnsi="Calibri"/>
                <w:b/>
                <w:bCs/>
                <w:color w:val="FFFFFF"/>
                <w:sz w:val="23"/>
                <w:szCs w:val="23"/>
              </w:rPr>
              <w:t xml:space="preserve">BYOND Asia builds the intelligence. HoloMe is the digital human that delivers it. AUREN is what the two of them do for investor protection.</w:t>
            </w:r>
          </w:p>
        </w:tc>
      </w:tr>
    </w:tbl>
    <w:p>
      <w:pPr>
        <w:spacing w:after="170"/>
      </w:pP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Two things in the guidance pack are dated and need checking against your own calendar.</w:t>
            </w:r>
          </w:p>
          <w:p>
            <w:pPr>
              <w:spacing w:after="80" w:before="0" w:line="250"/>
            </w:pPr>
            <w:r>
              <w:rPr>
                <w:rFonts w:ascii="Calibri" w:cs="Calibri" w:eastAsia="Calibri" w:hAnsi="Calibri"/>
                <w:color w:val="6B6880"/>
                <w:sz w:val="18"/>
                <w:szCs w:val="18"/>
              </w:rPr>
              <w:t xml:space="preserve">The mentorship briefing on telling your solution's story was scheduled for 3 September 2026 — that has passed. If you attended it, its steer belongs on the Solution summary page and should override anything here that conflicts. If you did not, ask the AI Lab for the recording or the notes before the 1-2-1.</w:t>
            </w:r>
          </w:p>
          <w:p>
            <w:pPr>
              <w:spacing w:after="0" w:before="0" w:line="250"/>
            </w:pPr>
            <w:r>
              <w:rPr>
                <w:rFonts w:ascii="Calibri" w:cs="Calibri" w:eastAsia="Calibri" w:hAnsi="Calibri"/>
                <w:color w:val="6B6880"/>
                <w:sz w:val="18"/>
                <w:szCs w:val="18"/>
              </w:rPr>
              <w:t xml:space="preserve">The FCA AI Lab's 1-2-1 presentation support sessions run 14–25 September 2026 on Teams. That window is open now and closes shortly. Book it with the people who will actually present, and run the full thing end to end, demo included.</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2  ·  INTRODUCTION</w:t>
      </w:r>
      <w:r>
        <w:rPr>
          <w:rFonts w:ascii="Calibri" w:cs="Calibri" w:eastAsia="Calibri" w:hAnsi="Calibri"/>
          <w:b/>
          <w:bCs/>
          <w:color w:val="7C6BC4"/>
          <w:spacing w:val="30"/>
          <w:sz w:val="17"/>
          <w:szCs w:val="17"/>
        </w:rPr>
        <w:t xml:space="preserve">	45 SECONDS</w:t>
      </w:r>
    </w:p>
    <w:p>
      <w:pPr>
        <w:spacing w:after="200"/>
      </w:pPr>
      <w:r>
        <w:rPr>
          <w:rFonts w:ascii="Cambria" w:cs="Cambria" w:eastAsia="Cambria" w:hAnsi="Cambria"/>
          <w:b/>
          <w:bCs/>
          <w:color w:val="1B1733"/>
          <w:sz w:val="46"/>
          <w:szCs w:val="46"/>
        </w:rPr>
        <w:t xml:space="preserve">Everyone knows the warning signs. They still pay.</w:t>
      </w: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7445"/>
        <w:gridCol w:w="240"/>
        <w:gridCol w:w="7445"/>
      </w:tblGrid>
      <w:tr>
        <w:tc>
          <w:tcPr>
            <w:tcW w:type="dxa" w:w="7445"/>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What investor education gives people</w:t>
            </w:r>
          </w:p>
          <w:p>
            <w:pPr>
              <w:pStyle w:val="ListParagraph"/>
              <w:numPr>
                <w:ilvl w:val="0"/>
                <w:numId w:val="2"/>
              </w:numPr>
              <w:spacing w:after="60" w:line="258"/>
            </w:pPr>
            <w:r>
              <w:rPr>
                <w:rFonts w:ascii="Calibri" w:cs="Calibri" w:eastAsia="Calibri" w:hAnsi="Calibri"/>
                <w:color w:val="2A2447"/>
                <w:sz w:val="20"/>
                <w:szCs w:val="20"/>
              </w:rPr>
              <w:t xml:space="preserve">Leaflets, checklists and warning lists</w:t>
            </w:r>
          </w:p>
          <w:p>
            <w:pPr>
              <w:pStyle w:val="ListParagraph"/>
              <w:numPr>
                <w:ilvl w:val="0"/>
                <w:numId w:val="2"/>
              </w:numPr>
              <w:spacing w:after="60" w:line="258"/>
            </w:pPr>
            <w:r>
              <w:rPr>
                <w:rFonts w:ascii="Calibri" w:cs="Calibri" w:eastAsia="Calibri" w:hAnsi="Calibri"/>
                <w:color w:val="2A2447"/>
                <w:sz w:val="20"/>
                <w:szCs w:val="20"/>
              </w:rPr>
              <w:t xml:space="preserve">Registers to check before you invest</w:t>
            </w:r>
          </w:p>
          <w:p>
            <w:pPr>
              <w:pStyle w:val="ListParagraph"/>
              <w:numPr>
                <w:ilvl w:val="0"/>
                <w:numId w:val="2"/>
              </w:numPr>
              <w:spacing w:after="60" w:line="258"/>
            </w:pPr>
            <w:r>
              <w:rPr>
                <w:rFonts w:ascii="Calibri" w:cs="Calibri" w:eastAsia="Calibri" w:hAnsi="Calibri"/>
                <w:color w:val="2A2447"/>
                <w:sz w:val="20"/>
                <w:szCs w:val="20"/>
              </w:rPr>
              <w:t xml:space="preserve">Quizzes that score what you can recall</w:t>
            </w:r>
          </w:p>
          <w:p>
            <w:pPr>
              <w:spacing w:after="0" w:before="0" w:line="264"/>
            </w:pPr>
            <w:r>
              <w:rPr>
                <w:rFonts w:ascii="Calibri" w:cs="Calibri" w:eastAsia="Calibri" w:hAnsi="Calibri"/>
                <w:i/>
                <w:iCs/>
                <w:color w:val="6B6880"/>
                <w:sz w:val="19"/>
                <w:szCs w:val="19"/>
              </w:rPr>
              <w:t xml:space="preserve">Measured by recall, in a calm room.</w:t>
            </w:r>
          </w:p>
        </w:tc>
        <w:tc>
          <w:tcPr>
            <w:tcW w:type="dxa" w:w="24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7445"/>
            <w:shd w:fill="1B1733" w:val="clear"/>
            <w:tcMar>
              <w:top w:type="dxa" w:w="200"/>
              <w:left w:type="dxa" w:w="190"/>
              <w:bottom w:type="dxa" w:w="200"/>
              <w:right w:type="dxa" w:w="190"/>
            </w:tcMar>
            <w:vAlign w:val="top"/>
          </w:tcPr>
          <w:p>
            <w:pPr>
              <w:spacing w:after="90" w:before="0" w:line="264"/>
            </w:pPr>
            <w:r>
              <w:rPr>
                <w:rFonts w:ascii="Calibri" w:cs="Calibri" w:eastAsia="Calibri" w:hAnsi="Calibri"/>
                <w:b/>
                <w:bCs/>
                <w:color w:val="7C6BC4"/>
                <w:sz w:val="22"/>
                <w:szCs w:val="22"/>
              </w:rPr>
              <w:t xml:space="preserve">What the fraud actually looks like</w:t>
            </w:r>
          </w:p>
          <w:p>
            <w:pPr>
              <w:pStyle w:val="ListParagraph"/>
              <w:numPr>
                <w:ilvl w:val="0"/>
                <w:numId w:val="2"/>
              </w:numPr>
              <w:spacing w:after="60" w:line="258"/>
            </w:pPr>
            <w:r>
              <w:rPr>
                <w:rFonts w:ascii="Calibri" w:cs="Calibri" w:eastAsia="Calibri" w:hAnsi="Calibri"/>
                <w:color w:val="D8D3EA"/>
                <w:sz w:val="20"/>
                <w:szCs w:val="20"/>
              </w:rPr>
              <w:t xml:space="preserve">A persuasive human being, in real time</w:t>
            </w:r>
          </w:p>
          <w:p>
            <w:pPr>
              <w:pStyle w:val="ListParagraph"/>
              <w:numPr>
                <w:ilvl w:val="0"/>
                <w:numId w:val="2"/>
              </w:numPr>
              <w:spacing w:after="60" w:line="258"/>
            </w:pPr>
            <w:r>
              <w:rPr>
                <w:rFonts w:ascii="Calibri" w:cs="Calibri" w:eastAsia="Calibri" w:hAnsi="Calibri"/>
                <w:color w:val="D8D3EA"/>
                <w:sz w:val="20"/>
                <w:szCs w:val="20"/>
              </w:rPr>
              <w:t xml:space="preserve">Manufactured urgency and a closing deadline</w:t>
            </w:r>
          </w:p>
          <w:p>
            <w:pPr>
              <w:pStyle w:val="ListParagraph"/>
              <w:numPr>
                <w:ilvl w:val="0"/>
                <w:numId w:val="2"/>
              </w:numPr>
              <w:spacing w:after="60" w:line="258"/>
            </w:pPr>
            <w:r>
              <w:rPr>
                <w:rFonts w:ascii="Calibri" w:cs="Calibri" w:eastAsia="Calibri" w:hAnsi="Calibri"/>
                <w:color w:val="D8D3EA"/>
                <w:sz w:val="20"/>
                <w:szCs w:val="20"/>
              </w:rPr>
              <w:t xml:space="preserve">Borrowed authority and visible social proof</w:t>
            </w:r>
          </w:p>
          <w:p>
            <w:pPr>
              <w:spacing w:after="0" w:before="0" w:line="264"/>
            </w:pPr>
            <w:r>
              <w:rPr>
                <w:rFonts w:ascii="Calibri" w:cs="Calibri" w:eastAsia="Calibri" w:hAnsi="Calibri"/>
                <w:i/>
                <w:iCs/>
                <w:color w:val="9A93BC"/>
                <w:sz w:val="19"/>
                <w:szCs w:val="19"/>
              </w:rPr>
              <w:t xml:space="preserve">Measured by what you do, while being pressured.</w:t>
            </w:r>
          </w:p>
        </w:tc>
      </w:tr>
    </w:tbl>
    <w:p>
      <w:pPr>
        <w:spacing w:after="19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15130"/>
      </w:tblGrid>
      <w:tr>
        <w:tc>
          <w:tcPr>
            <w:tcW w:type="dxa" w:w="15130"/>
            <w:shd w:fill="EDEAF7" w:val="clear"/>
            <w:tcMar>
              <w:top w:type="dxa" w:w="170"/>
              <w:left w:type="dxa" w:w="190"/>
              <w:bottom w:type="dxa" w:w="170"/>
              <w:right w:type="dxa" w:w="190"/>
            </w:tcMar>
            <w:vAlign w:val="top"/>
          </w:tcPr>
          <w:p>
            <w:pPr>
              <w:spacing w:after="0" w:before="0" w:line="264"/>
            </w:pPr>
            <w:r>
              <w:rPr>
                <w:rFonts w:ascii="Calibri" w:cs="Calibri" w:eastAsia="Calibri" w:hAnsi="Calibri"/>
                <w:b/>
                <w:bCs/>
                <w:color w:val="1B1733"/>
                <w:sz w:val="24"/>
                <w:szCs w:val="24"/>
              </w:rPr>
              <w:t xml:space="preserve">The gap is not knowledge. It is behaviour under pressure — and nothing in the current toolkit measures it.</w:t>
            </w:r>
          </w:p>
        </w:tc>
      </w:tr>
    </w:tbl>
    <w:p>
      <w:pPr>
        <w:spacing w:after="190"/>
      </w:pP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Open cold. Name, BYOND Asia, straight into the thesis.</w:t>
            </w:r>
          </w:p>
          <w:p>
            <w:pPr>
              <w:spacing w:after="80" w:before="0" w:line="250"/>
            </w:pPr>
            <w:r>
              <w:rPr>
                <w:rFonts w:ascii="Calibri" w:cs="Calibri" w:eastAsia="Calibri" w:hAnsi="Calibri"/>
                <w:color w:val="6B6880"/>
                <w:sz w:val="18"/>
                <w:szCs w:val="18"/>
              </w:rPr>
              <w:t xml:space="preserve">Say: a retail investor can pass every quiz and still wire the money on a Tuesday afternoon, because the quiz and the fraud are not the same event.</w:t>
            </w:r>
          </w:p>
          <w:p>
            <w:pPr>
              <w:spacing w:after="0" w:before="0" w:line="250"/>
            </w:pPr>
            <w:r>
              <w:rPr>
                <w:rFonts w:ascii="Calibri" w:cs="Calibri" w:eastAsia="Calibri" w:hAnsi="Calibri"/>
                <w:color w:val="6B6880"/>
                <w:sz w:val="18"/>
                <w:szCs w:val="18"/>
              </w:rPr>
              <w:t xml:space="preserve">OPTIONAL: if you have a sourced loss figure for retail investment fraud in your target market, add it here as a single large number. Do not present an unsourced figure to this audience — a regulator will ask for the source, and an unattributed number costs more credibility than it buys.</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3  ·  SOLUTION SUMMARY</w:t>
      </w:r>
      <w:r>
        <w:rPr>
          <w:rFonts w:ascii="Calibri" w:cs="Calibri" w:eastAsia="Calibri" w:hAnsi="Calibri"/>
          <w:b/>
          <w:bCs/>
          <w:color w:val="7C6BC4"/>
          <w:spacing w:val="30"/>
          <w:sz w:val="17"/>
          <w:szCs w:val="17"/>
        </w:rPr>
        <w:t xml:space="preserve">	30 SECONDS</w:t>
      </w:r>
    </w:p>
    <w:p>
      <w:pPr>
        <w:spacing w:after="200"/>
      </w:pPr>
      <w:r>
        <w:rPr>
          <w:rFonts w:ascii="Cambria" w:cs="Cambria" w:eastAsia="Cambria" w:hAnsi="Cambria"/>
          <w:b/>
          <w:bCs/>
          <w:color w:val="1B1733"/>
          <w:sz w:val="46"/>
          <w:szCs w:val="46"/>
        </w:rPr>
        <w:t xml:space="preserve">Run the attack safely. Score what they did.</w:t>
      </w:r>
    </w:p>
    <w:tbl>
      <w:tblPr>
        <w:tblW w:type="dxa" w:w="15129"/>
        <w:tblBorders>
          <w:top w:val="none" w:color="FFFFFF" w:sz="0"/>
          <w:left w:val="none" w:color="FFFFFF" w:sz="0"/>
          <w:bottom w:val="none" w:color="FFFFFF" w:sz="0"/>
          <w:right w:val="none" w:color="FFFFFF" w:sz="0"/>
          <w:insideH w:val="none" w:color="FFFFFF" w:sz="0"/>
          <w:insideV w:val="none" w:color="FFFFFF" w:sz="0"/>
        </w:tblBorders>
      </w:tblPr>
      <w:tblGrid>
        <w:gridCol w:w="4883"/>
        <w:gridCol w:w="240"/>
        <w:gridCol w:w="4883"/>
        <w:gridCol w:w="240"/>
        <w:gridCol w:w="4883"/>
      </w:tblGrid>
      <w:tr>
        <w:tc>
          <w:tcPr>
            <w:tcW w:type="dxa" w:w="4883"/>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1 · The problem</w:t>
            </w:r>
          </w:p>
          <w:p>
            <w:pPr>
              <w:spacing w:after="80" w:before="0" w:line="264"/>
            </w:pPr>
            <w:r>
              <w:rPr>
                <w:rFonts w:ascii="Calibri" w:cs="Calibri" w:eastAsia="Calibri" w:hAnsi="Calibri"/>
                <w:color w:val="2A2447"/>
                <w:sz w:val="20"/>
                <w:szCs w:val="20"/>
              </w:rPr>
              <w:t xml:space="preserve">Competence is assessed by recall, not by conduct.</w:t>
            </w:r>
          </w:p>
          <w:p>
            <w:pPr>
              <w:spacing w:after="0" w:before="0" w:line="264"/>
            </w:pPr>
            <w:r>
              <w:rPr>
                <w:rFonts w:ascii="Calibri" w:cs="Calibri" w:eastAsia="Calibri" w:hAnsi="Calibri"/>
                <w:color w:val="2A2447"/>
                <w:sz w:val="20"/>
                <w:szCs w:val="20"/>
              </w:rPr>
              <w:t xml:space="preserve">Nothing in the current toolkit produces evidence of how someone behaves while they are being persuaded.</w:t>
            </w:r>
          </w:p>
        </w:tc>
        <w:tc>
          <w:tcPr>
            <w:tcW w:type="dxa" w:w="24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4883"/>
            <w:shd w:fill="EDEAF7"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2 · The proposal</w:t>
            </w:r>
          </w:p>
          <w:p>
            <w:pPr>
              <w:spacing w:after="80" w:before="0" w:line="264"/>
            </w:pPr>
            <w:r>
              <w:rPr>
                <w:rFonts w:ascii="Calibri" w:cs="Calibri" w:eastAsia="Calibri" w:hAnsi="Calibri"/>
                <w:color w:val="2A2447"/>
                <w:sz w:val="20"/>
                <w:szCs w:val="20"/>
              </w:rPr>
              <w:t xml:space="preserve">A HoloMe digital human runs a governed interview by voice, then applies authentic sales pressure inside approved limits.</w:t>
            </w:r>
          </w:p>
          <w:p>
            <w:pPr>
              <w:spacing w:after="0" w:before="0" w:line="264"/>
            </w:pPr>
            <w:r>
              <w:rPr>
                <w:rFonts w:ascii="Calibri" w:cs="Calibri" w:eastAsia="Calibri" w:hAnsi="Calibri"/>
                <w:color w:val="2A2447"/>
                <w:sz w:val="20"/>
                <w:szCs w:val="20"/>
              </w:rPr>
              <w:t xml:space="preserve">It coaches the failure, retests on unfamiliar ground, then tells the investor what it found — out loud.</w:t>
            </w:r>
          </w:p>
        </w:tc>
        <w:tc>
          <w:tcPr>
            <w:tcW w:type="dxa" w:w="24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4883"/>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3 · The outcome</w:t>
            </w:r>
          </w:p>
          <w:p>
            <w:pPr>
              <w:spacing w:after="80" w:before="0" w:line="264"/>
            </w:pPr>
            <w:r>
              <w:rPr>
                <w:rFonts w:ascii="Calibri" w:cs="Calibri" w:eastAsia="Calibri" w:hAnsi="Calibri"/>
                <w:color w:val="2A2447"/>
                <w:sz w:val="20"/>
                <w:szCs w:val="20"/>
              </w:rPr>
              <w:t xml:space="preserve">An Investor Readiness Record: what was demonstrated, what failed, and the investor's own sentence beside each one.</w:t>
            </w:r>
          </w:p>
          <w:p>
            <w:pPr>
              <w:spacing w:after="0" w:before="0" w:line="264"/>
            </w:pPr>
            <w:r>
              <w:rPr>
                <w:rFonts w:ascii="Calibri" w:cs="Calibri" w:eastAsia="Calibri" w:hAnsi="Calibri"/>
                <w:b/>
                <w:bCs/>
                <w:color w:val="5A4A96"/>
                <w:sz w:val="20"/>
                <w:szCs w:val="20"/>
              </w:rPr>
              <w:t xml:space="preserve">Under ten minutes, by voice.</w:t>
            </w:r>
          </w:p>
        </w:tc>
      </w:tr>
    </w:tbl>
    <w:p>
      <w:pPr>
        <w:spacing w:after="210"/>
      </w:pPr>
    </w:p>
    <w:p>
      <w:pPr>
        <w:spacing w:after="210" w:before="0" w:line="264"/>
      </w:pPr>
      <w:r>
        <w:rPr>
          <w:rFonts w:ascii="Calibri" w:cs="Calibri" w:eastAsia="Calibri" w:hAnsi="Calibri"/>
          <w:i/>
          <w:iCs/>
          <w:color w:val="6B6880"/>
          <w:sz w:val="22"/>
          <w:szCs w:val="22"/>
        </w:rPr>
        <w:t xml:space="preserve">Not a chatbot with a warning list. An interview whose every question was approved before the session began.</w:t>
      </w: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Thirty seconds. Do not read the three cards — say the three words, problem, proposal, outcome, and land on: “the output is a record, not a score.”</w:t>
            </w:r>
          </w:p>
          <w:p>
            <w:pPr>
              <w:spacing w:after="80" w:before="0" w:line="250"/>
            </w:pPr>
            <w:r>
              <w:rPr>
                <w:rFonts w:ascii="Calibri" w:cs="Calibri" w:eastAsia="Calibri" w:hAnsi="Calibri"/>
                <w:color w:val="6B6880"/>
                <w:sz w:val="18"/>
                <w:szCs w:val="18"/>
              </w:rPr>
              <w:t xml:space="preserve">This is where HoloMe earns its mention: the digital human is the delivery layer, not the claim. The claim is the governance behind it.</w:t>
            </w:r>
          </w:p>
          <w:p>
            <w:pPr>
              <w:spacing w:after="0" w:before="0" w:line="250"/>
            </w:pPr>
            <w:r>
              <w:rPr>
                <w:rFonts w:ascii="Calibri" w:cs="Calibri" w:eastAsia="Calibri" w:hAnsi="Calibri"/>
                <w:color w:val="6B6880"/>
                <w:sz w:val="18"/>
                <w:szCs w:val="18"/>
              </w:rPr>
              <w:t xml:space="preserve">The guidance pack points at a mentorship briefing on telling your solution's story, held 3 September 2026. If you have that steer, this is the page it should reshape.</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4  ·  SOLUTION DETAIL</w:t>
      </w:r>
      <w:r>
        <w:rPr>
          <w:rFonts w:ascii="Calibri" w:cs="Calibri" w:eastAsia="Calibri" w:hAnsi="Calibri"/>
          <w:b/>
          <w:bCs/>
          <w:color w:val="7C6BC4"/>
          <w:spacing w:val="30"/>
          <w:sz w:val="17"/>
          <w:szCs w:val="17"/>
        </w:rPr>
        <w:t xml:space="preserve">	45 SECONDS</w:t>
      </w:r>
    </w:p>
    <w:p>
      <w:pPr>
        <w:spacing w:after="200"/>
      </w:pPr>
      <w:r>
        <w:rPr>
          <w:rFonts w:ascii="Cambria" w:cs="Cambria" w:eastAsia="Cambria" w:hAnsi="Cambria"/>
          <w:b/>
          <w:bCs/>
          <w:color w:val="1B1733"/>
          <w:sz w:val="46"/>
          <w:szCs w:val="46"/>
        </w:rPr>
        <w:t xml:space="preserve">What the AI does, and what it may never do.</w:t>
      </w: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3640"/>
        <w:gridCol w:w="190"/>
        <w:gridCol w:w="3640"/>
        <w:gridCol w:w="190"/>
        <w:gridCol w:w="3640"/>
        <w:gridCol w:w="190"/>
        <w:gridCol w:w="3640"/>
      </w:tblGrid>
      <w:tr>
        <w:tc>
          <w:tcPr>
            <w:tcW w:type="dxa" w:w="3640"/>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1 · Approved objects</w:t>
            </w:r>
          </w:p>
          <w:p>
            <w:pPr>
              <w:spacing w:after="0" w:before="0" w:line="264"/>
            </w:pPr>
            <w:r>
              <w:rPr>
                <w:rFonts w:ascii="Calibri" w:cs="Calibri" w:eastAsia="Calibri" w:hAnsi="Calibri"/>
                <w:color w:val="2A2447"/>
                <w:sz w:val="19"/>
                <w:szCs w:val="19"/>
              </w:rPr>
              <w:t xml:space="preserve">Elements, questions, challenges and boundaries, each anchored to a published principle.</w:t>
            </w:r>
          </w:p>
        </w:tc>
        <w:tc>
          <w:tcPr>
            <w:tcW w:type="dxa" w:w="19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3640"/>
            <w:shd w:fill="1B1733" w:val="clear"/>
            <w:tcMar>
              <w:top w:type="dxa" w:w="200"/>
              <w:left w:type="dxa" w:w="190"/>
              <w:bottom w:type="dxa" w:w="200"/>
              <w:right w:type="dxa" w:w="190"/>
            </w:tcMar>
            <w:vAlign w:val="top"/>
          </w:tcPr>
          <w:p>
            <w:pPr>
              <w:spacing w:after="90" w:before="0" w:line="264"/>
            </w:pPr>
            <w:r>
              <w:rPr>
                <w:rFonts w:ascii="Calibri" w:cs="Calibri" w:eastAsia="Calibri" w:hAnsi="Calibri"/>
                <w:b/>
                <w:bCs/>
                <w:color w:val="7C6BC4"/>
                <w:sz w:val="22"/>
                <w:szCs w:val="22"/>
              </w:rPr>
              <w:t xml:space="preserve">2 · Orchestrator</w:t>
            </w:r>
          </w:p>
          <w:p>
            <w:pPr>
              <w:spacing w:after="0" w:before="0" w:line="264"/>
            </w:pPr>
            <w:r>
              <w:rPr>
                <w:rFonts w:ascii="Calibri" w:cs="Calibri" w:eastAsia="Calibri" w:hAnsi="Calibri"/>
                <w:color w:val="D8D3EA"/>
                <w:sz w:val="19"/>
                <w:szCs w:val="19"/>
              </w:rPr>
              <w:t xml:space="preserve">Selects which approved object fires next. It sequences; it does not write.</w:t>
            </w:r>
          </w:p>
        </w:tc>
        <w:tc>
          <w:tcPr>
            <w:tcW w:type="dxa" w:w="19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3640"/>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3 · HoloMe digital human</w:t>
            </w:r>
          </w:p>
          <w:p>
            <w:pPr>
              <w:spacing w:after="0" w:before="0" w:line="264"/>
            </w:pPr>
            <w:r>
              <w:rPr>
                <w:rFonts w:ascii="Calibri" w:cs="Calibri" w:eastAsia="Calibri" w:hAnsi="Calibri"/>
                <w:color w:val="2A2447"/>
                <w:sz w:val="19"/>
                <w:szCs w:val="19"/>
              </w:rPr>
              <w:t xml:space="preserve">Speaks the approved words, in the session language, with a distinct persona voice.</w:t>
            </w:r>
          </w:p>
        </w:tc>
        <w:tc>
          <w:tcPr>
            <w:tcW w:type="dxa" w:w="19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3640"/>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4 · Bound record</w:t>
            </w:r>
          </w:p>
          <w:p>
            <w:pPr>
              <w:spacing w:after="0" w:before="0" w:line="264"/>
            </w:pPr>
            <w:r>
              <w:rPr>
                <w:rFonts w:ascii="Calibri" w:cs="Calibri" w:eastAsia="Calibri" w:hAnsi="Calibri"/>
                <w:color w:val="2A2447"/>
                <w:sz w:val="19"/>
                <w:szCs w:val="19"/>
              </w:rPr>
              <w:t xml:space="preserve">Every determination points at the investor's own sentence and the object that elicited it.</w:t>
            </w:r>
          </w:p>
        </w:tc>
      </w:tr>
    </w:tbl>
    <w:p>
      <w:pPr>
        <w:spacing w:after="19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7445"/>
        <w:gridCol w:w="240"/>
        <w:gridCol w:w="7445"/>
      </w:tblGrid>
      <w:tr>
        <w:tc>
          <w:tcPr>
            <w:tcW w:type="dxa" w:w="7445"/>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2E7D5B"/>
                <w:sz w:val="22"/>
                <w:szCs w:val="22"/>
              </w:rPr>
              <w:t xml:space="preserve">The model may</w:t>
            </w:r>
          </w:p>
          <w:p>
            <w:pPr>
              <w:pStyle w:val="ListParagraph"/>
              <w:numPr>
                <w:ilvl w:val="0"/>
                <w:numId w:val="2"/>
              </w:numPr>
              <w:spacing w:after="40" w:line="258"/>
            </w:pPr>
            <w:r>
              <w:rPr>
                <w:rFonts w:ascii="Calibri" w:cs="Calibri" w:eastAsia="Calibri" w:hAnsi="Calibri"/>
                <w:color w:val="2A2447"/>
                <w:sz w:val="19"/>
                <w:szCs w:val="19"/>
              </w:rPr>
              <w:t xml:space="preserve">Choose which approved question fires next</w:t>
            </w:r>
          </w:p>
          <w:p>
            <w:pPr>
              <w:pStyle w:val="ListParagraph"/>
              <w:numPr>
                <w:ilvl w:val="0"/>
                <w:numId w:val="2"/>
              </w:numPr>
              <w:spacing w:after="40" w:line="258"/>
            </w:pPr>
            <w:r>
              <w:rPr>
                <w:rFonts w:ascii="Calibri" w:cs="Calibri" w:eastAsia="Calibri" w:hAnsi="Calibri"/>
                <w:color w:val="2A2447"/>
                <w:sz w:val="19"/>
                <w:szCs w:val="19"/>
              </w:rPr>
              <w:t xml:space="preserve">Judge whether an answer satisfied an element</w:t>
            </w:r>
          </w:p>
          <w:p>
            <w:pPr>
              <w:pStyle w:val="ListParagraph"/>
              <w:numPr>
                <w:ilvl w:val="0"/>
                <w:numId w:val="2"/>
              </w:numPr>
              <w:spacing w:after="0" w:line="258"/>
            </w:pPr>
            <w:r>
              <w:rPr>
                <w:rFonts w:ascii="Calibri" w:cs="Calibri" w:eastAsia="Calibri" w:hAnsi="Calibri"/>
                <w:color w:val="2A2447"/>
                <w:sz w:val="19"/>
                <w:szCs w:val="19"/>
              </w:rPr>
              <w:t xml:space="preserve">Escalate a persona within an approved ceiling</w:t>
            </w:r>
          </w:p>
        </w:tc>
        <w:tc>
          <w:tcPr>
            <w:tcW w:type="dxa" w:w="24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7445"/>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A33B3B"/>
                <w:sz w:val="22"/>
                <w:szCs w:val="22"/>
              </w:rPr>
              <w:t xml:space="preserve">The model may not</w:t>
            </w:r>
          </w:p>
          <w:p>
            <w:pPr>
              <w:pStyle w:val="ListParagraph"/>
              <w:numPr>
                <w:ilvl w:val="0"/>
                <w:numId w:val="2"/>
              </w:numPr>
              <w:spacing w:after="40" w:line="258"/>
            </w:pPr>
            <w:r>
              <w:rPr>
                <w:rFonts w:ascii="Calibri" w:cs="Calibri" w:eastAsia="Calibri" w:hAnsi="Calibri"/>
                <w:color w:val="2A2447"/>
                <w:sz w:val="19"/>
                <w:szCs w:val="19"/>
              </w:rPr>
              <w:t xml:space="preserve">Write, rephrase or improvise a question</w:t>
            </w:r>
          </w:p>
          <w:p>
            <w:pPr>
              <w:pStyle w:val="ListParagraph"/>
              <w:numPr>
                <w:ilvl w:val="0"/>
                <w:numId w:val="2"/>
              </w:numPr>
              <w:spacing w:after="40" w:line="258"/>
            </w:pPr>
            <w:r>
              <w:rPr>
                <w:rFonts w:ascii="Calibri" w:cs="Calibri" w:eastAsia="Calibri" w:hAnsi="Calibri"/>
                <w:color w:val="2A2447"/>
                <w:sz w:val="19"/>
                <w:szCs w:val="19"/>
              </w:rPr>
              <w:t xml:space="preserve">Give advice, or say anything unapproved</w:t>
            </w:r>
          </w:p>
          <w:p>
            <w:pPr>
              <w:pStyle w:val="ListParagraph"/>
              <w:numPr>
                <w:ilvl w:val="0"/>
                <w:numId w:val="2"/>
              </w:numPr>
              <w:spacing w:after="0" w:line="258"/>
            </w:pPr>
            <w:r>
              <w:rPr>
                <w:rFonts w:ascii="Calibri" w:cs="Calibri" w:eastAsia="Calibri" w:hAnsi="Calibri"/>
                <w:color w:val="2A2447"/>
                <w:sz w:val="19"/>
                <w:szCs w:val="19"/>
              </w:rPr>
              <w:t xml:space="preserve">Exceed the ceiling, or ignore a distress exit</w:t>
            </w:r>
          </w:p>
        </w:tc>
      </w:tr>
    </w:tbl>
    <w:p>
      <w:pPr>
        <w:spacing w:after="19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15130"/>
      </w:tblGrid>
      <w:tr>
        <w:tc>
          <w:tcPr>
            <w:tcW w:type="dxa" w:w="15130"/>
            <w:shd w:fill="1B1733" w:val="clear"/>
            <w:tcMar>
              <w:top w:type="dxa" w:w="170"/>
              <w:left w:type="dxa" w:w="190"/>
              <w:bottom w:type="dxa" w:w="170"/>
              <w:right w:type="dxa" w:w="190"/>
            </w:tcMar>
            <w:vAlign w:val="top"/>
          </w:tcPr>
          <w:p>
            <w:pPr>
              <w:spacing w:after="0" w:before="0" w:line="264"/>
            </w:pPr>
            <w:r>
              <w:rPr>
                <w:rFonts w:ascii="Calibri" w:cs="Calibri" w:eastAsia="Calibri" w:hAnsi="Calibri"/>
                <w:b/>
                <w:bCs/>
                <w:color w:val="FFFFFF"/>
                <w:sz w:val="24"/>
                <w:szCs w:val="24"/>
              </w:rPr>
              <w:t xml:space="preserve">Every sentence this system speaks was approved by a human before the session started.</w:t>
            </w:r>
          </w:p>
        </w:tc>
      </w:tr>
    </w:tbl>
    <w:p>
      <w:pPr>
        <w:spacing w:after="170"/>
      </w:pP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This is the slide the regulators came for. Land the closed-generation point explicitly: the model orchestrates approved content, it never authors it at runtime.</w:t>
            </w:r>
          </w:p>
          <w:p>
            <w:pPr>
              <w:spacing w:after="0" w:before="0" w:line="250"/>
            </w:pPr>
            <w:r>
              <w:rPr>
                <w:rFonts w:ascii="Calibri" w:cs="Calibri" w:eastAsia="Calibri" w:hAnsi="Calibri"/>
                <w:color w:val="6B6880"/>
                <w:sz w:val="18"/>
                <w:szCs w:val="18"/>
              </w:rPr>
              <w:t xml:space="preserve">If they remember one sentence from the whole seven minutes, make it the black bar.</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5  ·  DEMONSTRATION</w:t>
      </w:r>
      <w:r>
        <w:rPr>
          <w:rFonts w:ascii="Calibri" w:cs="Calibri" w:eastAsia="Calibri" w:hAnsi="Calibri"/>
          <w:b/>
          <w:bCs/>
          <w:color w:val="7C6BC4"/>
          <w:spacing w:val="30"/>
          <w:sz w:val="17"/>
          <w:szCs w:val="17"/>
        </w:rPr>
        <w:t xml:space="preserve">	2 MINUTES</w:t>
      </w:r>
    </w:p>
    <w:p>
      <w:pPr>
        <w:spacing w:after="200"/>
      </w:pPr>
      <w:r>
        <w:rPr>
          <w:rFonts w:ascii="Cambria" w:cs="Cambria" w:eastAsia="Cambria" w:hAnsi="Cambria"/>
          <w:b/>
          <w:bCs/>
          <w:color w:val="1B1733"/>
          <w:sz w:val="46"/>
          <w:szCs w:val="46"/>
        </w:rPr>
        <w:t xml:space="preserve">Watch for three things.</w:t>
      </w: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620"/>
        <w:gridCol w:w="14510"/>
      </w:tblGrid>
      <w:tr>
        <w:tc>
          <w:tcPr>
            <w:tcW w:type="dxa" w:w="620"/>
            <w:shd w:fill="FFFFFF" w:val="clear"/>
            <w:tcMar>
              <w:top w:type="dxa" w:w="60"/>
              <w:left w:type="dxa" w:w="0"/>
              <w:bottom w:type="dxa" w:w="60"/>
              <w:right w:type="dxa" w:w="190"/>
            </w:tcMar>
            <w:vAlign w:val="top"/>
          </w:tcPr>
          <w:p>
            <w:pPr>
              <w:spacing w:after="0" w:before="0" w:line="264"/>
            </w:pPr>
            <w:r>
              <w:rPr>
                <w:rFonts w:ascii="Cambria" w:cs="Cambria" w:eastAsia="Cambria" w:hAnsi="Cambria"/>
                <w:b/>
                <w:bCs/>
                <w:color w:val="7C6BC4"/>
                <w:sz w:val="30"/>
                <w:szCs w:val="30"/>
              </w:rPr>
              <w:t xml:space="preserve">1</w:t>
            </w:r>
          </w:p>
        </w:tc>
        <w:tc>
          <w:tcPr>
            <w:tcW w:type="dxa" w:w="14510"/>
            <w:shd w:fill="FFFFFF" w:val="clear"/>
            <w:tcMar>
              <w:top w:type="dxa" w:w="60"/>
              <w:left w:type="dxa" w:w="0"/>
              <w:bottom w:type="dxa" w:w="60"/>
              <w:right w:type="dxa" w:w="190"/>
            </w:tcMar>
            <w:vAlign w:val="top"/>
          </w:tcPr>
          <w:p>
            <w:pPr>
              <w:spacing w:after="60" w:before="0" w:line="264"/>
            </w:pPr>
            <w:r>
              <w:rPr>
                <w:rFonts w:ascii="Cambria" w:cs="Cambria" w:eastAsia="Cambria" w:hAnsi="Cambria"/>
                <w:b/>
                <w:bCs/>
                <w:color w:val="1B1733"/>
                <w:sz w:val="25"/>
                <w:szCs w:val="25"/>
              </w:rPr>
              <w:t xml:space="preserve">She never improvises.</w:t>
            </w:r>
          </w:p>
          <w:p>
            <w:pPr>
              <w:spacing w:after="0" w:before="0" w:line="264"/>
            </w:pPr>
            <w:r>
              <w:rPr>
                <w:rFonts w:ascii="Calibri" w:cs="Calibri" w:eastAsia="Calibri" w:hAnsi="Calibri"/>
                <w:color w:val="2A2447"/>
                <w:sz w:val="20"/>
                <w:szCs w:val="20"/>
              </w:rPr>
              <w:t xml:space="preserve">Every question you hear exists as an approved object with a version and an authority anchor behind it.</w:t>
            </w:r>
          </w:p>
        </w:tc>
      </w:tr>
    </w:tbl>
    <w:p>
      <w:pPr>
        <w:spacing w:after="13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620"/>
        <w:gridCol w:w="14510"/>
      </w:tblGrid>
      <w:tr>
        <w:tc>
          <w:tcPr>
            <w:tcW w:type="dxa" w:w="620"/>
            <w:shd w:fill="FFFFFF" w:val="clear"/>
            <w:tcMar>
              <w:top w:type="dxa" w:w="60"/>
              <w:left w:type="dxa" w:w="0"/>
              <w:bottom w:type="dxa" w:w="60"/>
              <w:right w:type="dxa" w:w="190"/>
            </w:tcMar>
            <w:vAlign w:val="top"/>
          </w:tcPr>
          <w:p>
            <w:pPr>
              <w:spacing w:after="0" w:before="0" w:line="264"/>
            </w:pPr>
            <w:r>
              <w:rPr>
                <w:rFonts w:ascii="Cambria" w:cs="Cambria" w:eastAsia="Cambria" w:hAnsi="Cambria"/>
                <w:b/>
                <w:bCs/>
                <w:color w:val="7C6BC4"/>
                <w:sz w:val="30"/>
                <w:szCs w:val="30"/>
              </w:rPr>
              <w:t xml:space="preserve">2</w:t>
            </w:r>
          </w:p>
        </w:tc>
        <w:tc>
          <w:tcPr>
            <w:tcW w:type="dxa" w:w="14510"/>
            <w:shd w:fill="FFFFFF" w:val="clear"/>
            <w:tcMar>
              <w:top w:type="dxa" w:w="60"/>
              <w:left w:type="dxa" w:w="0"/>
              <w:bottom w:type="dxa" w:w="60"/>
              <w:right w:type="dxa" w:w="190"/>
            </w:tcMar>
            <w:vAlign w:val="top"/>
          </w:tcPr>
          <w:p>
            <w:pPr>
              <w:spacing w:after="60" w:before="0" w:line="264"/>
            </w:pPr>
            <w:r>
              <w:rPr>
                <w:rFonts w:ascii="Cambria" w:cs="Cambria" w:eastAsia="Cambria" w:hAnsi="Cambria"/>
                <w:b/>
                <w:bCs/>
                <w:color w:val="1B1733"/>
                <w:sz w:val="25"/>
                <w:szCs w:val="25"/>
              </w:rPr>
              <w:t xml:space="preserve">The pressure is real, and it is bounded.</w:t>
            </w:r>
          </w:p>
          <w:p>
            <w:pPr>
              <w:spacing w:after="0" w:before="0" w:line="264"/>
            </w:pPr>
            <w:r>
              <w:rPr>
                <w:rFonts w:ascii="Calibri" w:cs="Calibri" w:eastAsia="Calibri" w:hAnsi="Calibri"/>
                <w:color w:val="2A2447"/>
                <w:sz w:val="20"/>
                <w:szCs w:val="20"/>
              </w:rPr>
              <w:t xml:space="preserve">The persona escalates on an approved ladder with a hard ceiling, and a distress exit that cannot be overridden.</w:t>
            </w:r>
          </w:p>
        </w:tc>
      </w:tr>
    </w:tbl>
    <w:p>
      <w:pPr>
        <w:spacing w:after="13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620"/>
        <w:gridCol w:w="14510"/>
      </w:tblGrid>
      <w:tr>
        <w:tc>
          <w:tcPr>
            <w:tcW w:type="dxa" w:w="620"/>
            <w:shd w:fill="FFFFFF" w:val="clear"/>
            <w:tcMar>
              <w:top w:type="dxa" w:w="60"/>
              <w:left w:type="dxa" w:w="0"/>
              <w:bottom w:type="dxa" w:w="60"/>
              <w:right w:type="dxa" w:w="190"/>
            </w:tcMar>
            <w:vAlign w:val="top"/>
          </w:tcPr>
          <w:p>
            <w:pPr>
              <w:spacing w:after="0" w:before="0" w:line="264"/>
            </w:pPr>
            <w:r>
              <w:rPr>
                <w:rFonts w:ascii="Cambria" w:cs="Cambria" w:eastAsia="Cambria" w:hAnsi="Cambria"/>
                <w:b/>
                <w:bCs/>
                <w:color w:val="7C6BC4"/>
                <w:sz w:val="30"/>
                <w:szCs w:val="30"/>
              </w:rPr>
              <w:t xml:space="preserve">3</w:t>
            </w:r>
          </w:p>
        </w:tc>
        <w:tc>
          <w:tcPr>
            <w:tcW w:type="dxa" w:w="14510"/>
            <w:shd w:fill="FFFFFF" w:val="clear"/>
            <w:tcMar>
              <w:top w:type="dxa" w:w="60"/>
              <w:left w:type="dxa" w:w="0"/>
              <w:bottom w:type="dxa" w:w="60"/>
              <w:right w:type="dxa" w:w="190"/>
            </w:tcMar>
            <w:vAlign w:val="top"/>
          </w:tcPr>
          <w:p>
            <w:pPr>
              <w:spacing w:after="60" w:before="0" w:line="264"/>
            </w:pPr>
            <w:r>
              <w:rPr>
                <w:rFonts w:ascii="Cambria" w:cs="Cambria" w:eastAsia="Cambria" w:hAnsi="Cambria"/>
                <w:b/>
                <w:bCs/>
                <w:color w:val="1B1733"/>
                <w:sz w:val="25"/>
                <w:szCs w:val="25"/>
              </w:rPr>
              <w:t xml:space="preserve">She tells them what she found, out loud.</w:t>
            </w:r>
          </w:p>
          <w:p>
            <w:pPr>
              <w:spacing w:after="0" w:before="0" w:line="264"/>
            </w:pPr>
            <w:r>
              <w:rPr>
                <w:rFonts w:ascii="Calibri" w:cs="Calibri" w:eastAsia="Calibri" w:hAnsi="Calibri"/>
                <w:color w:val="2A2447"/>
                <w:sz w:val="20"/>
                <w:szCs w:val="20"/>
              </w:rPr>
              <w:t xml:space="preserve">The loop ends with the coach speaking the assessment — what held, what broke, what changes — with her face on screen. The written record follows only if the investor asks for it.</w:t>
            </w:r>
          </w:p>
        </w:tc>
      </w:tr>
    </w:tbl>
    <w:p>
      <w:pPr>
        <w:spacing w:after="130"/>
      </w:pPr>
    </w:p>
    <w:p>
      <w:pPr>
        <w:spacing w:after="200" w:before="0" w:line="264"/>
      </w:pPr>
      <w:r>
        <w:rPr>
          <w:rFonts w:ascii="Calibri" w:cs="Calibri" w:eastAsia="Calibri" w:hAnsi="Calibri"/>
          <w:i/>
          <w:iCs/>
          <w:color w:val="6B6880"/>
          <w:sz w:val="20"/>
          <w:szCs w:val="20"/>
        </w:rPr>
        <w:t xml:space="preserve">Voice only. There is no text input anywhere in the session — typing produces edited answers, and the interview needs unedited ones.</w:t>
      </w: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SHOW IT. DO NOT NARRATE IT. Two minutes is the largest single block in the slot and the judges remember it above everything else.</w:t>
            </w:r>
          </w:p>
          <w:p>
            <w:pPr>
              <w:spacing w:after="80" w:before="0" w:line="250"/>
            </w:pPr>
            <w:r>
              <w:rPr>
                <w:rFonts w:ascii="Calibri" w:cs="Calibri" w:eastAsia="Calibri" w:hAnsi="Calibri"/>
                <w:color w:val="6B6880"/>
                <w:sz w:val="18"/>
                <w:szCs w:val="18"/>
              </w:rPr>
              <w:t xml:space="preserve">RECOMMENDATION — present a RECORDED run and keep the live build open in a second window as backup. Two minutes of live speech recognition, on conference wi-fi, in a room with ambient noise, is the highest-variance 120 seconds of the whole presentation, and a failed live demo costs far more than a recorded one gains.</w:t>
            </w:r>
          </w:p>
          <w:p>
            <w:pPr>
              <w:spacing w:after="80" w:before="0" w:line="250"/>
            </w:pPr>
            <w:r>
              <w:rPr>
                <w:rFonts w:ascii="Calibri" w:cs="Calibri" w:eastAsia="Calibri" w:hAnsi="Calibri"/>
                <w:color w:val="6B6880"/>
                <w:sz w:val="18"/>
                <w:szCs w:val="18"/>
              </w:rPr>
              <w:t xml:space="preserve">If you must cut, cut the middle. The beat you cannot afford to lose is the close: the coach saying what the investor got wrong, in her own voice, quoting their own sentence back to them. That is the moment the room understands why this is a digital human and not a form.</w:t>
            </w:r>
          </w:p>
          <w:p>
            <w:pPr>
              <w:spacing w:after="0" w:before="0" w:line="250"/>
            </w:pPr>
            <w:r>
              <w:rPr>
                <w:rFonts w:ascii="Calibri" w:cs="Calibri" w:eastAsia="Calibri" w:hAnsi="Calibri"/>
                <w:color w:val="6B6880"/>
                <w:sz w:val="18"/>
                <w:szCs w:val="18"/>
              </w:rPr>
              <w:t xml:space="preserve">Show the language switch for about five seconds. Do not conduct the demo in a language that has not been natively reviewed.</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6  ·  EVALUATION</w:t>
      </w:r>
      <w:r>
        <w:rPr>
          <w:rFonts w:ascii="Calibri" w:cs="Calibri" w:eastAsia="Calibri" w:hAnsi="Calibri"/>
          <w:b/>
          <w:bCs/>
          <w:color w:val="7C6BC4"/>
          <w:spacing w:val="30"/>
          <w:sz w:val="17"/>
          <w:szCs w:val="17"/>
        </w:rPr>
        <w:t xml:space="preserve">	1 MINUTE 15 SECONDS</w:t>
      </w:r>
    </w:p>
    <w:p>
      <w:pPr>
        <w:spacing w:after="200"/>
      </w:pPr>
      <w:r>
        <w:rPr>
          <w:rFonts w:ascii="Cambria" w:cs="Cambria" w:eastAsia="Cambria" w:hAnsi="Cambria"/>
          <w:b/>
          <w:bCs/>
          <w:color w:val="1B1733"/>
          <w:sz w:val="46"/>
          <w:szCs w:val="46"/>
        </w:rPr>
        <w:t xml:space="preserve">What we set out to build, and what we have.</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7400"/>
        <w:gridCol w:w="7730"/>
      </w:tblGrid>
      <w:tr>
        <w:trPr>
          <w:tblHeader/>
        </w:trPr>
        <w:tc>
          <w:tcPr>
            <w:tcW w:type="dxa" w:w="7400"/>
            <w:shd w:fill="EDEAF7"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19"/>
                <w:szCs w:val="19"/>
              </w:rPr>
              <w:t xml:space="preserve">What we set out to build</w:t>
            </w:r>
          </w:p>
        </w:tc>
        <w:tc>
          <w:tcPr>
            <w:tcW w:type="dxa" w:w="7730"/>
            <w:shd w:fill="EDEAF7" w:val="clear"/>
            <w:tcMar>
              <w:top w:type="dxa" w:w="105"/>
              <w:left w:type="dxa" w:w="190"/>
              <w:bottom w:type="dxa" w:w="105"/>
              <w:right w:type="dxa" w:w="190"/>
            </w:tcMar>
            <w:vAlign w:val="top"/>
          </w:tcPr>
          <w:p>
            <w:pPr>
              <w:spacing w:after="0" w:before="0" w:line="264"/>
            </w:pPr>
            <w:r>
              <w:rPr>
                <w:rFonts w:ascii="Calibri" w:cs="Calibri" w:eastAsia="Calibri" w:hAnsi="Calibri"/>
                <w:b/>
                <w:bCs/>
                <w:color w:val="1B1733"/>
                <w:sz w:val="19"/>
                <w:szCs w:val="19"/>
              </w:rPr>
              <w:t xml:space="preserve">Where it actually stands</w:t>
            </w:r>
          </w:p>
        </w:tc>
      </w:tr>
      <w:tr>
        <w:tc>
          <w:tcPr>
            <w:tcW w:type="dxa" w:w="740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A voice-led interview producing behavioural evidence, not a quiz score</w:t>
            </w:r>
          </w:p>
        </w:tc>
        <w:tc>
          <w:tcPr>
            <w:tcW w:type="dxa" w:w="773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2E7D5B"/>
                <w:sz w:val="20"/>
                <w:szCs w:val="20"/>
              </w:rPr>
              <w:t xml:space="preserve">Achieved</w:t>
            </w:r>
          </w:p>
        </w:tc>
      </w:tr>
      <w:tr>
        <w:tc>
          <w:tcPr>
            <w:tcW w:type="dxa" w:w="740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A complete loop inside ten minutes</w:t>
            </w:r>
          </w:p>
        </w:tc>
        <w:tc>
          <w:tcPr>
            <w:tcW w:type="dxa" w:w="773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2E7D5B"/>
                <w:sz w:val="20"/>
                <w:szCs w:val="20"/>
              </w:rPr>
              <w:t xml:space="preserve">Achieved — 9 min 20 sec, measured</w:t>
            </w:r>
          </w:p>
        </w:tc>
      </w:tr>
      <w:tr>
        <w:tc>
          <w:tcPr>
            <w:tcW w:type="dxa" w:w="740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Every determination traceable to the investor's own words</w:t>
            </w:r>
          </w:p>
        </w:tc>
        <w:tc>
          <w:tcPr>
            <w:tcW w:type="dxa" w:w="773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2E7D5B"/>
                <w:sz w:val="20"/>
                <w:szCs w:val="20"/>
              </w:rPr>
              <w:t xml:space="preserve">Achieved — verbatim binding throughout</w:t>
            </w:r>
          </w:p>
        </w:tc>
      </w:tr>
      <w:tr>
        <w:tc>
          <w:tcPr>
            <w:tcW w:type="dxa" w:w="740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An ending a person would actually carry out of the room</w:t>
            </w:r>
          </w:p>
        </w:tc>
        <w:tc>
          <w:tcPr>
            <w:tcW w:type="dxa" w:w="773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5A4A96"/>
                <w:sz w:val="20"/>
                <w:szCs w:val="20"/>
              </w:rPr>
              <w:t xml:space="preserve">Exceeded — the coach now speaks the assessment; the document became the audit, not the delivery</w:t>
            </w:r>
          </w:p>
        </w:tc>
      </w:tr>
      <w:tr>
        <w:tc>
          <w:tcPr>
            <w:tcW w:type="dxa" w:w="740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Delivery in more than one language, voice included</w:t>
            </w:r>
          </w:p>
        </w:tc>
        <w:tc>
          <w:tcPr>
            <w:tcW w:type="dxa" w:w="773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B5762A"/>
                <w:sz w:val="20"/>
                <w:szCs w:val="20"/>
              </w:rPr>
              <w:t xml:space="preserve">Four languages built. One cleared for deployment, three await native review</w:t>
            </w:r>
          </w:p>
        </w:tc>
      </w:tr>
      <w:tr>
        <w:tc>
          <w:tcPr>
            <w:tcW w:type="dxa" w:w="740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Governance we could put in front of a regulator</w:t>
            </w:r>
          </w:p>
        </w:tc>
        <w:tc>
          <w:tcPr>
            <w:tcW w:type="dxa" w:w="773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5A4A96"/>
                <w:sz w:val="20"/>
                <w:szCs w:val="20"/>
              </w:rPr>
              <w:t xml:space="preserve">Exceeded — we built the publish gate, and it blocked us</w:t>
            </w:r>
          </w:p>
        </w:tc>
      </w:tr>
      <w:tr>
        <w:tc>
          <w:tcPr>
            <w:tcW w:type="dxa" w:w="740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A durable behaviour-change claim</w:t>
            </w:r>
          </w:p>
        </w:tc>
        <w:tc>
          <w:tcPr>
            <w:tcW w:type="dxa" w:w="773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B5762A"/>
                <w:sz w:val="20"/>
                <w:szCs w:val="20"/>
              </w:rPr>
              <w:t xml:space="preserve">Not made. We measure within-session transfer only, and the record says so</w:t>
            </w:r>
          </w:p>
        </w:tc>
      </w:tr>
      <w:tr>
        <w:tc>
          <w:tcPr>
            <w:tcW w:type="dxa" w:w="740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A field trial with retail investors</w:t>
            </w:r>
          </w:p>
        </w:tc>
        <w:tc>
          <w:tcPr>
            <w:tcW w:type="dxa" w:w="773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B5762A"/>
                <w:sz w:val="20"/>
                <w:szCs w:val="20"/>
              </w:rPr>
              <w:t xml:space="preserve">Not yet run. This is the next milestone, not a footnote</w:t>
            </w:r>
          </w:p>
        </w:tc>
      </w:tr>
    </w:tbl>
    <w:p>
      <w:pPr>
        <w:spacing w:after="170"/>
      </w:pPr>
    </w:p>
    <w:p>
      <w:pPr>
        <w:spacing w:after="200" w:before="0" w:line="264"/>
      </w:pPr>
      <w:r>
        <w:rPr>
          <w:rFonts w:ascii="Calibri" w:cs="Calibri" w:eastAsia="Calibri" w:hAnsi="Calibri"/>
          <w:i/>
          <w:iCs/>
          <w:color w:val="6B6880"/>
          <w:sz w:val="20"/>
          <w:szCs w:val="20"/>
        </w:rPr>
        <w:t xml:space="preserve">The last two rows are on this slide deliberately. A team that only reports what worked has not finished evaluating.</w:t>
      </w: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Seventy-five seconds. Read the green rows fast — they are not where the credibility is.</w:t>
            </w:r>
          </w:p>
          <w:p>
            <w:pPr>
              <w:spacing w:after="80" w:before="0" w:line="250"/>
            </w:pPr>
            <w:r>
              <w:rPr>
                <w:rFonts w:ascii="Calibri" w:cs="Calibri" w:eastAsia="Calibri" w:hAnsi="Calibri"/>
                <w:color w:val="6B6880"/>
                <w:sz w:val="18"/>
                <w:szCs w:val="18"/>
              </w:rPr>
              <w:t xml:space="preserve">SLOW DOWN on the last three. Saying out loud that you do not claim durable behaviour change, and that three language variants are not cleared for deployment, is what makes everything else believable to a regulatory audience. The FCA guidance explicitly invites the journey and the challenges. Take the invitation.</w:t>
            </w:r>
          </w:p>
          <w:p>
            <w:pPr>
              <w:spacing w:after="0" w:before="0" w:line="250"/>
            </w:pPr>
            <w:r>
              <w:rPr>
                <w:rFonts w:ascii="Calibri" w:cs="Calibri" w:eastAsia="Calibri" w:hAnsi="Calibri"/>
                <w:color w:val="6B6880"/>
                <w:sz w:val="18"/>
                <w:szCs w:val="18"/>
              </w:rPr>
              <w:t xml:space="preserve">Bridge into the deep dive: “and one we did not expect — our own gate blocked our own library.”</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7  ·  DEEP DIVE</w:t>
      </w:r>
      <w:r>
        <w:rPr>
          <w:rFonts w:ascii="Calibri" w:cs="Calibri" w:eastAsia="Calibri" w:hAnsi="Calibri"/>
          <w:b/>
          <w:bCs/>
          <w:color w:val="7C6BC4"/>
          <w:spacing w:val="30"/>
          <w:sz w:val="17"/>
          <w:szCs w:val="17"/>
        </w:rPr>
        <w:t xml:space="preserve">	1 MINUTE</w:t>
      </w:r>
    </w:p>
    <w:p>
      <w:pPr>
        <w:spacing w:after="200"/>
      </w:pPr>
      <w:r>
        <w:rPr>
          <w:rFonts w:ascii="Cambria" w:cs="Cambria" w:eastAsia="Cambria" w:hAnsi="Cambria"/>
          <w:b/>
          <w:bCs/>
          <w:color w:val="1B1733"/>
          <w:sz w:val="46"/>
          <w:szCs w:val="46"/>
        </w:rPr>
        <w:t xml:space="preserve">We built a gate that can block us. Then it did.</w:t>
      </w: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8800"/>
        <w:gridCol w:w="320"/>
        <w:gridCol w:w="6010"/>
      </w:tblGrid>
      <w:tr>
        <w:tc>
          <w:tcPr>
            <w:tcW w:type="dxa" w:w="8800"/>
            <w:shd w:fill="FFFFFF" w:val="clear"/>
            <w:tcMar>
              <w:top w:type="dxa" w:w="0"/>
              <w:left w:type="dxa" w:w="0"/>
              <w:bottom w:type="dxa" w:w="0"/>
              <w:right w:type="dxa" w:w="190"/>
            </w:tcMar>
            <w:vAlign w:val="top"/>
          </w:tcPr>
          <w:p>
            <w:pPr>
              <w:spacing w:after="160" w:before="0" w:line="264"/>
            </w:pPr>
            <w:r>
              <w:rPr>
                <w:rFonts w:ascii="Calibri" w:cs="Calibri" w:eastAsia="Calibri" w:hAnsi="Calibri"/>
                <w:color w:val="2A2447"/>
                <w:sz w:val="21"/>
                <w:szCs w:val="21"/>
              </w:rPr>
              <w:t xml:space="preserve">Nothing reaches an investor until a mechanical publish gate passes. Ten tests, seven of them blocking, no waive path — not for a client, and not for BYOND Asia.</w:t>
            </w:r>
          </w:p>
          <w:p>
            <w:pPr>
              <w:spacing w:after="90" w:before="0" w:line="264"/>
            </w:pPr>
            <w:r>
              <w:rPr>
                <w:rFonts w:ascii="Calibri" w:cs="Calibri" w:eastAsia="Calibri" w:hAnsi="Calibri"/>
                <w:b/>
                <w:bCs/>
                <w:color w:val="5A4A96"/>
                <w:sz w:val="22"/>
                <w:szCs w:val="22"/>
              </w:rPr>
              <w:t xml:space="preserve">1 · We ran the gate against our own live library.</w:t>
            </w:r>
          </w:p>
          <w:p>
            <w:pPr>
              <w:spacing w:after="120" w:before="0" w:line="264"/>
            </w:pPr>
            <w:r>
              <w:rPr>
                <w:rFonts w:ascii="Calibri" w:cs="Calibri" w:eastAsia="Calibri" w:hAnsi="Calibri"/>
                <w:color w:val="2A2447"/>
                <w:sz w:val="20"/>
                <w:szCs w:val="20"/>
              </w:rPr>
              <w:t xml:space="preserve">Not a fixture. The library running in the demo you just watched.</w:t>
            </w:r>
          </w:p>
          <w:p>
            <w:pPr>
              <w:spacing w:after="90" w:before="0" w:line="264"/>
            </w:pPr>
            <w:r>
              <w:rPr>
                <w:rFonts w:ascii="Calibri" w:cs="Calibri" w:eastAsia="Calibri" w:hAnsi="Calibri"/>
                <w:b/>
                <w:bCs/>
                <w:color w:val="5A4A96"/>
                <w:sz w:val="22"/>
                <w:szCs w:val="22"/>
              </w:rPr>
              <w:t xml:space="preserve">2 · Coverage failed.</w:t>
            </w:r>
          </w:p>
          <w:p>
            <w:pPr>
              <w:spacing w:after="120" w:before="0" w:line="264"/>
            </w:pPr>
            <w:r>
              <w:rPr>
                <w:rFonts w:ascii="Calibri" w:cs="Calibri" w:eastAsia="Calibri" w:hAnsi="Calibri"/>
                <w:color w:val="2A2447"/>
                <w:sz w:val="20"/>
                <w:szCs w:val="20"/>
              </w:rPr>
              <w:t xml:space="preserve">Four mandatory competency elements had no approved question that could elicit them. They could never be resolved in a session.</w:t>
            </w:r>
          </w:p>
          <w:p>
            <w:pPr>
              <w:spacing w:after="90" w:before="0" w:line="264"/>
            </w:pPr>
            <w:r>
              <w:rPr>
                <w:rFonts w:ascii="Calibri" w:cs="Calibri" w:eastAsia="Calibri" w:hAnsi="Calibri"/>
                <w:b/>
                <w:bCs/>
                <w:color w:val="5A4A96"/>
                <w:sz w:val="22"/>
                <w:szCs w:val="22"/>
              </w:rPr>
              <w:t xml:space="preserve">3 · Clearing it cascaded.</w:t>
            </w:r>
          </w:p>
          <w:p>
            <w:pPr>
              <w:spacing w:after="0" w:before="0" w:line="264"/>
            </w:pPr>
            <w:r>
              <w:rPr>
                <w:rFonts w:ascii="Calibri" w:cs="Calibri" w:eastAsia="Calibri" w:hAnsi="Calibri"/>
                <w:color w:val="2A2447"/>
                <w:sz w:val="20"/>
                <w:szCs w:val="20"/>
              </w:rPr>
              <w:t xml:space="preserve">Retiring those four broke version consistency — nine objects had to be withdrawn before the bundle would release.</w:t>
            </w:r>
          </w:p>
        </w:tc>
        <w:tc>
          <w:tcPr>
            <w:tcW w:type="dxa" w:w="32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6010"/>
            <w:shd w:fill="1B1733" w:val="clear"/>
            <w:tcMar>
              <w:top w:type="dxa" w:w="180"/>
              <w:left w:type="dxa" w:w="190"/>
              <w:bottom w:type="dxa" w:w="180"/>
              <w:right w:type="dxa" w:w="190"/>
            </w:tcMar>
            <w:vAlign w:val="top"/>
          </w:tcPr>
          <w:p>
            <w:pPr>
              <w:spacing w:after="120" w:before="0" w:line="264"/>
            </w:pPr>
            <w:r>
              <w:rPr>
                <w:rFonts w:ascii="Calibri" w:cs="Calibri" w:eastAsia="Calibri" w:hAnsi="Calibri"/>
                <w:b/>
                <w:bCs/>
                <w:color w:val="9A93BC"/>
                <w:spacing w:val="30"/>
                <w:sz w:val="16"/>
                <w:szCs w:val="16"/>
              </w:rPr>
              <w:t xml:space="preserve">AUREN  ·  RELEASE REPORT</w:t>
            </w:r>
          </w:p>
          <w:p>
            <w:pPr>
              <w:tabs>
                <w:tab w:val="right" w:pos="5600"/>
              </w:tabs>
              <w:spacing w:after="52"/>
            </w:pPr>
            <w:r>
              <w:rPr>
                <w:rFonts w:ascii="Calibri" w:cs="Calibri" w:eastAsia="Calibri" w:hAnsi="Calibri"/>
                <w:color w:val="D8D3EA"/>
                <w:sz w:val="18"/>
                <w:szCs w:val="18"/>
              </w:rPr>
              <w:t xml:space="preserve">Candidate set</w:t>
            </w:r>
            <w:r>
              <w:rPr>
                <w:rFonts w:ascii="Calibri" w:cs="Calibri" w:eastAsia="Calibri" w:hAnsi="Calibri"/>
                <w:b/>
                <w:bCs/>
                <w:color w:val="8FBF9F"/>
                <w:sz w:val="17"/>
                <w:szCs w:val="17"/>
              </w:rPr>
              <w:t xml:space="preserve">	pass</w:t>
            </w:r>
          </w:p>
          <w:p>
            <w:pPr>
              <w:tabs>
                <w:tab w:val="right" w:pos="5600"/>
              </w:tabs>
              <w:spacing w:after="52"/>
            </w:pPr>
            <w:r>
              <w:rPr>
                <w:rFonts w:ascii="Calibri" w:cs="Calibri" w:eastAsia="Calibri" w:hAnsi="Calibri"/>
                <w:color w:val="D8D3EA"/>
                <w:sz w:val="18"/>
                <w:szCs w:val="18"/>
              </w:rPr>
              <w:t xml:space="preserve">Coverage</w:t>
            </w:r>
            <w:r>
              <w:rPr>
                <w:rFonts w:ascii="Calibri" w:cs="Calibri" w:eastAsia="Calibri" w:hAnsi="Calibri"/>
                <w:b/>
                <w:bCs/>
                <w:color w:val="E8896B"/>
                <w:sz w:val="17"/>
                <w:szCs w:val="17"/>
              </w:rPr>
              <w:t xml:space="preserve">	BLOCKED</w:t>
            </w:r>
          </w:p>
          <w:p>
            <w:pPr>
              <w:tabs>
                <w:tab w:val="right" w:pos="5600"/>
              </w:tabs>
              <w:spacing w:after="52"/>
            </w:pPr>
            <w:r>
              <w:rPr>
                <w:rFonts w:ascii="Calibri" w:cs="Calibri" w:eastAsia="Calibri" w:hAnsi="Calibri"/>
                <w:color w:val="D8D3EA"/>
                <w:sz w:val="18"/>
                <w:szCs w:val="18"/>
              </w:rPr>
              <w:t xml:space="preserve">Anchor integrity</w:t>
            </w:r>
            <w:r>
              <w:rPr>
                <w:rFonts w:ascii="Calibri" w:cs="Calibri" w:eastAsia="Calibri" w:hAnsi="Calibri"/>
                <w:b/>
                <w:bCs/>
                <w:color w:val="8FBF9F"/>
                <w:sz w:val="17"/>
                <w:szCs w:val="17"/>
              </w:rPr>
              <w:t xml:space="preserve">	pass</w:t>
            </w:r>
          </w:p>
          <w:p>
            <w:pPr>
              <w:tabs>
                <w:tab w:val="right" w:pos="5600"/>
              </w:tabs>
              <w:spacing w:after="52"/>
            </w:pPr>
            <w:r>
              <w:rPr>
                <w:rFonts w:ascii="Calibri" w:cs="Calibri" w:eastAsia="Calibri" w:hAnsi="Calibri"/>
                <w:color w:val="D8D3EA"/>
                <w:sz w:val="18"/>
                <w:szCs w:val="18"/>
              </w:rPr>
              <w:t xml:space="preserve">Prohibited formulation</w:t>
            </w:r>
            <w:r>
              <w:rPr>
                <w:rFonts w:ascii="Calibri" w:cs="Calibri" w:eastAsia="Calibri" w:hAnsi="Calibri"/>
                <w:b/>
                <w:bCs/>
                <w:color w:val="8FBF9F"/>
                <w:sz w:val="17"/>
                <w:szCs w:val="17"/>
              </w:rPr>
              <w:t xml:space="preserve">	pass</w:t>
            </w:r>
          </w:p>
          <w:p>
            <w:pPr>
              <w:tabs>
                <w:tab w:val="right" w:pos="5600"/>
              </w:tabs>
              <w:spacing w:after="52"/>
            </w:pPr>
            <w:r>
              <w:rPr>
                <w:rFonts w:ascii="Calibri" w:cs="Calibri" w:eastAsia="Calibri" w:hAnsi="Calibri"/>
                <w:color w:val="D8D3EA"/>
                <w:sz w:val="18"/>
                <w:szCs w:val="18"/>
              </w:rPr>
              <w:t xml:space="preserve">Scope integrity</w:t>
            </w:r>
            <w:r>
              <w:rPr>
                <w:rFonts w:ascii="Calibri" w:cs="Calibri" w:eastAsia="Calibri" w:hAnsi="Calibri"/>
                <w:b/>
                <w:bCs/>
                <w:color w:val="8FBF9F"/>
                <w:sz w:val="17"/>
                <w:szCs w:val="17"/>
              </w:rPr>
              <w:t xml:space="preserve">	pass</w:t>
            </w:r>
          </w:p>
          <w:p>
            <w:pPr>
              <w:tabs>
                <w:tab w:val="right" w:pos="5600"/>
              </w:tabs>
              <w:spacing w:after="52"/>
            </w:pPr>
            <w:r>
              <w:rPr>
                <w:rFonts w:ascii="Calibri" w:cs="Calibri" w:eastAsia="Calibri" w:hAnsi="Calibri"/>
                <w:color w:val="D8D3EA"/>
                <w:sz w:val="18"/>
                <w:szCs w:val="18"/>
              </w:rPr>
              <w:t xml:space="preserve">Boundary refusal</w:t>
            </w:r>
            <w:r>
              <w:rPr>
                <w:rFonts w:ascii="Calibri" w:cs="Calibri" w:eastAsia="Calibri" w:hAnsi="Calibri"/>
                <w:b/>
                <w:bCs/>
                <w:color w:val="8FBF9F"/>
                <w:sz w:val="17"/>
                <w:szCs w:val="17"/>
              </w:rPr>
              <w:t xml:space="preserve">	pass</w:t>
            </w:r>
          </w:p>
          <w:p>
            <w:pPr>
              <w:tabs>
                <w:tab w:val="right" w:pos="5600"/>
              </w:tabs>
              <w:spacing w:after="52"/>
            </w:pPr>
            <w:r>
              <w:rPr>
                <w:rFonts w:ascii="Calibri" w:cs="Calibri" w:eastAsia="Calibri" w:hAnsi="Calibri"/>
                <w:color w:val="D8D3EA"/>
                <w:sz w:val="18"/>
                <w:szCs w:val="18"/>
              </w:rPr>
              <w:t xml:space="preserve">Version consistency</w:t>
            </w:r>
            <w:r>
              <w:rPr>
                <w:rFonts w:ascii="Calibri" w:cs="Calibri" w:eastAsia="Calibri" w:hAnsi="Calibri"/>
                <w:b/>
                <w:bCs/>
                <w:color w:val="8FBF9F"/>
                <w:sz w:val="17"/>
                <w:szCs w:val="17"/>
              </w:rPr>
              <w:t xml:space="preserve">	pass</w:t>
            </w:r>
          </w:p>
          <w:p>
            <w:pPr>
              <w:tabs>
                <w:tab w:val="right" w:pos="5600"/>
              </w:tabs>
              <w:spacing w:after="52"/>
            </w:pPr>
            <w:r>
              <w:rPr>
                <w:rFonts w:ascii="Calibri" w:cs="Calibri" w:eastAsia="Calibri" w:hAnsi="Calibri"/>
                <w:color w:val="D8D3EA"/>
                <w:sz w:val="18"/>
                <w:szCs w:val="18"/>
              </w:rPr>
              <w:t xml:space="preserve">Adversarial probe</w:t>
            </w:r>
            <w:r>
              <w:rPr>
                <w:rFonts w:ascii="Calibri" w:cs="Calibri" w:eastAsia="Calibri" w:hAnsi="Calibri"/>
                <w:b/>
                <w:bCs/>
                <w:color w:val="D8BE55"/>
                <w:sz w:val="17"/>
                <w:szCs w:val="17"/>
              </w:rPr>
              <w:t xml:space="preserve">	advisory</w:t>
            </w:r>
          </w:p>
          <w:p>
            <w:pPr>
              <w:tabs>
                <w:tab w:val="right" w:pos="5600"/>
              </w:tabs>
              <w:spacing w:after="52"/>
            </w:pPr>
            <w:r>
              <w:rPr>
                <w:rFonts w:ascii="Calibri" w:cs="Calibri" w:eastAsia="Calibri" w:hAnsi="Calibri"/>
                <w:color w:val="D8D3EA"/>
                <w:sz w:val="18"/>
                <w:szCs w:val="18"/>
              </w:rPr>
              <w:t xml:space="preserve">Translation fidelity</w:t>
            </w:r>
            <w:r>
              <w:rPr>
                <w:rFonts w:ascii="Calibri" w:cs="Calibri" w:eastAsia="Calibri" w:hAnsi="Calibri"/>
                <w:b/>
                <w:bCs/>
                <w:color w:val="D8BE55"/>
                <w:sz w:val="17"/>
                <w:szCs w:val="17"/>
              </w:rPr>
              <w:t xml:space="preserve">	advisory</w:t>
            </w:r>
          </w:p>
          <w:p>
            <w:pPr>
              <w:tabs>
                <w:tab w:val="right" w:pos="5600"/>
              </w:tabs>
              <w:spacing w:after="52"/>
            </w:pPr>
            <w:r>
              <w:rPr>
                <w:rFonts w:ascii="Calibri" w:cs="Calibri" w:eastAsia="Calibri" w:hAnsi="Calibri"/>
                <w:color w:val="D8D3EA"/>
                <w:sz w:val="18"/>
                <w:szCs w:val="18"/>
              </w:rPr>
              <w:t xml:space="preserve">Traceability</w:t>
            </w:r>
            <w:r>
              <w:rPr>
                <w:rFonts w:ascii="Calibri" w:cs="Calibri" w:eastAsia="Calibri" w:hAnsi="Calibri"/>
                <w:b/>
                <w:bCs/>
                <w:color w:val="D8BE55"/>
                <w:sz w:val="17"/>
                <w:szCs w:val="17"/>
              </w:rPr>
              <w:t xml:space="preserve">	advisory</w:t>
            </w:r>
          </w:p>
          <w:p>
            <w:pPr>
              <w:spacing w:after="0" w:before="0" w:line="264"/>
            </w:pPr>
            <w:r>
              <w:rPr>
                <w:rFonts w:ascii="Calibri" w:cs="Calibri" w:eastAsia="Calibri" w:hAnsi="Calibri"/>
                <w:b/>
                <w:bCs/>
                <w:color w:val="E8896B"/>
                <w:sz w:val="18"/>
                <w:szCs w:val="18"/>
              </w:rPr>
              <w:t xml:space="preserve">Release disabled — 1 hard failure</w:t>
            </w:r>
          </w:p>
        </w:tc>
      </w:tr>
    </w:tbl>
    <w:p>
      <w:pPr>
        <w:spacing w:after="19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15130"/>
      </w:tblGrid>
      <w:tr>
        <w:tc>
          <w:tcPr>
            <w:tcW w:type="dxa" w:w="15130"/>
            <w:shd w:fill="EDEAF7" w:val="clear"/>
            <w:tcMar>
              <w:top w:type="dxa" w:w="170"/>
              <w:left w:type="dxa" w:w="190"/>
              <w:bottom w:type="dxa" w:w="170"/>
              <w:right w:type="dxa" w:w="190"/>
            </w:tcMar>
            <w:vAlign w:val="top"/>
          </w:tcPr>
          <w:p>
            <w:pPr>
              <w:spacing w:after="0" w:before="0" w:line="264"/>
            </w:pPr>
            <w:r>
              <w:rPr>
                <w:rFonts w:ascii="Calibri" w:cs="Calibri" w:eastAsia="Calibri" w:hAnsi="Calibri"/>
                <w:b/>
                <w:bCs/>
                <w:color w:val="1B1733"/>
                <w:sz w:val="24"/>
                <w:szCs w:val="24"/>
              </w:rPr>
              <w:t xml:space="preserve">A gate that has never blocked anything is decoration. We would rather show you the one that stopped us.</w:t>
            </w:r>
          </w:p>
        </w:tc>
      </w:tr>
    </w:tbl>
    <w:p>
      <w:pPr>
        <w:spacing w:after="170"/>
      </w:pP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Sixty seconds, and it is the most persuasive minute you have with this audience. The point is not that the defect existed — it is that the machinery surfaced it, in public, before an investor ever met it.</w:t>
            </w:r>
          </w:p>
          <w:p>
            <w:pPr>
              <w:spacing w:after="80" w:before="0" w:line="250"/>
            </w:pPr>
            <w:r>
              <w:rPr>
                <w:rFonts w:ascii="Calibri" w:cs="Calibri" w:eastAsia="Calibri" w:hAnsi="Calibri"/>
                <w:color w:val="6B6880"/>
                <w:sz w:val="18"/>
                <w:szCs w:val="18"/>
              </w:rPr>
              <w:t xml:space="preserve">The IOSCO guidance describes this section as a chance to show off outstanding aspects of the solution OR the team's building journey. This story is both: we built the instrument, pointed it at ourselves, and published what it found.</w:t>
            </w:r>
          </w:p>
          <w:p>
            <w:pPr>
              <w:spacing w:after="0" w:before="0" w:line="250"/>
            </w:pPr>
            <w:r>
              <w:rPr>
                <w:rFonts w:ascii="Calibri" w:cs="Calibri" w:eastAsia="Calibri" w:hAnsi="Calibri"/>
                <w:color w:val="6B6880"/>
                <w:sz w:val="18"/>
                <w:szCs w:val="18"/>
              </w:rPr>
              <w:t xml:space="preserve">ALTERNATIVE, if the room is less compliance-led than expected: run the ordering story instead — the loop used to end by replacing the digital human with a document, at the exact moment the learner most needed a person, and we rebuilt the ending so the coach says it herself. Same length. Pick one in the 1-2-1, not on the day.</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8  ·  LOOKING TO THE FUTURE</w:t>
      </w:r>
      <w:r>
        <w:rPr>
          <w:rFonts w:ascii="Calibri" w:cs="Calibri" w:eastAsia="Calibri" w:hAnsi="Calibri"/>
          <w:b/>
          <w:bCs/>
          <w:color w:val="7C6BC4"/>
          <w:spacing w:val="30"/>
          <w:sz w:val="17"/>
          <w:szCs w:val="17"/>
        </w:rPr>
        <w:t xml:space="preserve">	45 SECONDS</w:t>
      </w:r>
    </w:p>
    <w:p>
      <w:pPr>
        <w:spacing w:after="200"/>
      </w:pPr>
      <w:r>
        <w:rPr>
          <w:rFonts w:ascii="Cambria" w:cs="Cambria" w:eastAsia="Cambria" w:hAnsi="Cambria"/>
          <w:b/>
          <w:bCs/>
          <w:color w:val="1B1733"/>
          <w:sz w:val="46"/>
          <w:szCs w:val="46"/>
        </w:rPr>
        <w:t xml:space="preserve">What happens after this room.</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1500"/>
        <w:gridCol w:w="5200"/>
        <w:gridCol w:w="8430"/>
      </w:tblGrid>
      <w:tr>
        <w:tc>
          <w:tcPr>
            <w:tcW w:type="dxa" w:w="15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7C6BC4"/>
                <w:spacing w:val="30"/>
                <w:sz w:val="17"/>
                <w:szCs w:val="17"/>
              </w:rPr>
              <w:t xml:space="preserve">NEXT</w:t>
            </w:r>
          </w:p>
        </w:tc>
        <w:tc>
          <w:tcPr>
            <w:tcW w:type="dxa" w:w="52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2"/>
                <w:szCs w:val="22"/>
              </w:rPr>
              <w:t xml:space="preserve">Clear the language variants</w:t>
            </w:r>
          </w:p>
        </w:tc>
        <w:tc>
          <w:tcPr>
            <w:tcW w:type="dxa" w:w="8430"/>
            <w:shd w:fill="F7F5FC"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Native review for the three variants still pending. We do not deploy an unreviewed variant — the gate will not let us.</w:t>
            </w:r>
          </w:p>
        </w:tc>
      </w:tr>
      <w:tr>
        <w:tc>
          <w:tcPr>
            <w:tcW w:type="dxa" w:w="15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7C6BC4"/>
                <w:spacing w:val="30"/>
                <w:sz w:val="17"/>
                <w:szCs w:val="17"/>
              </w:rPr>
              <w:t xml:space="preserve">THEN</w:t>
            </w:r>
          </w:p>
        </w:tc>
        <w:tc>
          <w:tcPr>
            <w:tcW w:type="dxa" w:w="52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2"/>
                <w:szCs w:val="22"/>
              </w:rPr>
              <w:t xml:space="preserve">Field trial with real retail investors</w:t>
            </w:r>
          </w:p>
        </w:tc>
        <w:tc>
          <w:tcPr>
            <w:tcW w:type="dxa" w:w="8430"/>
            <w:shd w:fill="FFFFFF"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Move from within-session transfer to a measured durable claim, or report honestly that it does not hold.</w:t>
            </w:r>
          </w:p>
        </w:tc>
      </w:tr>
      <w:tr>
        <w:tc>
          <w:tcPr>
            <w:tcW w:type="dxa" w:w="15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7C6BC4"/>
                <w:spacing w:val="30"/>
                <w:sz w:val="17"/>
                <w:szCs w:val="17"/>
              </w:rPr>
              <w:t xml:space="preserve">THEN</w:t>
            </w:r>
          </w:p>
        </w:tc>
        <w:tc>
          <w:tcPr>
            <w:tcW w:type="dxa" w:w="52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2"/>
                <w:szCs w:val="22"/>
              </w:rPr>
              <w:t xml:space="preserve">Anchor the element set with a regulator</w:t>
            </w:r>
          </w:p>
        </w:tc>
        <w:tc>
          <w:tcPr>
            <w:tcW w:type="dxa" w:w="8430"/>
            <w:shd w:fill="F7F5FC"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The competency elements are anchored to published investor-education principles today. The stronger version is anchored by the authority that publishes them.</w:t>
            </w:r>
          </w:p>
        </w:tc>
      </w:tr>
      <w:tr>
        <w:tc>
          <w:tcPr>
            <w:tcW w:type="dxa" w:w="15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7C6BC4"/>
                <w:spacing w:val="30"/>
                <w:sz w:val="17"/>
                <w:szCs w:val="17"/>
              </w:rPr>
              <w:t xml:space="preserve">BUILD</w:t>
            </w:r>
          </w:p>
        </w:tc>
        <w:tc>
          <w:tcPr>
            <w:tcW w:type="dxa" w:w="52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2"/>
                <w:szCs w:val="22"/>
              </w:rPr>
              <w:t xml:space="preserve">Ship governed knowledge as a signed bundle</w:t>
            </w:r>
          </w:p>
        </w:tc>
        <w:tc>
          <w:tcPr>
            <w:tcW w:type="dxa" w:w="8430"/>
            <w:shd w:fill="FFFFFF"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The approved content is versioned, exportable and carries no personal data — so it can be reviewed, and deployed, on the regulator's own terms.</w:t>
            </w:r>
          </w:p>
        </w:tc>
      </w:tr>
    </w:tbl>
    <w:p>
      <w:pPr>
        <w:spacing w:after="230"/>
      </w:pP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Forty-five seconds. Do not read all four. Say the first two properly, gesture at the last two, and stop early.</w:t>
            </w:r>
          </w:p>
          <w:p>
            <w:pPr>
              <w:spacing w:after="80" w:before="0" w:line="250"/>
            </w:pPr>
            <w:r>
              <w:rPr>
                <w:rFonts w:ascii="Calibri" w:cs="Calibri" w:eastAsia="Calibri" w:hAnsi="Calibri"/>
                <w:color w:val="6B6880"/>
                <w:sz w:val="18"/>
                <w:szCs w:val="18"/>
              </w:rPr>
              <w:t xml:space="preserve">Finishing at 6:45 reads as control. Running to 7:20 reads as a team that did not rehearse.</w:t>
            </w:r>
          </w:p>
          <w:p>
            <w:pPr>
              <w:spacing w:after="0" w:before="0" w:line="250"/>
            </w:pPr>
            <w:r>
              <w:rPr>
                <w:rFonts w:ascii="Calibri" w:cs="Calibri" w:eastAsia="Calibri" w:hAnsi="Calibri"/>
                <w:color w:val="6B6880"/>
                <w:sz w:val="18"/>
                <w:szCs w:val="18"/>
              </w:rPr>
              <w:t xml:space="preserve">End on the closing line, not on this list.</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IOSCO SLIDE 9  ·  THANK YOU  ·  OPEN THE FLOOR TO Q&amp;A</w:t>
      </w:r>
      <w:r>
        <w:rPr>
          <w:rFonts w:ascii="Calibri" w:cs="Calibri" w:eastAsia="Calibri" w:hAnsi="Calibri"/>
          <w:b/>
          <w:bCs/>
          <w:color w:val="7C6BC4"/>
          <w:spacing w:val="30"/>
          <w:sz w:val="17"/>
          <w:szCs w:val="17"/>
        </w:rPr>
        <w:t xml:space="preserve">	3 MINUTES</w:t>
      </w:r>
    </w:p>
    <w:p>
      <w:pPr>
        <w:spacing w:after="90" w:before="0" w:line="264"/>
      </w:pPr>
      <w:r>
        <w:rPr>
          <w:rFonts w:ascii="Cambria" w:cs="Cambria" w:eastAsia="Cambria" w:hAnsi="Cambria"/>
          <w:b/>
          <w:bCs/>
          <w:color w:val="1B1733"/>
          <w:sz w:val="40"/>
          <w:szCs w:val="40"/>
        </w:rPr>
        <w:t xml:space="preserve">We are not asking you to trust the model.</w:t>
      </w:r>
    </w:p>
    <w:p>
      <w:pPr>
        <w:spacing w:after="240" w:before="0" w:line="264"/>
      </w:pPr>
      <w:r>
        <w:rPr>
          <w:rFonts w:ascii="Cambria" w:cs="Cambria" w:eastAsia="Cambria" w:hAnsi="Cambria"/>
          <w:b/>
          <w:bCs/>
          <w:color w:val="5A4A96"/>
          <w:sz w:val="40"/>
          <w:szCs w:val="40"/>
        </w:rPr>
        <w:t xml:space="preserve">We are showing you the record it is allowed to produce.</w:t>
      </w:r>
    </w:p>
    <w:p>
      <w:pPr>
        <w:spacing w:after="170" w:before="0" w:line="264"/>
      </w:pPr>
      <w:r>
        <w:rPr>
          <w:rFonts w:ascii="Calibri" w:cs="Calibri" w:eastAsia="Calibri" w:hAnsi="Calibri"/>
          <w:i/>
          <w:iCs/>
          <w:color w:val="6B6880"/>
          <w:sz w:val="20"/>
          <w:szCs w:val="20"/>
        </w:rPr>
        <w:t xml:space="preserve">The six questions this audience actually asks, and the answer to each. Say the two lines above, stop, and take the room.</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5400"/>
        <w:gridCol w:w="9730"/>
      </w:tblGrid>
      <w:tr>
        <w:tc>
          <w:tcPr>
            <w:tcW w:type="dxa" w:w="5400"/>
            <w:shd w:fill="F7F5FC" w:val="clear"/>
            <w:tcMar>
              <w:top w:type="dxa" w:w="110"/>
              <w:left w:type="dxa" w:w="190"/>
              <w:bottom w:type="dxa" w:w="110"/>
              <w:right w:type="dxa" w:w="190"/>
            </w:tcMar>
            <w:vAlign w:val="top"/>
          </w:tcPr>
          <w:p>
            <w:pPr>
              <w:spacing w:after="0" w:before="0" w:line="264"/>
            </w:pPr>
            <w:r>
              <w:rPr>
                <w:rFonts w:ascii="Calibri" w:cs="Calibri" w:eastAsia="Calibri" w:hAnsi="Calibri"/>
                <w:b/>
                <w:bCs/>
                <w:color w:val="5A4A96"/>
                <w:sz w:val="20"/>
                <w:szCs w:val="20"/>
              </w:rPr>
              <w:t xml:space="preserve">“Who decides what is approved?”</w:t>
            </w:r>
          </w:p>
        </w:tc>
        <w:tc>
          <w:tcPr>
            <w:tcW w:type="dxa" w:w="9730"/>
            <w:shd w:fill="F7F5FC" w:val="clear"/>
            <w:tcMar>
              <w:top w:type="dxa" w:w="110"/>
              <w:left w:type="dxa" w:w="190"/>
              <w:bottom w:type="dxa" w:w="110"/>
              <w:right w:type="dxa" w:w="190"/>
            </w:tcMar>
            <w:vAlign w:val="top"/>
          </w:tcPr>
          <w:p>
            <w:pPr>
              <w:spacing w:after="0" w:before="0" w:line="264"/>
            </w:pPr>
            <w:r>
              <w:rPr>
                <w:rFonts w:ascii="Calibri" w:cs="Calibri" w:eastAsia="Calibri" w:hAnsi="Calibri"/>
                <w:color w:val="2A2447"/>
                <w:sz w:val="19"/>
                <w:szCs w:val="19"/>
              </w:rPr>
              <w:t xml:space="preserve">A named human reviewer in a declared role. The role is recorded on the object; the individual's name is recorded on the release event, in an append-only ledger.</w:t>
            </w:r>
          </w:p>
        </w:tc>
      </w:tr>
      <w:tr>
        <w:tc>
          <w:tcPr>
            <w:tcW w:type="dxa" w:w="5400"/>
            <w:shd w:fill="FFFFFF" w:val="clear"/>
            <w:tcMar>
              <w:top w:type="dxa" w:w="110"/>
              <w:left w:type="dxa" w:w="190"/>
              <w:bottom w:type="dxa" w:w="110"/>
              <w:right w:type="dxa" w:w="190"/>
            </w:tcMar>
            <w:vAlign w:val="top"/>
          </w:tcPr>
          <w:p>
            <w:pPr>
              <w:spacing w:after="0" w:before="0" w:line="264"/>
            </w:pPr>
            <w:r>
              <w:rPr>
                <w:rFonts w:ascii="Calibri" w:cs="Calibri" w:eastAsia="Calibri" w:hAnsi="Calibri"/>
                <w:b/>
                <w:bCs/>
                <w:color w:val="5A4A96"/>
                <w:sz w:val="20"/>
                <w:szCs w:val="20"/>
              </w:rPr>
              <w:t xml:space="preserve">“How do you know it works?”</w:t>
            </w:r>
          </w:p>
        </w:tc>
        <w:tc>
          <w:tcPr>
            <w:tcW w:type="dxa" w:w="9730"/>
            <w:shd w:fill="FFFFFF" w:val="clear"/>
            <w:tcMar>
              <w:top w:type="dxa" w:w="110"/>
              <w:left w:type="dxa" w:w="190"/>
              <w:bottom w:type="dxa" w:w="110"/>
              <w:right w:type="dxa" w:w="190"/>
            </w:tcMar>
            <w:vAlign w:val="top"/>
          </w:tcPr>
          <w:p>
            <w:pPr>
              <w:spacing w:after="0" w:before="0" w:line="264"/>
            </w:pPr>
            <w:r>
              <w:rPr>
                <w:rFonts w:ascii="Calibri" w:cs="Calibri" w:eastAsia="Calibri" w:hAnsi="Calibri"/>
                <w:color w:val="2A2447"/>
                <w:sz w:val="19"/>
                <w:szCs w:val="19"/>
              </w:rPr>
              <w:t xml:space="preserve">We do not claim that it does, durably. We measure transfer within the session and the record says so in those words. The field trial is the next milestone — do not improve this answer under pressure.</w:t>
            </w:r>
          </w:p>
        </w:tc>
      </w:tr>
      <w:tr>
        <w:tc>
          <w:tcPr>
            <w:tcW w:type="dxa" w:w="5400"/>
            <w:shd w:fill="F7F5FC" w:val="clear"/>
            <w:tcMar>
              <w:top w:type="dxa" w:w="110"/>
              <w:left w:type="dxa" w:w="190"/>
              <w:bottom w:type="dxa" w:w="110"/>
              <w:right w:type="dxa" w:w="190"/>
            </w:tcMar>
            <w:vAlign w:val="top"/>
          </w:tcPr>
          <w:p>
            <w:pPr>
              <w:spacing w:after="0" w:before="0" w:line="264"/>
            </w:pPr>
            <w:r>
              <w:rPr>
                <w:rFonts w:ascii="Calibri" w:cs="Calibri" w:eastAsia="Calibri" w:hAnsi="Calibri"/>
                <w:b/>
                <w:bCs/>
                <w:color w:val="5A4A96"/>
                <w:sz w:val="20"/>
                <w:szCs w:val="20"/>
              </w:rPr>
              <w:t xml:space="preserve">“What stops it saying something harmful?”</w:t>
            </w:r>
          </w:p>
        </w:tc>
        <w:tc>
          <w:tcPr>
            <w:tcW w:type="dxa" w:w="9730"/>
            <w:shd w:fill="F7F5FC" w:val="clear"/>
            <w:tcMar>
              <w:top w:type="dxa" w:w="110"/>
              <w:left w:type="dxa" w:w="190"/>
              <w:bottom w:type="dxa" w:w="110"/>
              <w:right w:type="dxa" w:w="190"/>
            </w:tcMar>
            <w:vAlign w:val="top"/>
          </w:tcPr>
          <w:p>
            <w:pPr>
              <w:spacing w:after="0" w:before="0" w:line="264"/>
            </w:pPr>
            <w:r>
              <w:rPr>
                <w:rFonts w:ascii="Calibri" w:cs="Calibri" w:eastAsia="Calibri" w:hAnsi="Calibri"/>
                <w:color w:val="2A2447"/>
                <w:sz w:val="19"/>
                <w:szCs w:val="19"/>
              </w:rPr>
              <w:t xml:space="preserve">It can only speak approved strings. The hard boundary is declared and proven in every deployed language before release, and the distress exit cannot be overridden.</w:t>
            </w:r>
          </w:p>
        </w:tc>
      </w:tr>
      <w:tr>
        <w:tc>
          <w:tcPr>
            <w:tcW w:type="dxa" w:w="5400"/>
            <w:shd w:fill="FFFFFF" w:val="clear"/>
            <w:tcMar>
              <w:top w:type="dxa" w:w="110"/>
              <w:left w:type="dxa" w:w="190"/>
              <w:bottom w:type="dxa" w:w="110"/>
              <w:right w:type="dxa" w:w="190"/>
            </w:tcMar>
            <w:vAlign w:val="top"/>
          </w:tcPr>
          <w:p>
            <w:pPr>
              <w:spacing w:after="0" w:before="0" w:line="264"/>
            </w:pPr>
            <w:r>
              <w:rPr>
                <w:rFonts w:ascii="Calibri" w:cs="Calibri" w:eastAsia="Calibri" w:hAnsi="Calibri"/>
                <w:b/>
                <w:bCs/>
                <w:color w:val="5A4A96"/>
                <w:sz w:val="20"/>
                <w:szCs w:val="20"/>
              </w:rPr>
              <w:t xml:space="preserve">“Isn't this just a chatbot?”</w:t>
            </w:r>
          </w:p>
        </w:tc>
        <w:tc>
          <w:tcPr>
            <w:tcW w:type="dxa" w:w="9730"/>
            <w:shd w:fill="FFFFFF" w:val="clear"/>
            <w:tcMar>
              <w:top w:type="dxa" w:w="110"/>
              <w:left w:type="dxa" w:w="190"/>
              <w:bottom w:type="dxa" w:w="110"/>
              <w:right w:type="dxa" w:w="190"/>
            </w:tcMar>
            <w:vAlign w:val="top"/>
          </w:tcPr>
          <w:p>
            <w:pPr>
              <w:spacing w:after="0" w:before="0" w:line="264"/>
            </w:pPr>
            <w:r>
              <w:rPr>
                <w:rFonts w:ascii="Calibri" w:cs="Calibri" w:eastAsia="Calibri" w:hAnsi="Calibri"/>
                <w:color w:val="2A2447"/>
                <w:sz w:val="19"/>
                <w:szCs w:val="19"/>
              </w:rPr>
              <w:t xml:space="preserve">A chatbot writes its next sentence. This selects its next sentence from a set your compliance team signed. That is the whole difference, and it is enforced in code, not in a prompt.</w:t>
            </w:r>
          </w:p>
        </w:tc>
      </w:tr>
      <w:tr>
        <w:tc>
          <w:tcPr>
            <w:tcW w:type="dxa" w:w="5400"/>
            <w:shd w:fill="F7F5FC" w:val="clear"/>
            <w:tcMar>
              <w:top w:type="dxa" w:w="110"/>
              <w:left w:type="dxa" w:w="190"/>
              <w:bottom w:type="dxa" w:w="110"/>
              <w:right w:type="dxa" w:w="190"/>
            </w:tcMar>
            <w:vAlign w:val="top"/>
          </w:tcPr>
          <w:p>
            <w:pPr>
              <w:spacing w:after="0" w:before="0" w:line="264"/>
            </w:pPr>
            <w:r>
              <w:rPr>
                <w:rFonts w:ascii="Calibri" w:cs="Calibri" w:eastAsia="Calibri" w:hAnsi="Calibri"/>
                <w:b/>
                <w:bCs/>
                <w:color w:val="5A4A96"/>
                <w:sz w:val="20"/>
                <w:szCs w:val="20"/>
              </w:rPr>
              <w:t xml:space="preserve">“What happens to the investor's data?”</w:t>
            </w:r>
          </w:p>
        </w:tc>
        <w:tc>
          <w:tcPr>
            <w:tcW w:type="dxa" w:w="9730"/>
            <w:shd w:fill="F7F5FC" w:val="clear"/>
            <w:tcMar>
              <w:top w:type="dxa" w:w="110"/>
              <w:left w:type="dxa" w:w="190"/>
              <w:bottom w:type="dxa" w:w="110"/>
              <w:right w:type="dxa" w:w="190"/>
            </w:tcMar>
            <w:vAlign w:val="top"/>
          </w:tcPr>
          <w:p>
            <w:pPr>
              <w:spacing w:after="0" w:before="0" w:line="264"/>
            </w:pPr>
            <w:r>
              <w:rPr>
                <w:rFonts w:ascii="Calibri" w:cs="Calibri" w:eastAsia="Calibri" w:hAnsi="Calibri"/>
                <w:color w:val="2A2447"/>
                <w:sz w:val="19"/>
                <w:szCs w:val="19"/>
              </w:rPr>
              <w:t xml:space="preserve">The record belongs to the investor. The governed knowledge that produced it carries no personal data at all, which is what lets it ship to a regulator's own environment.</w:t>
            </w:r>
          </w:p>
        </w:tc>
      </w:tr>
      <w:tr>
        <w:tc>
          <w:tcPr>
            <w:tcW w:type="dxa" w:w="5400"/>
            <w:shd w:fill="FFFFFF" w:val="clear"/>
            <w:tcMar>
              <w:top w:type="dxa" w:w="110"/>
              <w:left w:type="dxa" w:w="190"/>
              <w:bottom w:type="dxa" w:w="110"/>
              <w:right w:type="dxa" w:w="190"/>
            </w:tcMar>
            <w:vAlign w:val="top"/>
          </w:tcPr>
          <w:p>
            <w:pPr>
              <w:spacing w:after="0" w:before="0" w:line="264"/>
            </w:pPr>
            <w:r>
              <w:rPr>
                <w:rFonts w:ascii="Calibri" w:cs="Calibri" w:eastAsia="Calibri" w:hAnsi="Calibri"/>
                <w:b/>
                <w:bCs/>
                <w:color w:val="5A4A96"/>
                <w:sz w:val="20"/>
                <w:szCs w:val="20"/>
              </w:rPr>
              <w:t xml:space="preserve">“Why should we trust the score?”</w:t>
            </w:r>
          </w:p>
        </w:tc>
        <w:tc>
          <w:tcPr>
            <w:tcW w:type="dxa" w:w="9730"/>
            <w:shd w:fill="FFFFFF" w:val="clear"/>
            <w:tcMar>
              <w:top w:type="dxa" w:w="110"/>
              <w:left w:type="dxa" w:w="190"/>
              <w:bottom w:type="dxa" w:w="110"/>
              <w:right w:type="dxa" w:w="190"/>
            </w:tcMar>
            <w:vAlign w:val="top"/>
          </w:tcPr>
          <w:p>
            <w:pPr>
              <w:spacing w:after="0" w:before="0" w:line="264"/>
            </w:pPr>
            <w:r>
              <w:rPr>
                <w:rFonts w:ascii="Calibri" w:cs="Calibri" w:eastAsia="Calibri" w:hAnsi="Calibri"/>
                <w:color w:val="2A2447"/>
                <w:sz w:val="19"/>
                <w:szCs w:val="19"/>
              </w:rPr>
              <w:t xml:space="preserve">You shouldn't — the score is the least important thing on the record. The evidence chain underneath it is the product, and every line of it points at something the investor actually said.</w:t>
            </w:r>
          </w:p>
        </w:tc>
      </w:tr>
    </w:tbl>
    <w:p>
      <w:pPr>
        <w:spacing w:after="180"/>
      </w:pPr>
    </w:p>
    <w:tbl>
      <w:tblPr>
        <w:tblW w:type="dxa" w:w="15130"/>
        <w:tblBorders>
          <w:top w:val="none" w:color="FFFFFF" w:sz="0"/>
          <w:left w:val="single" w:color="7C6BC4" w:sz="18"/>
          <w:bottom w:val="none" w:color="FFFFFF" w:sz="0"/>
          <w:right w:val="none" w:color="FFFFFF" w:sz="0"/>
          <w:insideH w:val="none" w:color="FFFFFF" w:sz="0"/>
          <w:insideV w:val="none" w:color="FFFFFF" w:sz="0"/>
        </w:tblBorders>
      </w:tblPr>
      <w:tblGrid>
        <w:gridCol w:w="15130"/>
      </w:tblGrid>
      <w:tr>
        <w:tc>
          <w:tcPr>
            <w:tcW w:type="dxa" w:w="15130"/>
            <w:shd w:fill="F5F4F9" w:val="clear"/>
            <w:tcMar>
              <w:top w:type="dxa" w:w="150"/>
              <w:left w:type="dxa" w:w="190"/>
              <w:bottom w:type="dxa" w:w="150"/>
              <w:right w:type="dxa" w:w="190"/>
            </w:tcMar>
            <w:vAlign w:val="top"/>
          </w:tcPr>
          <w:p>
            <w:pPr>
              <w:spacing w:after="80" w:before="0" w:line="264"/>
            </w:pPr>
            <w:r>
              <w:rPr>
                <w:rFonts w:ascii="Calibri" w:cs="Calibri" w:eastAsia="Calibri" w:hAnsi="Calibri"/>
                <w:b/>
                <w:bCs/>
                <w:color w:val="5A4A96"/>
                <w:spacing w:val="30"/>
                <w:sz w:val="15"/>
                <w:szCs w:val="15"/>
              </w:rPr>
              <w:t xml:space="preserve">SPEAKER NOTES</w:t>
            </w:r>
          </w:p>
          <w:p>
            <w:pPr>
              <w:spacing w:after="80" w:before="0" w:line="250"/>
            </w:pPr>
            <w:r>
              <w:rPr>
                <w:rFonts w:ascii="Calibri" w:cs="Calibri" w:eastAsia="Calibri" w:hAnsi="Calibri"/>
                <w:color w:val="6B6880"/>
                <w:sz w:val="18"/>
                <w:szCs w:val="18"/>
              </w:rPr>
              <w:t xml:space="preserve">Say the two lines. Stop. Do not add a thank-you paragraph — the slide says it.</w:t>
            </w:r>
          </w:p>
          <w:p>
            <w:pPr>
              <w:spacing w:after="80" w:before="0" w:line="250"/>
            </w:pPr>
            <w:r>
              <w:rPr>
                <w:rFonts w:ascii="Calibri" w:cs="Calibri" w:eastAsia="Calibri" w:hAnsi="Calibri"/>
                <w:color w:val="6B6880"/>
                <w:sz w:val="18"/>
                <w:szCs w:val="18"/>
              </w:rPr>
              <w:t xml:space="preserve">Add presenter names and a contact address to this page before the deck leaves the building.</w:t>
            </w:r>
          </w:p>
          <w:p>
            <w:pPr>
              <w:spacing w:after="0" w:before="0" w:line="250"/>
            </w:pPr>
            <w:r>
              <w:rPr>
                <w:rFonts w:ascii="Calibri" w:cs="Calibri" w:eastAsia="Calibri" w:hAnsi="Calibri"/>
                <w:color w:val="6B6880"/>
                <w:sz w:val="18"/>
                <w:szCs w:val="18"/>
              </w:rPr>
              <w:t xml:space="preserve">If a question goes somewhere you cannot answer, say so and name who would answer it. Guessing in front of this room is the one unrecoverable move.</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APPENDIX A  ·  HELD FOR Q&amp;A</w:t>
      </w:r>
      <w:r>
        <w:rPr>
          <w:rFonts w:ascii="Calibri" w:cs="Calibri" w:eastAsia="Calibri" w:hAnsi="Calibri"/>
          <w:b/>
          <w:bCs/>
          <w:color w:val="7C6BC4"/>
          <w:spacing w:val="30"/>
          <w:sz w:val="17"/>
          <w:szCs w:val="17"/>
        </w:rPr>
        <w:t xml:space="preserve">	NOT PRESENTED</w:t>
      </w:r>
    </w:p>
    <w:p>
      <w:pPr>
        <w:spacing w:after="200"/>
      </w:pPr>
      <w:r>
        <w:rPr>
          <w:rFonts w:ascii="Cambria" w:cs="Cambria" w:eastAsia="Cambria" w:hAnsi="Cambria"/>
          <w:b/>
          <w:bCs/>
          <w:color w:val="1B1733"/>
          <w:sz w:val="40"/>
          <w:szCs w:val="40"/>
        </w:rPr>
        <w:t xml:space="preserve">The competency elements, and what anchors them.</w:t>
      </w:r>
    </w:p>
    <w:p>
      <w:pPr>
        <w:spacing w:after="220" w:before="0" w:line="264"/>
      </w:pPr>
      <w:r>
        <w:rPr>
          <w:rFonts w:ascii="Calibri" w:cs="Calibri" w:eastAsia="Calibri" w:hAnsi="Calibri"/>
          <w:color w:val="2A2447"/>
          <w:sz w:val="21"/>
          <w:szCs w:val="21"/>
        </w:rPr>
        <w:t xml:space="preserve">Eight elements. Each one is what a determination turns on, and each carries a published anchor — no anchor, no deployment. A single session resolves four; the rest route to the investor's retraining queue, which is what brings them back.</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5900"/>
        <w:gridCol w:w="1600"/>
        <w:gridCol w:w="220"/>
        <w:gridCol w:w="5810"/>
        <w:gridCol w:w="1600"/>
      </w:tblGrid>
      <w:tr>
        <w:tc>
          <w:tcPr>
            <w:tcW w:type="dxa" w:w="5900"/>
            <w:shd w:fill="F7F5FC"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Resists manufactured urgency</w:t>
            </w:r>
          </w:p>
        </w:tc>
        <w:tc>
          <w:tcPr>
            <w:tcW w:type="dxa" w:w="1600"/>
            <w:shd w:fill="F7F5FC"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Pressure</w:t>
            </w:r>
          </w:p>
        </w:tc>
        <w:tc>
          <w:tcPr>
            <w:tcW w:type="dxa" w:w="22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5810"/>
            <w:shd w:fill="F7F5FC"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Checks the register before committing</w:t>
            </w:r>
          </w:p>
        </w:tc>
        <w:tc>
          <w:tcPr>
            <w:tcW w:type="dxa" w:w="1600"/>
            <w:shd w:fill="F7F5FC"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Verification</w:t>
            </w:r>
          </w:p>
        </w:tc>
      </w:tr>
      <w:tr>
        <w:tc>
          <w:tcPr>
            <w:tcW w:type="dxa" w:w="5900"/>
            <w:shd w:fill="FFFFFF"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Questions authority claims</w:t>
            </w:r>
          </w:p>
        </w:tc>
        <w:tc>
          <w:tcPr>
            <w:tcW w:type="dxa" w:w="1600"/>
            <w:shd w:fill="FFFFFF"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Pressure</w:t>
            </w:r>
          </w:p>
        </w:tc>
        <w:tc>
          <w:tcPr>
            <w:tcW w:type="dxa" w:w="22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5810"/>
            <w:shd w:fill="FFFFFF"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Separates return from risk</w:t>
            </w:r>
          </w:p>
        </w:tc>
        <w:tc>
          <w:tcPr>
            <w:tcW w:type="dxa" w:w="1600"/>
            <w:shd w:fill="FFFFFF"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Reasoning</w:t>
            </w:r>
          </w:p>
        </w:tc>
      </w:tr>
      <w:tr>
        <w:tc>
          <w:tcPr>
            <w:tcW w:type="dxa" w:w="5900"/>
            <w:shd w:fill="F7F5FC"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Discounts social proof</w:t>
            </w:r>
          </w:p>
        </w:tc>
        <w:tc>
          <w:tcPr>
            <w:tcW w:type="dxa" w:w="1600"/>
            <w:shd w:fill="F7F5FC"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Pressure</w:t>
            </w:r>
          </w:p>
        </w:tc>
        <w:tc>
          <w:tcPr>
            <w:tcW w:type="dxa" w:w="22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5810"/>
            <w:shd w:fill="F7F5FC"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Tests the exit before the entry</w:t>
            </w:r>
          </w:p>
        </w:tc>
        <w:tc>
          <w:tcPr>
            <w:tcW w:type="dxa" w:w="1600"/>
            <w:shd w:fill="F7F5FC"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Reasoning</w:t>
            </w:r>
          </w:p>
        </w:tc>
      </w:tr>
      <w:tr>
        <w:tc>
          <w:tcPr>
            <w:tcW w:type="dxa" w:w="5900"/>
            <w:shd w:fill="FFFFFF"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Scrutinises payment destination</w:t>
            </w:r>
          </w:p>
        </w:tc>
        <w:tc>
          <w:tcPr>
            <w:tcW w:type="dxa" w:w="1600"/>
            <w:shd w:fill="FFFFFF"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Mechanics</w:t>
            </w:r>
          </w:p>
        </w:tc>
        <w:tc>
          <w:tcPr>
            <w:tcW w:type="dxa" w:w="22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5810"/>
            <w:shd w:fill="FFFFFF" w:val="clear"/>
            <w:tcMar>
              <w:top w:type="dxa" w:w="120"/>
              <w:left w:type="dxa" w:w="190"/>
              <w:bottom w:type="dxa" w:w="120"/>
              <w:right w:type="dxa" w:w="190"/>
            </w:tcMar>
            <w:vAlign w:val="top"/>
          </w:tcPr>
          <w:p>
            <w:pPr>
              <w:spacing w:after="0" w:before="0" w:line="264"/>
            </w:pPr>
            <w:r>
              <w:rPr>
                <w:rFonts w:ascii="Calibri" w:cs="Calibri" w:eastAsia="Calibri" w:hAnsi="Calibri"/>
                <w:b/>
                <w:bCs/>
                <w:color w:val="1B1733"/>
                <w:sz w:val="21"/>
                <w:szCs w:val="21"/>
              </w:rPr>
              <w:t xml:space="preserve">Names who bears the loss</w:t>
            </w:r>
          </w:p>
        </w:tc>
        <w:tc>
          <w:tcPr>
            <w:tcW w:type="dxa" w:w="1600"/>
            <w:shd w:fill="FFFFFF" w:val="clear"/>
            <w:tcMar>
              <w:top w:type="dxa" w:w="120"/>
              <w:left w:type="dxa" w:w="190"/>
              <w:bottom w:type="dxa" w:w="120"/>
              <w:right w:type="dxa" w:w="190"/>
            </w:tcMar>
            <w:vAlign w:val="top"/>
          </w:tcPr>
          <w:p>
            <w:pPr>
              <w:spacing w:after="0" w:before="0" w:line="264"/>
            </w:pPr>
            <w:r>
              <w:rPr>
                <w:rFonts w:ascii="Calibri" w:cs="Calibri" w:eastAsia="Calibri" w:hAnsi="Calibri"/>
                <w:color w:val="5A4A96"/>
                <w:sz w:val="18"/>
                <w:szCs w:val="18"/>
              </w:rPr>
              <w:t xml:space="preserve">Reasoning</w:t>
            </w:r>
          </w:p>
        </w:tc>
      </w:tr>
    </w:tbl>
    <w:p>
      <w:pPr>
        <w:spacing w:after="220"/>
      </w:pPr>
    </w:p>
    <w:p>
      <w:pPr>
        <w:spacing w:after="0" w:before="0" w:line="264"/>
      </w:pPr>
      <w:r>
        <w:rPr>
          <w:rFonts w:ascii="Calibri" w:cs="Calibri" w:eastAsia="Calibri" w:hAnsi="Calibri"/>
          <w:i/>
          <w:iCs/>
          <w:color w:val="6B6880"/>
          <w:sz w:val="20"/>
          <w:szCs w:val="20"/>
        </w:rPr>
        <w:t xml:space="preserve">Anchored to published investor-education principles and an international competence framework. The anchor is a field on the object, checked mechanically before release — not a claim made in a slide.</w:t>
      </w:r>
    </w:p>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APPENDIX B  ·  HELD FOR Q&amp;A</w:t>
      </w:r>
      <w:r>
        <w:rPr>
          <w:rFonts w:ascii="Calibri" w:cs="Calibri" w:eastAsia="Calibri" w:hAnsi="Calibri"/>
          <w:b/>
          <w:bCs/>
          <w:color w:val="7C6BC4"/>
          <w:spacing w:val="30"/>
          <w:sz w:val="17"/>
          <w:szCs w:val="17"/>
        </w:rPr>
        <w:t xml:space="preserve">	NOT PRESENTED</w:t>
      </w:r>
    </w:p>
    <w:p>
      <w:pPr>
        <w:spacing w:after="200"/>
      </w:pPr>
      <w:r>
        <w:rPr>
          <w:rFonts w:ascii="Cambria" w:cs="Cambria" w:eastAsia="Cambria" w:hAnsi="Cambria"/>
          <w:b/>
          <w:bCs/>
          <w:color w:val="1B1733"/>
          <w:sz w:val="40"/>
          <w:szCs w:val="40"/>
        </w:rPr>
        <w:t xml:space="preserve">How a finding is bound to what was actually said.</w:t>
      </w:r>
    </w:p>
    <w:p>
      <w:pPr>
        <w:spacing w:after="220" w:before="0" w:line="264"/>
      </w:pPr>
      <w:r>
        <w:rPr>
          <w:rFonts w:ascii="Calibri" w:cs="Calibri" w:eastAsia="Calibri" w:hAnsi="Calibri"/>
          <w:color w:val="2A2447"/>
          <w:sz w:val="21"/>
          <w:szCs w:val="21"/>
        </w:rPr>
        <w:t xml:space="preserve">Nothing on the record is generated prose. Every row resolves to four things, and the investor can see all four.</w:t>
      </w: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3640"/>
        <w:gridCol w:w="190"/>
        <w:gridCol w:w="3640"/>
        <w:gridCol w:w="190"/>
        <w:gridCol w:w="3640"/>
        <w:gridCol w:w="190"/>
        <w:gridCol w:w="3640"/>
      </w:tblGrid>
      <w:tr>
        <w:tc>
          <w:tcPr>
            <w:tcW w:type="dxa" w:w="3640"/>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1 · Element</w:t>
            </w:r>
          </w:p>
          <w:p>
            <w:pPr>
              <w:spacing w:after="0" w:before="0" w:line="264"/>
            </w:pPr>
            <w:r>
              <w:rPr>
                <w:rFonts w:ascii="Calibri" w:cs="Calibri" w:eastAsia="Calibri" w:hAnsi="Calibri"/>
                <w:color w:val="2A2447"/>
                <w:sz w:val="19"/>
                <w:szCs w:val="19"/>
              </w:rPr>
              <w:t xml:space="preserve">What the determination turns on, with its authority anchor.</w:t>
            </w:r>
          </w:p>
        </w:tc>
        <w:tc>
          <w:tcPr>
            <w:tcW w:type="dxa" w:w="19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3640"/>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2 · Object</w:t>
            </w:r>
          </w:p>
          <w:p>
            <w:pPr>
              <w:spacing w:after="0" w:before="0" w:line="264"/>
            </w:pPr>
            <w:r>
              <w:rPr>
                <w:rFonts w:ascii="Calibri" w:cs="Calibri" w:eastAsia="Calibri" w:hAnsi="Calibri"/>
                <w:color w:val="2A2447"/>
                <w:sz w:val="19"/>
                <w:szCs w:val="19"/>
              </w:rPr>
              <w:t xml:space="preserve">The approved question or challenge that elicited it, with its version.</w:t>
            </w:r>
          </w:p>
        </w:tc>
        <w:tc>
          <w:tcPr>
            <w:tcW w:type="dxa" w:w="19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3640"/>
            <w:shd w:fill="1B1733" w:val="clear"/>
            <w:tcMar>
              <w:top w:type="dxa" w:w="200"/>
              <w:left w:type="dxa" w:w="190"/>
              <w:bottom w:type="dxa" w:w="200"/>
              <w:right w:type="dxa" w:w="190"/>
            </w:tcMar>
            <w:vAlign w:val="top"/>
          </w:tcPr>
          <w:p>
            <w:pPr>
              <w:spacing w:after="90" w:before="0" w:line="264"/>
            </w:pPr>
            <w:r>
              <w:rPr>
                <w:rFonts w:ascii="Calibri" w:cs="Calibri" w:eastAsia="Calibri" w:hAnsi="Calibri"/>
                <w:b/>
                <w:bCs/>
                <w:color w:val="7C6BC4"/>
                <w:sz w:val="22"/>
                <w:szCs w:val="22"/>
              </w:rPr>
              <w:t xml:space="preserve">3 · Verbatim</w:t>
            </w:r>
          </w:p>
          <w:p>
            <w:pPr>
              <w:spacing w:after="0" w:before="0" w:line="264"/>
            </w:pPr>
            <w:r>
              <w:rPr>
                <w:rFonts w:ascii="Calibri" w:cs="Calibri" w:eastAsia="Calibri" w:hAnsi="Calibri"/>
                <w:color w:val="D8D3EA"/>
                <w:sz w:val="19"/>
                <w:szCs w:val="19"/>
              </w:rPr>
              <w:t xml:space="preserve">The investor's own sentence. Not a summary of it.</w:t>
            </w:r>
          </w:p>
        </w:tc>
        <w:tc>
          <w:tcPr>
            <w:tcW w:type="dxa" w:w="19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3640"/>
            <w:shd w:fill="F7F5FC" w:val="clear"/>
            <w:tcMar>
              <w:top w:type="dxa" w:w="200"/>
              <w:left w:type="dxa" w:w="190"/>
              <w:bottom w:type="dxa" w:w="200"/>
              <w:right w:type="dxa" w:w="190"/>
            </w:tcMar>
            <w:vAlign w:val="top"/>
          </w:tcPr>
          <w:p>
            <w:pPr>
              <w:spacing w:after="90" w:before="0" w:line="264"/>
            </w:pPr>
            <w:r>
              <w:rPr>
                <w:rFonts w:ascii="Calibri" w:cs="Calibri" w:eastAsia="Calibri" w:hAnsi="Calibri"/>
                <w:b/>
                <w:bCs/>
                <w:color w:val="5A4A96"/>
                <w:sz w:val="22"/>
                <w:szCs w:val="22"/>
              </w:rPr>
              <w:t xml:space="preserve">4 · Outcome</w:t>
            </w:r>
          </w:p>
          <w:p>
            <w:pPr>
              <w:spacing w:after="0" w:before="0" w:line="264"/>
            </w:pPr>
            <w:r>
              <w:rPr>
                <w:rFonts w:ascii="Calibri" w:cs="Calibri" w:eastAsia="Calibri" w:hAnsi="Calibri"/>
                <w:color w:val="2A2447"/>
                <w:sz w:val="19"/>
                <w:szCs w:val="19"/>
              </w:rPr>
              <w:t xml:space="preserve">Demonstrated, failed, or not testable this session — never inflated.</w:t>
            </w:r>
          </w:p>
        </w:tc>
      </w:tr>
    </w:tbl>
    <w:p>
      <w:pPr>
        <w:spacing w:after="240"/>
      </w:pP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15130"/>
      </w:tblGrid>
      <w:tr>
        <w:tc>
          <w:tcPr>
            <w:tcW w:type="dxa" w:w="15130"/>
            <w:shd w:fill="EDEAF7" w:val="clear"/>
            <w:tcMar>
              <w:top w:type="dxa" w:w="190"/>
              <w:left w:type="dxa" w:w="190"/>
              <w:bottom w:type="dxa" w:w="190"/>
              <w:right w:type="dxa" w:w="190"/>
            </w:tcMar>
            <w:vAlign w:val="top"/>
          </w:tcPr>
          <w:p>
            <w:pPr>
              <w:spacing w:after="90" w:before="0" w:line="264"/>
            </w:pPr>
            <w:r>
              <w:rPr>
                <w:rFonts w:ascii="Calibri" w:cs="Calibri" w:eastAsia="Calibri" w:hAnsi="Calibri"/>
                <w:b/>
                <w:bCs/>
                <w:color w:val="5A4A96"/>
                <w:sz w:val="22"/>
                <w:szCs w:val="22"/>
              </w:rPr>
              <w:t xml:space="preserve">Two restraints we hold on purpose</w:t>
            </w:r>
          </w:p>
          <w:p>
            <w:pPr>
              <w:pStyle w:val="ListParagraph"/>
              <w:numPr>
                <w:ilvl w:val="0"/>
                <w:numId w:val="2"/>
              </w:numPr>
              <w:spacing w:after="60" w:line="258"/>
            </w:pPr>
            <w:r>
              <w:rPr>
                <w:rFonts w:ascii="Calibri" w:cs="Calibri" w:eastAsia="Calibri" w:hAnsi="Calibri"/>
                <w:color w:val="2A2447"/>
                <w:sz w:val="20"/>
                <w:szCs w:val="20"/>
              </w:rPr>
              <w:t xml:space="preserve">The record claims within-session transfer only. It prints the rule version and states plainly that durable behaviour change is not claimed.</w:t>
            </w:r>
          </w:p>
          <w:p>
            <w:pPr>
              <w:pStyle w:val="ListParagraph"/>
              <w:numPr>
                <w:ilvl w:val="0"/>
                <w:numId w:val="2"/>
              </w:numPr>
              <w:spacing w:after="60" w:line="258"/>
            </w:pPr>
            <w:r>
              <w:rPr>
                <w:rFonts w:ascii="Calibri" w:cs="Calibri" w:eastAsia="Calibri" w:hAnsi="Calibri"/>
                <w:color w:val="2A2447"/>
                <w:sz w:val="20"/>
                <w:szCs w:val="20"/>
              </w:rPr>
              <w:t xml:space="preserve">An element the coach never explained is never credited as coached. Crediting it would overstate the record, and the record is the product.</w:t>
            </w:r>
          </w:p>
          <w:p>
            <w:pPr>
              <w:pStyle w:val="ListParagraph"/>
              <w:numPr>
                <w:ilvl w:val="0"/>
                <w:numId w:val="2"/>
              </w:numPr>
              <w:spacing w:after="0" w:line="258"/>
            </w:pPr>
            <w:r>
              <w:rPr>
                <w:rFonts w:ascii="Calibri" w:cs="Calibri" w:eastAsia="Calibri" w:hAnsi="Calibri"/>
                <w:color w:val="2A2447"/>
                <w:sz w:val="20"/>
                <w:szCs w:val="20"/>
              </w:rPr>
              <w:t xml:space="preserve">The spoken debrief is composed from these same fields, never generated — so the coach can say nothing the record cannot substantiate.</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APPENDIX C  ·  HELD FOR Q&amp;A</w:t>
      </w:r>
      <w:r>
        <w:rPr>
          <w:rFonts w:ascii="Calibri" w:cs="Calibri" w:eastAsia="Calibri" w:hAnsi="Calibri"/>
          <w:b/>
          <w:bCs/>
          <w:color w:val="7C6BC4"/>
          <w:spacing w:val="30"/>
          <w:sz w:val="17"/>
          <w:szCs w:val="17"/>
        </w:rPr>
        <w:t xml:space="preserve">	NOT PRESENTED</w:t>
      </w:r>
    </w:p>
    <w:p>
      <w:pPr>
        <w:spacing w:after="200"/>
      </w:pPr>
      <w:r>
        <w:rPr>
          <w:rFonts w:ascii="Cambria" w:cs="Cambria" w:eastAsia="Cambria" w:hAnsi="Cambria"/>
          <w:b/>
          <w:bCs/>
          <w:color w:val="1B1733"/>
          <w:sz w:val="40"/>
          <w:szCs w:val="40"/>
        </w:rPr>
        <w:t xml:space="preserve">Safety, and the limits that cannot be overridden.</w:t>
      </w:r>
    </w:p>
    <w:p>
      <w:pPr>
        <w:spacing w:after="220" w:before="0" w:line="264"/>
      </w:pPr>
      <w:r>
        <w:rPr>
          <w:rFonts w:ascii="Calibri" w:cs="Calibri" w:eastAsia="Calibri" w:hAnsi="Calibri"/>
          <w:color w:val="2A2447"/>
          <w:sz w:val="21"/>
          <w:szCs w:val="21"/>
        </w:rPr>
        <w:t xml:space="preserve">Pressure is the product. Uncontrolled pressure is a liability. Each of these is enforced in code at a named place, so a later change cannot quietly undo it.</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4600"/>
        <w:gridCol w:w="10530"/>
      </w:tblGrid>
      <w:tr>
        <w:tc>
          <w:tcPr>
            <w:tcW w:type="dxa" w:w="46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1"/>
                <w:szCs w:val="21"/>
              </w:rPr>
              <w:t xml:space="preserve">Approved ladder, hard ceiling</w:t>
            </w:r>
          </w:p>
        </w:tc>
        <w:tc>
          <w:tcPr>
            <w:tcW w:type="dxa" w:w="10530"/>
            <w:shd w:fill="F7F5FC"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The persona escalates only through approved steps, and never past the declared ceiling.</w:t>
            </w:r>
          </w:p>
        </w:tc>
      </w:tr>
      <w:tr>
        <w:tc>
          <w:tcPr>
            <w:tcW w:type="dxa" w:w="46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1"/>
                <w:szCs w:val="21"/>
              </w:rPr>
              <w:t xml:space="preserve">Distress exit</w:t>
            </w:r>
          </w:p>
        </w:tc>
        <w:tc>
          <w:tcPr>
            <w:tcW w:type="dxa" w:w="10530"/>
            <w:shd w:fill="FFFFFF"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Non-negotiable wherever pressure is applied. The persona breaks character immediately.</w:t>
            </w:r>
          </w:p>
        </w:tc>
      </w:tr>
      <w:tr>
        <w:tc>
          <w:tcPr>
            <w:tcW w:type="dxa" w:w="46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1"/>
                <w:szCs w:val="21"/>
              </w:rPr>
              <w:t xml:space="preserve">No mid-scenario correction</w:t>
            </w:r>
          </w:p>
        </w:tc>
        <w:tc>
          <w:tcPr>
            <w:tcW w:type="dxa" w:w="10530"/>
            <w:shd w:fill="F7F5FC"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The investor is allowed to make the mistake. That is where the behavioural evidence comes from.</w:t>
            </w:r>
          </w:p>
        </w:tc>
      </w:tr>
      <w:tr>
        <w:tc>
          <w:tcPr>
            <w:tcW w:type="dxa" w:w="46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1"/>
                <w:szCs w:val="21"/>
              </w:rPr>
              <w:t xml:space="preserve">The freeze rule</w:t>
            </w:r>
          </w:p>
        </w:tc>
        <w:tc>
          <w:tcPr>
            <w:tcW w:type="dxa" w:w="10530"/>
            <w:shd w:fill="FFFFFF"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The reasoning display stops updating during pressure. A failing element never flips live in front of them.</w:t>
            </w:r>
          </w:p>
        </w:tc>
      </w:tr>
      <w:tr>
        <w:tc>
          <w:tcPr>
            <w:tcW w:type="dxa" w:w="4600"/>
            <w:shd w:fill="F7F5FC"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1"/>
                <w:szCs w:val="21"/>
              </w:rPr>
              <w:t xml:space="preserve">Consent before pressure</w:t>
            </w:r>
          </w:p>
        </w:tc>
        <w:tc>
          <w:tcPr>
            <w:tcW w:type="dxa" w:w="10530"/>
            <w:shd w:fill="F7F5FC"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Entry carries an explicit act of consent to be pressured — not a menu selection buried in settings.</w:t>
            </w:r>
          </w:p>
        </w:tc>
      </w:tr>
      <w:tr>
        <w:tc>
          <w:tcPr>
            <w:tcW w:type="dxa" w:w="4600"/>
            <w:shd w:fill="FFFFFF" w:val="clear"/>
            <w:tcMar>
              <w:top w:type="dxa" w:w="130"/>
              <w:left w:type="dxa" w:w="190"/>
              <w:bottom w:type="dxa" w:w="130"/>
              <w:right w:type="dxa" w:w="190"/>
            </w:tcMar>
            <w:vAlign w:val="top"/>
          </w:tcPr>
          <w:p>
            <w:pPr>
              <w:spacing w:after="0" w:before="0" w:line="264"/>
            </w:pPr>
            <w:r>
              <w:rPr>
                <w:rFonts w:ascii="Calibri" w:cs="Calibri" w:eastAsia="Calibri" w:hAnsi="Calibri"/>
                <w:b/>
                <w:bCs/>
                <w:color w:val="5A4A96"/>
                <w:sz w:val="21"/>
                <w:szCs w:val="21"/>
              </w:rPr>
              <w:t xml:space="preserve">No adversarial content elsewhere</w:t>
            </w:r>
          </w:p>
        </w:tc>
        <w:tc>
          <w:tcPr>
            <w:tcW w:type="dxa" w:w="10530"/>
            <w:shd w:fill="FFFFFF" w:val="clear"/>
            <w:tcMar>
              <w:top w:type="dxa" w:w="130"/>
              <w:left w:type="dxa" w:w="190"/>
              <w:bottom w:type="dxa" w:w="130"/>
              <w:right w:type="dxa" w:w="190"/>
            </w:tcMar>
            <w:vAlign w:val="top"/>
          </w:tcPr>
          <w:p>
            <w:pPr>
              <w:spacing w:after="0" w:before="0" w:line="264"/>
            </w:pPr>
            <w:r>
              <w:rPr>
                <w:rFonts w:ascii="Calibri" w:cs="Calibri" w:eastAsia="Calibri" w:hAnsi="Calibri"/>
                <w:color w:val="2A2447"/>
                <w:sz w:val="20"/>
                <w:szCs w:val="20"/>
              </w:rPr>
              <w:t xml:space="preserve">Challenge objects are gated at the object level and cannot fire in any other mode.</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APPENDIX D  ·  HELD FOR Q&amp;A</w:t>
      </w:r>
      <w:r>
        <w:rPr>
          <w:rFonts w:ascii="Calibri" w:cs="Calibri" w:eastAsia="Calibri" w:hAnsi="Calibri"/>
          <w:b/>
          <w:bCs/>
          <w:color w:val="7C6BC4"/>
          <w:spacing w:val="30"/>
          <w:sz w:val="17"/>
          <w:szCs w:val="17"/>
        </w:rPr>
        <w:t xml:space="preserve">	NOT PRESENTED</w:t>
      </w:r>
    </w:p>
    <w:p>
      <w:pPr>
        <w:spacing w:after="200"/>
      </w:pPr>
      <w:r>
        <w:rPr>
          <w:rFonts w:ascii="Cambria" w:cs="Cambria" w:eastAsia="Cambria" w:hAnsi="Cambria"/>
          <w:b/>
          <w:bCs/>
          <w:color w:val="1B1733"/>
          <w:sz w:val="40"/>
          <w:szCs w:val="40"/>
        </w:rPr>
        <w:t xml:space="preserve">Four languages — and why three are not deployed.</w:t>
      </w:r>
    </w:p>
    <w:p>
      <w:pPr>
        <w:spacing w:after="220" w:before="0" w:line="264"/>
      </w:pPr>
      <w:r>
        <w:rPr>
          <w:rFonts w:ascii="Calibri" w:cs="Calibri" w:eastAsia="Calibri" w:hAnsi="Calibri"/>
          <w:color w:val="2A2447"/>
          <w:sz w:val="21"/>
          <w:szCs w:val="21"/>
        </w:rPr>
        <w:t xml:space="preserve">Language is a property of every scored determination, not a display setting. The localisation reaches into the engine: the evidence that an answer satisfied an element is itself language-specific.</w:t>
      </w:r>
    </w:p>
    <w:tbl>
      <w:tblPr>
        <w:tblW w:type="dxa" w:w="15130"/>
        <w:tblBorders>
          <w:top w:val="none" w:color="FFFFFF" w:sz="0"/>
          <w:left w:val="none" w:color="FFFFFF" w:sz="0"/>
          <w:bottom w:val="none" w:color="FFFFFF" w:sz="0"/>
          <w:right w:val="none" w:color="FFFFFF" w:sz="0"/>
          <w:insideH w:val="none" w:color="FFFFFF" w:sz="0"/>
          <w:insideV w:val="none" w:color="FFFFFF" w:sz="0"/>
        </w:tblBorders>
      </w:tblPr>
      <w:tblGrid>
        <w:gridCol w:w="3000"/>
        <w:gridCol w:w="4200"/>
        <w:gridCol w:w="320"/>
        <w:gridCol w:w="7610"/>
      </w:tblGrid>
      <w:tr>
        <w:tc>
          <w:tcPr>
            <w:tcW w:type="dxa" w:w="3000"/>
            <w:shd w:fill="F7F5FC" w:val="clear"/>
            <w:tcMar>
              <w:top w:type="dxa" w:w="190"/>
              <w:left w:type="dxa" w:w="190"/>
              <w:bottom w:type="dxa" w:w="190"/>
              <w:right w:type="dxa" w:w="190"/>
            </w:tcMar>
            <w:vAlign w:val="top"/>
          </w:tcPr>
          <w:p>
            <w:pPr>
              <w:spacing w:after="155" w:before="0" w:line="264"/>
            </w:pPr>
            <w:r>
              <w:rPr>
                <w:rFonts w:ascii="Calibri" w:cs="Calibri" w:eastAsia="Calibri" w:hAnsi="Calibri"/>
                <w:b/>
                <w:bCs/>
                <w:color w:val="1B1733"/>
                <w:sz w:val="22"/>
                <w:szCs w:val="22"/>
              </w:rPr>
              <w:t xml:space="preserve">English</w:t>
            </w:r>
          </w:p>
          <w:p>
            <w:pPr>
              <w:spacing w:after="155" w:before="0" w:line="264"/>
            </w:pPr>
            <w:r>
              <w:rPr>
                <w:rFonts w:ascii="Calibri" w:cs="Calibri" w:eastAsia="Calibri" w:hAnsi="Calibri"/>
                <w:b/>
                <w:bCs/>
                <w:color w:val="1B1733"/>
                <w:sz w:val="22"/>
                <w:szCs w:val="22"/>
              </w:rPr>
              <w:t xml:space="preserve">Spanish</w:t>
            </w:r>
          </w:p>
          <w:p>
            <w:pPr>
              <w:spacing w:after="155" w:before="0" w:line="264"/>
            </w:pPr>
            <w:r>
              <w:rPr>
                <w:rFonts w:ascii="Calibri" w:cs="Calibri" w:eastAsia="Calibri" w:hAnsi="Calibri"/>
                <w:b/>
                <w:bCs/>
                <w:color w:val="1B1733"/>
                <w:sz w:val="22"/>
                <w:szCs w:val="22"/>
              </w:rPr>
              <w:t xml:space="preserve">Chinese</w:t>
            </w:r>
          </w:p>
          <w:p>
            <w:pPr>
              <w:spacing w:after="0" w:before="0" w:line="264"/>
            </w:pPr>
            <w:r>
              <w:rPr>
                <w:rFonts w:ascii="Calibri" w:cs="Calibri" w:eastAsia="Calibri" w:hAnsi="Calibri"/>
                <w:b/>
                <w:bCs/>
                <w:color w:val="1B1733"/>
                <w:sz w:val="22"/>
                <w:szCs w:val="22"/>
              </w:rPr>
              <w:t xml:space="preserve">Arabic</w:t>
            </w:r>
          </w:p>
        </w:tc>
        <w:tc>
          <w:tcPr>
            <w:tcW w:type="dxa" w:w="4200"/>
            <w:shd w:fill="F7F5FC" w:val="clear"/>
            <w:tcMar>
              <w:top w:type="dxa" w:w="190"/>
              <w:left w:type="dxa" w:w="0"/>
              <w:bottom w:type="dxa" w:w="190"/>
              <w:right w:type="dxa" w:w="190"/>
            </w:tcMar>
            <w:vAlign w:val="top"/>
          </w:tcPr>
          <w:p>
            <w:pPr>
              <w:spacing w:after="155" w:before="0" w:line="264"/>
            </w:pPr>
            <w:r>
              <w:rPr>
                <w:rFonts w:ascii="Calibri" w:cs="Calibri" w:eastAsia="Calibri" w:hAnsi="Calibri"/>
                <w:b/>
                <w:bCs/>
                <w:color w:val="2E7D5B"/>
                <w:sz w:val="20"/>
                <w:szCs w:val="20"/>
              </w:rPr>
              <w:t xml:space="preserve">Cleared for deployment</w:t>
            </w:r>
          </w:p>
          <w:p>
            <w:pPr>
              <w:spacing w:after="155" w:before="0" w:line="264"/>
            </w:pPr>
            <w:r>
              <w:rPr>
                <w:rFonts w:ascii="Calibri" w:cs="Calibri" w:eastAsia="Calibri" w:hAnsi="Calibri"/>
                <w:b/>
                <w:bCs/>
                <w:color w:val="B5762A"/>
                <w:sz w:val="20"/>
                <w:szCs w:val="20"/>
              </w:rPr>
              <w:t xml:space="preserve">Complete · awaiting native review</w:t>
            </w:r>
          </w:p>
          <w:p>
            <w:pPr>
              <w:spacing w:after="155" w:before="0" w:line="264"/>
            </w:pPr>
            <w:r>
              <w:rPr>
                <w:rFonts w:ascii="Calibri" w:cs="Calibri" w:eastAsia="Calibri" w:hAnsi="Calibri"/>
                <w:b/>
                <w:bCs/>
                <w:color w:val="B5762A"/>
                <w:sz w:val="20"/>
                <w:szCs w:val="20"/>
              </w:rPr>
              <w:t xml:space="preserve">Complete · awaiting native review</w:t>
            </w:r>
          </w:p>
          <w:p>
            <w:pPr>
              <w:spacing w:after="0" w:before="0" w:line="264"/>
            </w:pPr>
            <w:r>
              <w:rPr>
                <w:rFonts w:ascii="Calibri" w:cs="Calibri" w:eastAsia="Calibri" w:hAnsi="Calibri"/>
                <w:b/>
                <w:bCs/>
                <w:color w:val="B5762A"/>
                <w:sz w:val="20"/>
                <w:szCs w:val="20"/>
              </w:rPr>
              <w:t xml:space="preserve">Complete · awaiting native review</w:t>
            </w:r>
          </w:p>
        </w:tc>
        <w:tc>
          <w:tcPr>
            <w:tcW w:type="dxa" w:w="320"/>
            <w:shd w:fill="FFFFFF" w:val="clear"/>
            <w:tcMar>
              <w:top w:type="dxa" w:w="150"/>
              <w:left w:type="dxa" w:w="0"/>
              <w:bottom w:type="dxa" w:w="150"/>
              <w:right w:type="dxa" w:w="190"/>
            </w:tcMar>
            <w:vAlign w:val="top"/>
          </w:tcPr>
          <w:p>
            <w:pPr>
              <w:spacing w:after="0" w:before="0" w:line="264"/>
            </w:pPr>
            <w:r>
              <w:rPr>
                <w:rFonts w:ascii="Calibri" w:cs="Calibri" w:eastAsia="Calibri" w:hAnsi="Calibri"/>
                <w:color w:val="2A2447"/>
                <w:sz w:val="21"/>
                <w:szCs w:val="21"/>
              </w:rPr>
              <w:t xml:space="preserve"/>
            </w:r>
          </w:p>
        </w:tc>
        <w:tc>
          <w:tcPr>
            <w:tcW w:type="dxa" w:w="7610"/>
            <w:shd w:fill="1B1733" w:val="clear"/>
            <w:tcMar>
              <w:top w:type="dxa" w:w="190"/>
              <w:left w:type="dxa" w:w="190"/>
              <w:bottom w:type="dxa" w:w="190"/>
              <w:right w:type="dxa" w:w="190"/>
            </w:tcMar>
            <w:vAlign w:val="top"/>
          </w:tcPr>
          <w:p>
            <w:pPr>
              <w:spacing w:after="90" w:before="0" w:line="264"/>
            </w:pPr>
            <w:r>
              <w:rPr>
                <w:rFonts w:ascii="Calibri" w:cs="Calibri" w:eastAsia="Calibri" w:hAnsi="Calibri"/>
                <w:b/>
                <w:bCs/>
                <w:color w:val="7C6BC4"/>
                <w:sz w:val="22"/>
                <w:szCs w:val="22"/>
              </w:rPr>
              <w:t xml:space="preserve">The failure this prevents</w:t>
            </w:r>
          </w:p>
          <w:p>
            <w:pPr>
              <w:spacing w:after="130" w:before="0" w:line="264"/>
            </w:pPr>
            <w:r>
              <w:rPr>
                <w:rFonts w:ascii="Calibri" w:cs="Calibri" w:eastAsia="Calibri" w:hAnsi="Calibri"/>
                <w:color w:val="D8D3EA"/>
                <w:sz w:val="20"/>
                <w:szCs w:val="20"/>
              </w:rPr>
              <w:t xml:space="preserve">Translate the interface but not the evidence rules, and every element silently fails for every investor in that language — while the screen looks perfectly localised. It is invisible in testing, and it scores a competent person as incompetent.</w:t>
            </w:r>
          </w:p>
          <w:p>
            <w:pPr>
              <w:spacing w:after="0" w:before="0" w:line="264"/>
            </w:pPr>
            <w:r>
              <w:rPr>
                <w:rFonts w:ascii="Calibri" w:cs="Calibri" w:eastAsia="Calibri" w:hAnsi="Calibri"/>
                <w:i/>
                <w:iCs/>
                <w:color w:val="9A93BC"/>
                <w:sz w:val="20"/>
                <w:szCs w:val="20"/>
              </w:rPr>
              <w:t xml:space="preserve">A variant that has not passed native review is not deployable, and the gate reports it.</w:t>
            </w:r>
          </w:p>
        </w:tc>
      </w:tr>
    </w:tbl>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APPENDIX E  ·  HELD FOR Q&amp;A</w:t>
      </w:r>
      <w:r>
        <w:rPr>
          <w:rFonts w:ascii="Calibri" w:cs="Calibri" w:eastAsia="Calibri" w:hAnsi="Calibri"/>
          <w:b/>
          <w:bCs/>
          <w:color w:val="7C6BC4"/>
          <w:spacing w:val="30"/>
          <w:sz w:val="17"/>
          <w:szCs w:val="17"/>
        </w:rPr>
        <w:t xml:space="preserve">	NOT PRESENTED</w:t>
      </w:r>
    </w:p>
    <w:p>
      <w:pPr>
        <w:spacing w:after="200"/>
      </w:pPr>
      <w:r>
        <w:rPr>
          <w:rFonts w:ascii="Cambria" w:cs="Cambria" w:eastAsia="Cambria" w:hAnsi="Cambria"/>
          <w:b/>
          <w:bCs/>
          <w:color w:val="1B1733"/>
          <w:sz w:val="40"/>
          <w:szCs w:val="40"/>
        </w:rPr>
        <w:t xml:space="preserve">The publish gate in full — ten tests, seven blocking.</w:t>
      </w:r>
    </w:p>
    <w:p>
      <w:pPr>
        <w:spacing w:after="200" w:before="0" w:line="264"/>
      </w:pPr>
      <w:r>
        <w:rPr>
          <w:rFonts w:ascii="Calibri" w:cs="Calibri" w:eastAsia="Calibri" w:hAnsi="Calibri"/>
          <w:color w:val="2A2447"/>
          <w:sz w:val="21"/>
          <w:szCs w:val="21"/>
        </w:rPr>
        <w:t xml:space="preserve">The gate is not a report generated after release. It is the condition of release, and there is no waive path.</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4000"/>
        <w:gridCol w:w="1900"/>
        <w:gridCol w:w="9230"/>
      </w:tblGrid>
      <w:tr>
        <w:trPr>
          <w:tblHeader/>
        </w:trPr>
        <w:tc>
          <w:tcPr>
            <w:tcW w:type="dxa" w:w="4000"/>
            <w:shd w:fill="EDEAF7"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18"/>
                <w:szCs w:val="18"/>
              </w:rPr>
              <w:t xml:space="preserve">Test</w:t>
            </w:r>
          </w:p>
        </w:tc>
        <w:tc>
          <w:tcPr>
            <w:tcW w:type="dxa" w:w="1900"/>
            <w:shd w:fill="EDEAF7"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18"/>
                <w:szCs w:val="18"/>
              </w:rPr>
              <w:t xml:space="preserve">Severity</w:t>
            </w:r>
          </w:p>
        </w:tc>
        <w:tc>
          <w:tcPr>
            <w:tcW w:type="dxa" w:w="9230"/>
            <w:shd w:fill="EDEAF7"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18"/>
                <w:szCs w:val="18"/>
              </w:rPr>
              <w:t xml:space="preserve">Asserts</w:t>
            </w:r>
          </w:p>
        </w:tc>
      </w:tr>
      <w:tr>
        <w:tc>
          <w:tcPr>
            <w:tcW w:type="dxa" w:w="40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Candidate set</w:t>
            </w:r>
          </w:p>
        </w:tc>
        <w:tc>
          <w:tcPr>
            <w:tcW w:type="dxa" w:w="19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At least one object has actually reached approved-and-effective.</w:t>
            </w:r>
          </w:p>
        </w:tc>
      </w:tr>
      <w:tr>
        <w:tc>
          <w:tcPr>
            <w:tcW w:type="dxa" w:w="40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Coverage</w:t>
            </w:r>
          </w:p>
        </w:tc>
        <w:tc>
          <w:tcPr>
            <w:tcW w:type="dxa" w:w="19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Every mandatory element has a question that can elicit it.</w:t>
            </w:r>
          </w:p>
        </w:tc>
      </w:tr>
      <w:tr>
        <w:tc>
          <w:tcPr>
            <w:tcW w:type="dxa" w:w="40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Anchor integrity</w:t>
            </w:r>
          </w:p>
        </w:tc>
        <w:tc>
          <w:tcPr>
            <w:tcW w:type="dxa" w:w="19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Every element binds to a clause in the anchor authority.</w:t>
            </w:r>
          </w:p>
        </w:tc>
      </w:tr>
      <w:tr>
        <w:tc>
          <w:tcPr>
            <w:tcW w:type="dxa" w:w="40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Prohibited formulation</w:t>
            </w:r>
          </w:p>
        </w:tc>
        <w:tc>
          <w:tcPr>
            <w:tcW w:type="dxa" w:w="19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No unrationalised leading question, no ladder above its ceiling.</w:t>
            </w:r>
          </w:p>
        </w:tc>
      </w:tr>
      <w:tr>
        <w:tc>
          <w:tcPr>
            <w:tcW w:type="dxa" w:w="40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Scope integrity</w:t>
            </w:r>
          </w:p>
        </w:tc>
        <w:tc>
          <w:tcPr>
            <w:tcW w:type="dxa" w:w="19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No object reachable outside its declared mode, market or doctrine.</w:t>
            </w:r>
          </w:p>
        </w:tc>
      </w:tr>
      <w:tr>
        <w:tc>
          <w:tcPr>
            <w:tcW w:type="dxa" w:w="40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Boundary refusal</w:t>
            </w:r>
          </w:p>
        </w:tc>
        <w:tc>
          <w:tcPr>
            <w:tcW w:type="dxa" w:w="19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The hard refusal is declared and proven in every deployed language.</w:t>
            </w:r>
          </w:p>
        </w:tc>
      </w:tr>
      <w:tr>
        <w:tc>
          <w:tcPr>
            <w:tcW w:type="dxa" w:w="40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Version consistency</w:t>
            </w:r>
          </w:p>
        </w:tc>
        <w:tc>
          <w:tcPr>
            <w:tcW w:type="dxa" w:w="19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A33B3B"/>
                <w:sz w:val="18"/>
                <w:szCs w:val="18"/>
              </w:rPr>
              <w:t xml:space="preserve">blocking</w:t>
            </w:r>
          </w:p>
        </w:tc>
        <w:tc>
          <w:tcPr>
            <w:tcW w:type="dxa" w:w="92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Every reference resolves inside the same released bundle.</w:t>
            </w:r>
          </w:p>
        </w:tc>
      </w:tr>
      <w:tr>
        <w:tc>
          <w:tcPr>
            <w:tcW w:type="dxa" w:w="40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Adversarial probe</w:t>
            </w:r>
          </w:p>
        </w:tc>
        <w:tc>
          <w:tcPr>
            <w:tcW w:type="dxa" w:w="19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B5762A"/>
                <w:sz w:val="18"/>
                <w:szCs w:val="18"/>
              </w:rPr>
              <w:t xml:space="preserve">advisory</w:t>
            </w:r>
          </w:p>
        </w:tc>
        <w:tc>
          <w:tcPr>
            <w:tcW w:type="dxa" w:w="92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The released set holds under hostile and leading questioning.</w:t>
            </w:r>
          </w:p>
        </w:tc>
      </w:tr>
      <w:tr>
        <w:tc>
          <w:tcPr>
            <w:tcW w:type="dxa" w:w="40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Translation fidelity</w:t>
            </w:r>
          </w:p>
        </w:tc>
        <w:tc>
          <w:tcPr>
            <w:tcW w:type="dxa" w:w="19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B5762A"/>
                <w:sz w:val="18"/>
                <w:szCs w:val="18"/>
              </w:rPr>
              <w:t xml:space="preserve">advisory</w:t>
            </w:r>
          </w:p>
        </w:tc>
        <w:tc>
          <w:tcPr>
            <w:tcW w:type="dxa" w:w="92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Every deployable variant has passed native review.</w:t>
            </w:r>
          </w:p>
        </w:tc>
      </w:tr>
      <w:tr>
        <w:tc>
          <w:tcPr>
            <w:tcW w:type="dxa" w:w="40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Traceability</w:t>
            </w:r>
          </w:p>
        </w:tc>
        <w:tc>
          <w:tcPr>
            <w:tcW w:type="dxa" w:w="19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B5762A"/>
                <w:sz w:val="18"/>
                <w:szCs w:val="18"/>
              </w:rPr>
              <w:t xml:space="preserve">advisory</w:t>
            </w:r>
          </w:p>
        </w:tc>
        <w:tc>
          <w:tcPr>
            <w:tcW w:type="dxa" w:w="92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20"/>
                <w:szCs w:val="20"/>
              </w:rPr>
              <w:t xml:space="preserve">Every determination resolves to object, version and verbatim span.</w:t>
            </w:r>
          </w:p>
        </w:tc>
      </w:tr>
    </w:tbl>
    <w:p>
      <w:pPr>
        <w:spacing w:after="180"/>
      </w:pPr>
    </w:p>
    <w:p>
      <w:pPr>
        <w:spacing w:after="0" w:before="0" w:line="264"/>
      </w:pPr>
      <w:r>
        <w:rPr>
          <w:rFonts w:ascii="Calibri" w:cs="Calibri" w:eastAsia="Calibri" w:hAnsi="Calibri"/>
          <w:i/>
          <w:iCs/>
          <w:color w:val="6B6880"/>
          <w:sz w:val="20"/>
          <w:szCs w:val="20"/>
        </w:rPr>
        <w:t xml:space="preserve">An unassessed test renders as not-applicable, never as a pass. A green tick on an empty set is the exact form of false assurance the gate exists to prevent — and it is a mistake we made once, inside the gate itself, before we caught it.</w:t>
      </w:r>
    </w:p>
    <w:p>
      <w:pPr>
        <w:pageBreakBefore/>
        <w:spacing w:after="0"/>
      </w:pPr>
    </w:p>
    <w:p>
      <w:pPr>
        <w:tabs>
          <w:tab w:val="right" w:pos="15130"/>
        </w:tabs>
        <w:spacing w:after="90"/>
      </w:pPr>
      <w:r>
        <w:rPr>
          <w:rFonts w:ascii="Calibri" w:cs="Calibri" w:eastAsia="Calibri" w:hAnsi="Calibri"/>
          <w:b/>
          <w:bCs/>
          <w:color w:val="5A4A96"/>
          <w:spacing w:val="30"/>
          <w:sz w:val="17"/>
          <w:szCs w:val="17"/>
        </w:rPr>
        <w:t xml:space="preserve">DELIVERY CHECKLIST</w:t>
      </w:r>
      <w:r>
        <w:rPr>
          <w:rFonts w:ascii="Calibri" w:cs="Calibri" w:eastAsia="Calibri" w:hAnsi="Calibri"/>
          <w:b/>
          <w:bCs/>
          <w:color w:val="7C6BC4"/>
          <w:spacing w:val="30"/>
          <w:sz w:val="17"/>
          <w:szCs w:val="17"/>
        </w:rPr>
        <w:t xml:space="preserve">	BEFORE DEMO DAY</w:t>
      </w:r>
    </w:p>
    <w:p>
      <w:pPr>
        <w:spacing w:after="200"/>
      </w:pPr>
      <w:r>
        <w:rPr>
          <w:rFonts w:ascii="Cambria" w:cs="Cambria" w:eastAsia="Cambria" w:hAnsi="Cambria"/>
          <w:b/>
          <w:bCs/>
          <w:color w:val="1B1733"/>
          <w:sz w:val="40"/>
          <w:szCs w:val="40"/>
        </w:rPr>
        <w:t xml:space="preserve">Ten things to settle before you walk in.</w:t>
      </w:r>
    </w:p>
    <w:tbl>
      <w:tblPr>
        <w:tblW w:type="dxa" w:w="15130"/>
        <w:tblBorders>
          <w:top w:val="single" w:color="D5D1E4" w:sz="3"/>
          <w:left w:val="none" w:color="FFFFFF" w:sz="0"/>
          <w:bottom w:val="single" w:color="D5D1E4" w:sz="3"/>
          <w:right w:val="none" w:color="FFFFFF" w:sz="0"/>
          <w:insideH w:val="single" w:color="D5D1E4" w:sz="2"/>
          <w:insideV w:val="none" w:color="FFFFFF" w:sz="0"/>
        </w:tblBorders>
      </w:tblPr>
      <w:tblGrid>
        <w:gridCol w:w="700"/>
        <w:gridCol w:w="6100"/>
        <w:gridCol w:w="8330"/>
      </w:tblGrid>
      <w:tr>
        <w:tc>
          <w:tcPr>
            <w:tcW w:type="dxa" w:w="7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1</w:t>
            </w:r>
          </w:p>
        </w:tc>
        <w:tc>
          <w:tcPr>
            <w:tcW w:type="dxa" w:w="61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Book the FCA 1-2-1 support session</w:t>
            </w:r>
          </w:p>
        </w:tc>
        <w:tc>
          <w:tcPr>
            <w:tcW w:type="dxa" w:w="83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Sessions run 14–25 September 2026 on Teams and that window is open now. Take it with the people who will actually present, and run the whole thing end to end — the guidance asks you to arrive ready to present even if tweaks are outstanding.</w:t>
            </w:r>
          </w:p>
        </w:tc>
      </w:tr>
      <w:tr>
        <w:tc>
          <w:tcPr>
            <w:tcW w:type="dxa" w:w="7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2</w:t>
            </w:r>
          </w:p>
        </w:tc>
        <w:tc>
          <w:tcPr>
            <w:tcW w:type="dxa" w:w="61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Get the 3 September storytelling briefing</w:t>
            </w:r>
          </w:p>
        </w:tc>
        <w:tc>
          <w:tcPr>
            <w:tcW w:type="dxa" w:w="83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The IOSCO pack points at a mentorship briefing on telling your solution's story, held 3 September 2026. If you attended, fold its steer into the Solution summary page. If not, ask the AI Lab for the notes.</w:t>
            </w:r>
          </w:p>
        </w:tc>
      </w:tr>
      <w:tr>
        <w:tc>
          <w:tcPr>
            <w:tcW w:type="dxa" w:w="7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3</w:t>
            </w:r>
          </w:p>
        </w:tc>
        <w:tc>
          <w:tcPr>
            <w:tcW w:type="dxa" w:w="61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Decide live demo or recorded</w:t>
            </w:r>
          </w:p>
        </w:tc>
        <w:tc>
          <w:tcPr>
            <w:tcW w:type="dxa" w:w="83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Recommendation: recorded, with the live build open in a second window. Two minutes of live speech recognition on conference wi-fi is the highest-variance block in the slot.</w:t>
            </w:r>
          </w:p>
        </w:tc>
      </w:tr>
      <w:tr>
        <w:tc>
          <w:tcPr>
            <w:tcW w:type="dxa" w:w="7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4</w:t>
            </w:r>
          </w:p>
        </w:tc>
        <w:tc>
          <w:tcPr>
            <w:tcW w:type="dxa" w:w="61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Get Spanish natively reviewed</w:t>
            </w:r>
          </w:p>
        </w:tc>
        <w:tc>
          <w:tcPr>
            <w:tcW w:type="dxa" w:w="83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A native speaker in the room will hear stiffness in the persona's pressure lines, and those lines have to sound like a real salesperson or the whole authentic-pressure doctrine reads as translation.</w:t>
            </w:r>
          </w:p>
        </w:tc>
      </w:tr>
      <w:tr>
        <w:tc>
          <w:tcPr>
            <w:tcW w:type="dxa" w:w="7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5</w:t>
            </w:r>
          </w:p>
        </w:tc>
        <w:tc>
          <w:tcPr>
            <w:tcW w:type="dxa" w:w="61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Add your loss statistic, or leave it out</w:t>
            </w:r>
          </w:p>
        </w:tc>
        <w:tc>
          <w:tcPr>
            <w:tcW w:type="dxa" w:w="83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Only with a citation. An unattributed number in front of regulators costs more than it buys.</w:t>
            </w:r>
          </w:p>
        </w:tc>
      </w:tr>
      <w:tr>
        <w:tc>
          <w:tcPr>
            <w:tcW w:type="dxa" w:w="7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6</w:t>
            </w:r>
          </w:p>
        </w:tc>
        <w:tc>
          <w:tcPr>
            <w:tcW w:type="dxa" w:w="61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Write the programme-engagement line</w:t>
            </w:r>
          </w:p>
        </w:tc>
        <w:tc>
          <w:tcPr>
            <w:tcW w:type="dxa" w:w="83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The FCA asks you to explain what you drew from the TechSprint programme — data, tools, support — without assuming prior knowledge. One sentence, on Solution summary or Solution detail. This is the only real gap left in this document.</w:t>
            </w:r>
          </w:p>
        </w:tc>
      </w:tr>
      <w:tr>
        <w:tc>
          <w:tcPr>
            <w:tcW w:type="dxa" w:w="7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7</w:t>
            </w:r>
          </w:p>
        </w:tc>
        <w:tc>
          <w:tcPr>
            <w:tcW w:type="dxa" w:w="61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Add presenter names and contact</w:t>
            </w:r>
          </w:p>
        </w:tc>
        <w:tc>
          <w:tcPr>
            <w:tcW w:type="dxa" w:w="83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Closing page. Confirm how BYOND Asia and HoloMe are named against your own brand rules before it leaves the building.</w:t>
            </w:r>
          </w:p>
        </w:tc>
      </w:tr>
      <w:tr>
        <w:tc>
          <w:tcPr>
            <w:tcW w:type="dxa" w:w="7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8</w:t>
            </w:r>
          </w:p>
        </w:tc>
        <w:tc>
          <w:tcPr>
            <w:tcW w:type="dxa" w:w="61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Rehearse to 6:45, not 7:00</w:t>
            </w:r>
          </w:p>
        </w:tc>
        <w:tc>
          <w:tcPr>
            <w:tcW w:type="dxa" w:w="83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Finishing early reads as control. Overrunning reads as a team that did not rehearse, and they will cut you off.</w:t>
            </w:r>
          </w:p>
        </w:tc>
      </w:tr>
      <w:tr>
        <w:tc>
          <w:tcPr>
            <w:tcW w:type="dxa" w:w="7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9</w:t>
            </w:r>
          </w:p>
        </w:tc>
        <w:tc>
          <w:tcPr>
            <w:tcW w:type="dxa" w:w="6100"/>
            <w:shd w:fill="F7F5FC"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Rehearse the demo separately, five times</w:t>
            </w:r>
          </w:p>
        </w:tc>
        <w:tc>
          <w:tcPr>
            <w:tcW w:type="dxa" w:w="8330"/>
            <w:shd w:fill="F7F5FC"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It is 29% of your total time. Everything else can be recovered from; a broken demo cannot.</w:t>
            </w:r>
          </w:p>
        </w:tc>
      </w:tr>
      <w:tr>
        <w:tc>
          <w:tcPr>
            <w:tcW w:type="dxa" w:w="7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7C6BC4"/>
                <w:sz w:val="20"/>
                <w:szCs w:val="20"/>
              </w:rPr>
              <w:t xml:space="preserve">10</w:t>
            </w:r>
          </w:p>
        </w:tc>
        <w:tc>
          <w:tcPr>
            <w:tcW w:type="dxa" w:w="6100"/>
            <w:shd w:fill="FFFFFF" w:val="clear"/>
            <w:tcMar>
              <w:top w:type="dxa" w:w="100"/>
              <w:left w:type="dxa" w:w="190"/>
              <w:bottom w:type="dxa" w:w="100"/>
              <w:right w:type="dxa" w:w="190"/>
            </w:tcMar>
            <w:vAlign w:val="top"/>
          </w:tcPr>
          <w:p>
            <w:pPr>
              <w:spacing w:after="0" w:before="0" w:line="264"/>
            </w:pPr>
            <w:r>
              <w:rPr>
                <w:rFonts w:ascii="Calibri" w:cs="Calibri" w:eastAsia="Calibri" w:hAnsi="Calibri"/>
                <w:b/>
                <w:bCs/>
                <w:color w:val="1B1733"/>
                <w:sz w:val="20"/>
                <w:szCs w:val="20"/>
              </w:rPr>
              <w:t xml:space="preserve">Pick your deep dive in the 1-2-1</w:t>
            </w:r>
          </w:p>
        </w:tc>
        <w:tc>
          <w:tcPr>
            <w:tcW w:type="dxa" w:w="8330"/>
            <w:shd w:fill="FFFFFF" w:val="clear"/>
            <w:tcMar>
              <w:top w:type="dxa" w:w="100"/>
              <w:left w:type="dxa" w:w="190"/>
              <w:bottom w:type="dxa" w:w="100"/>
              <w:right w:type="dxa" w:w="190"/>
            </w:tcMar>
            <w:vAlign w:val="top"/>
          </w:tcPr>
          <w:p>
            <w:pPr>
              <w:spacing w:after="0" w:before="0" w:line="264"/>
            </w:pPr>
            <w:r>
              <w:rPr>
                <w:rFonts w:ascii="Calibri" w:cs="Calibri" w:eastAsia="Calibri" w:hAnsi="Calibri"/>
                <w:color w:val="2A2447"/>
                <w:sz w:val="19"/>
                <w:szCs w:val="19"/>
              </w:rPr>
              <w:t xml:space="preserve">Two candidates are written: the gate that blocked us, and the ending we rebuilt so the coach speaks the assessment. Decide with the AI Lab's read of the room, not on the day.</w:t>
            </w:r>
          </w:p>
        </w:tc>
      </w:tr>
    </w:tbl>
    <w:sectPr>
      <w:headerReference w:type="first" r:id="rId7"/>
      <w:footerReference w:type="default" r:id="rId8"/>
      <w:footerReference w:type="first" r:id="rId9"/>
      <w:pgSz w:w="16838" w:h="11906" w:orient="landscape"/>
      <w:pgMar w:top="760" w:right="850" w:bottom="700" w:left="850" w:header="420" w:footer="3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1E4" w:sz="3" w:space="6"/>
      </w:pBdr>
      <w:tabs>
        <w:tab w:val="right" w:pos="15130"/>
      </w:tabs>
      <w:spacing w:after="0" w:before="0"/>
    </w:pPr>
    <w:r>
      <w:rPr>
        <w:rFonts w:ascii="Calibri" w:cs="Calibri" w:eastAsia="Calibri" w:hAnsi="Calibri"/>
        <w:b/>
        <w:bCs/>
        <w:color w:val="5A4A96"/>
        <w:sz w:val="15"/>
        <w:szCs w:val="15"/>
      </w:rPr>
      <w:t xml:space="preserve">BYOND Asia</w:t>
    </w:r>
    <w:r>
      <w:rPr>
        <w:rFonts w:ascii="Calibri" w:cs="Calibri" w:eastAsia="Calibri" w:hAnsi="Calibri"/>
        <w:color w:val="6B6880"/>
        <w:sz w:val="15"/>
        <w:szCs w:val="15"/>
      </w:rPr>
      <w:t xml:space="preserve">  ·  AUREN powered by HoloMe  ·  IOSCO TechSprint 2026</w:t>
    </w:r>
    <w:r>
      <w:rPr>
        <w:sz w:val="15"/>
        <w:szCs w:val="15"/>
      </w:rPr>
      <w:t xml:space="preserve">	</w:t>
    </w:r>
    <w:r>
      <w:rPr>
        <w:rFonts w:ascii="Calibri" w:cs="Calibri" w:eastAsia="Calibri" w:hAnsi="Calibri"/>
        <w:color w:val="6B68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447"/>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AUREN — IOSCO TechSprint Demo Day presentation</dc:title>
  <dc:creator>BYOND Asia</dc:creator>
  <dc:description>Presented by BYOND Asia. AUREN is powered by HoloMe.</dc:description>
  <cp:lastModifiedBy>Un-named</cp:lastModifiedBy>
  <cp:revision>1</cp:revision>
  <dcterms:created xsi:type="dcterms:W3CDTF">2026-09-18T02:51:08.351Z</dcterms:created>
  <dcterms:modified xsi:type="dcterms:W3CDTF">2026-09-18T02:51:08.361Z</dcterms:modified>
</cp:coreProperties>
</file>

<file path=docProps/custom.xml><?xml version="1.0" encoding="utf-8"?>
<Properties xmlns="http://schemas.openxmlformats.org/officeDocument/2006/custom-properties" xmlns:vt="http://schemas.openxmlformats.org/officeDocument/2006/docPropsVTypes"/>
</file>