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8A6A18"/>
          <w:spacing w:val="160"/>
          <w:sz w:val="20"/>
          <w:szCs w:val="20"/>
        </w:rPr>
        <w:t xml:space="preserve">BYOND ASIA</w:t>
      </w:r>
    </w:p>
    <w:p>
      <w:pPr>
        <w:pBdr>
          <w:bottom w:val="single" w:color="C9A44C" w:sz="12" w:space="8"/>
        </w:pBdr>
        <w:spacing w:after="520" w:before="40"/>
      </w:pPr>
      <w:r>
        <w:rPr>
          <w:rFonts w:ascii="Calibri" w:cs="Calibri" w:eastAsia="Calibri" w:hAnsi="Calibri"/>
          <w:color w:val="6E655C"/>
          <w:sz w:val="19"/>
          <w:szCs w:val="19"/>
        </w:rPr>
        <w:t xml:space="preserve">Project Paper</w:t>
      </w:r>
    </w:p>
    <w:p>
      <w:pPr>
        <w:spacing w:after="60"/>
      </w:pPr>
      <w:r>
        <w:rPr>
          <w:rFonts w:ascii="Georgia" w:cs="Georgia" w:eastAsia="Georgia" w:hAnsi="Georgia"/>
          <w:b/>
          <w:bCs/>
          <w:color w:val="1A1613"/>
          <w:sz w:val="60"/>
          <w:szCs w:val="60"/>
        </w:rPr>
        <w:t xml:space="preserve">L'Oréal Beauty Coach</w:t>
      </w:r>
    </w:p>
    <w:p>
      <w:pPr>
        <w:spacing w:after="340"/>
      </w:pPr>
      <w:r>
        <w:rPr>
          <w:rFonts w:ascii="Georgia" w:cs="Georgia" w:eastAsia="Georgia" w:hAnsi="Georgia"/>
          <w:i/>
          <w:iCs/>
          <w:color w:val="6E655C"/>
          <w:sz w:val="26"/>
          <w:szCs w:val="26"/>
        </w:rPr>
        <w:t xml:space="preserve">An AI digital-human coaching platform for the L'Oréal advisor network</w:t>
      </w:r>
    </w:p>
    <w:p>
      <w:pPr>
        <w:spacing w:after="520" w:line="276"/>
      </w:pPr>
      <w:r>
        <w:rPr>
          <w:rFonts w:ascii="Calibri" w:cs="Calibri" w:eastAsia="Calibri" w:hAnsi="Calibri"/>
          <w:color w:val="3D3630"/>
          <w:sz w:val="23"/>
          <w:szCs w:val="23"/>
        </w:rPr>
        <w:t xml:space="preserve">Making sure a new launch message reaches the consumer intact — in every division, every market and every language — and proving that it did.</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2400"/>
        <w:gridCol w:w="6626"/>
      </w:tblGrid>
      <w:tr>
        <w:trPr>
          <w:tblHeader/>
        </w:trPr>
        <w:tc>
          <w:tcPr>
            <w:tcW w:type="dxa" w:w="24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
            </w:r>
          </w:p>
        </w:tc>
        <w:tc>
          <w:tcPr>
            <w:tcW w:type="dxa" w:w="66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Prepared for</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L'Oréal — Brand Enablement, Regulatory and Zone leadership</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Prepared by</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BYOND Asia</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Document purpose</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Shared reference for the BYOND project team and L'Oréal stakeholders</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Status of the build</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Working system — four divisions, six languages, running end to end</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Version</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1.0</w:t>
            </w:r>
          </w:p>
        </w:tc>
      </w:tr>
    </w:tbl>
    <w:p>
      <w:pPr>
        <w:spacing w:after="300"/>
      </w:pPr>
    </w:p>
    <w:p>
      <w:pPr>
        <w:spacing w:after="160" w:line="276"/>
      </w:pPr>
      <w:r>
        <w:rPr>
          <w:rFonts w:ascii="Calibri" w:cs="Calibri" w:eastAsia="Calibri" w:hAnsi="Calibri"/>
          <w:color w:val="6E655C"/>
          <w:sz w:val="19"/>
          <w:szCs w:val="19"/>
        </w:rPr>
        <w:t xml:space="preserve">This paper describes what the product is, the problem it solves, how it works, what it delivers to each part of the L'Oréal organisation, and what we propose as a pilot. It is written to be read by commercial, technical and regulatory readers alike.</w:t>
      </w:r>
    </w:p>
    <w:p>
      <w:r>
        <w:br w:type="page"/>
      </w:r>
    </w:p>
    <w:p>
      <w:pPr>
        <w:sectPr>
          <w:pgSz w:w="11906" w:h="16838" w:orient="portrait"/>
          <w:pgMar w:top="1440" w:right="1440" w:bottom="1440" w:left="1440" w:header="708" w:footer="708" w:gutter="0"/>
          <w:pgNumType/>
          <w:docGrid w:linePitch="360"/>
        </w:sectPr>
      </w:pPr>
    </w:p>
    <w:p>
      <w:pPr>
        <w:pBdr>
          <w:bottom w:val="single" w:color="C9A44C" w:sz="6" w:space="4"/>
        </w:pBdr>
        <w:spacing w:after="60" w:before="300"/>
      </w:pPr>
      <w:r>
        <w:rPr>
          <w:rFonts w:ascii="Calibri" w:cs="Calibri" w:eastAsia="Calibri" w:hAnsi="Calibri"/>
          <w:b/>
          <w:bCs/>
          <w:color w:val="8A6A18"/>
          <w:spacing w:val="60"/>
          <w:sz w:val="16"/>
          <w:szCs w:val="16"/>
        </w:rPr>
        <w:t xml:space="preserve">EXECUTIVE SUMMARY</w:t>
      </w:r>
    </w:p>
    <w:p>
      <w:pPr>
        <w:pStyle w:val="Heading1"/>
        <w:spacing w:after="170" w:before="380"/>
      </w:pPr>
      <w:r>
        <w:rPr>
          <w:rFonts w:ascii="Georgia" w:cs="Georgia" w:eastAsia="Georgia" w:hAnsi="Georgia"/>
          <w:b/>
          <w:bCs/>
          <w:color w:val="1A1613"/>
          <w:sz w:val="30"/>
          <w:szCs w:val="30"/>
        </w:rPr>
        <w:t xml:space="preserve">In one page</w:t>
      </w:r>
    </w:p>
    <w:p>
      <w:pPr>
        <w:spacing w:after="160" w:line="276"/>
      </w:pPr>
      <w:r>
        <w:rPr>
          <w:rFonts w:ascii="Calibri" w:cs="Calibri" w:eastAsia="Calibri" w:hAnsi="Calibri"/>
          <w:b/>
          <w:bCs/>
          <w:i w:val="false"/>
          <w:iCs w:val="false"/>
          <w:color w:val="3D3630"/>
          <w:sz w:val="21"/>
          <w:szCs w:val="21"/>
        </w:rPr>
        <w:t xml:space="preserve">The problem.</w:t>
      </w:r>
      <w:r>
        <w:rPr>
          <w:rFonts w:ascii="Calibri" w:cs="Calibri" w:eastAsia="Calibri" w:hAnsi="Calibri"/>
          <w:color w:val="3D3630"/>
          <w:sz w:val="21"/>
          <w:szCs w:val="21"/>
        </w:rPr>
        <w:t xml:space="preserve"> L'Oréal writes a product claim once — in one language, cleared by legal for one market. By the time a consumer hears it, that claim has passed through zone, market, distributor and a beauty advisor standing at a shelf, usually in a different language than it was written in. Every one of those hops is a re-telling, and every re-telling is an unlogged opportunity for the message to drift. Today that drift is invisible: nobody can point to where a claim mutated, and nobody can prove it didn't.</w:t>
      </w:r>
    </w:p>
    <w:p>
      <w:pPr>
        <w:spacing w:after="160" w:line="276"/>
      </w:pPr>
      <w:r>
        <w:rPr>
          <w:rFonts w:ascii="Calibri" w:cs="Calibri" w:eastAsia="Calibri" w:hAnsi="Calibri"/>
          <w:b/>
          <w:bCs/>
          <w:i w:val="false"/>
          <w:iCs w:val="false"/>
          <w:color w:val="3D3630"/>
          <w:sz w:val="21"/>
          <w:szCs w:val="21"/>
        </w:rPr>
        <w:t xml:space="preserve">Why training does not close it.</w:t>
      </w:r>
      <w:r>
        <w:rPr>
          <w:rFonts w:ascii="Calibri" w:cs="Calibri" w:eastAsia="Calibri" w:hAnsi="Calibri"/>
          <w:color w:val="3D3630"/>
          <w:sz w:val="21"/>
          <w:szCs w:val="21"/>
        </w:rPr>
        <w:t xml:space="preserve"> A launch deck read once in a ballroom is not evidence. A quiz score is not proof that an advisor can hold approved wording under pressure from a real customer asking a real objection. And a market trainer can only be in one room at a time, while advisor turnover in mass channels is high enough to erase a launch briefing within a season.</w:t>
      </w:r>
    </w:p>
    <w:p>
      <w:pPr>
        <w:spacing w:after="160" w:line="276"/>
      </w:pPr>
      <w:r>
        <w:rPr>
          <w:rFonts w:ascii="Calibri" w:cs="Calibri" w:eastAsia="Calibri" w:hAnsi="Calibri"/>
          <w:b/>
          <w:bCs/>
          <w:i w:val="false"/>
          <w:iCs w:val="false"/>
          <w:color w:val="3D3630"/>
          <w:sz w:val="21"/>
          <w:szCs w:val="21"/>
        </w:rPr>
        <w:t xml:space="preserve">Our solution.</w:t>
      </w:r>
      <w:r>
        <w:rPr>
          <w:rFonts w:ascii="Calibri" w:cs="Calibri" w:eastAsia="Calibri" w:hAnsi="Calibri"/>
          <w:color w:val="3D3630"/>
          <w:sz w:val="21"/>
          <w:szCs w:val="21"/>
        </w:rPr>
        <w:t xml:space="preserve"> The L'Oréal Beauty Coach is a closed loop, not a chatbot. The product team publishes a launch into a governed knowledge base. Advisors book an appointment and rehearse it out loud against an AI digital human — objections, price, routine — in their own language. Every rehearsal is scored against six dimensions with the advisor's own words quoted as evidence. Those scores roll up to HQ by market, territory and distributor, and weak markets feed straight back into re-coaching.</w:t>
      </w:r>
    </w:p>
    <w:p>
      <w:pPr>
        <w:spacing w:after="160" w:line="276"/>
      </w:pPr>
      <w:r>
        <w:rPr>
          <w:rFonts w:ascii="Calibri" w:cs="Calibri" w:eastAsia="Calibri" w:hAnsi="Calibri"/>
          <w:b/>
          <w:bCs/>
          <w:i w:val="false"/>
          <w:iCs w:val="false"/>
          <w:color w:val="3D3630"/>
          <w:sz w:val="21"/>
          <w:szCs w:val="21"/>
        </w:rPr>
        <w:t xml:space="preserve">The design decision everything follows from.</w:t>
      </w:r>
      <w:r>
        <w:rPr>
          <w:rFonts w:ascii="Calibri" w:cs="Calibri" w:eastAsia="Calibri" w:hAnsi="Calibri"/>
          <w:color w:val="3D3630"/>
          <w:sz w:val="21"/>
          <w:szCs w:val="21"/>
        </w:rPr>
        <w:t xml:space="preserve"> The coach cannot make anything up. It answers only from the published launch pack and quotes approved claims verbatim — never paraphrased, never summarised, never machine-translated at runtime. Where a market has not approved wording in a language, the coach refuses to run the session and says who must approve it. That refusal is the product working correctly; it is what makes a generative system safe to put near a regulated claim.</w:t>
      </w:r>
    </w:p>
    <w:p>
      <w:pPr>
        <w:pStyle w:val="Heading2"/>
        <w:spacing w:after="110" w:before="260"/>
      </w:pPr>
      <w:r>
        <w:rPr>
          <w:rFonts w:ascii="Georgia" w:cs="Georgia" w:eastAsia="Georgia" w:hAnsi="Georgia"/>
          <w:b/>
          <w:bCs/>
          <w:color w:val="1A1613"/>
          <w:sz w:val="23"/>
          <w:szCs w:val="23"/>
        </w:rPr>
        <w:t xml:space="preserve">What is already built</w:t>
      </w:r>
    </w:p>
    <w:p>
      <w:pPr>
        <w:pStyle w:val="ListParagraph"/>
        <w:numPr>
          <w:ilvl w:val="0"/>
          <w:numId w:val="2"/>
        </w:numPr>
        <w:spacing w:after="90" w:line="276"/>
      </w:pPr>
      <w:r>
        <w:rPr>
          <w:rFonts w:ascii="Calibri" w:cs="Calibri" w:eastAsia="Calibri" w:hAnsi="Calibri"/>
          <w:color w:val="3D3630"/>
          <w:sz w:val="21"/>
          <w:szCs w:val="21"/>
        </w:rPr>
        <w:t xml:space="preserve">All four L'Oréal divisions modelled — Consumer Products, Luxe, Dermatological Beauty and Professional Products — each with its own advisor type, coaching guardrail and weighted scoring rubric.</w:t>
      </w:r>
    </w:p>
    <w:p>
      <w:pPr>
        <w:pStyle w:val="ListParagraph"/>
        <w:numPr>
          <w:ilvl w:val="0"/>
          <w:numId w:val="2"/>
        </w:numPr>
        <w:spacing w:after="90" w:line="276"/>
      </w:pPr>
      <w:r>
        <w:rPr>
          <w:rFonts w:ascii="Calibri" w:cs="Calibri" w:eastAsia="Calibri" w:hAnsi="Calibri"/>
          <w:color w:val="3D3630"/>
          <w:sz w:val="21"/>
          <w:szCs w:val="21"/>
        </w:rPr>
        <w:t xml:space="preserve">Around 37 international brands mapped to their divisions, with division resolved from the product rather than the brand name.</w:t>
      </w:r>
    </w:p>
    <w:p>
      <w:pPr>
        <w:pStyle w:val="ListParagraph"/>
        <w:numPr>
          <w:ilvl w:val="0"/>
          <w:numId w:val="2"/>
        </w:numPr>
        <w:spacing w:after="90" w:line="276"/>
      </w:pPr>
      <w:r>
        <w:rPr>
          <w:rFonts w:ascii="Calibri" w:cs="Calibri" w:eastAsia="Calibri" w:hAnsi="Calibri"/>
          <w:color w:val="3D3630"/>
          <w:sz w:val="21"/>
          <w:szCs w:val="21"/>
        </w:rPr>
        <w:t xml:space="preserve">Six languages live end to end: English, French, Arabic, Chinese, Japanese and Hindi. Every catalogue product is coachable in every one of them.</w:t>
      </w:r>
    </w:p>
    <w:p>
      <w:pPr>
        <w:pStyle w:val="ListParagraph"/>
        <w:numPr>
          <w:ilvl w:val="0"/>
          <w:numId w:val="2"/>
        </w:numPr>
        <w:spacing w:after="90" w:line="276"/>
      </w:pPr>
      <w:r>
        <w:rPr>
          <w:rFonts w:ascii="Calibri" w:cs="Calibri" w:eastAsia="Calibri" w:hAnsi="Calibri"/>
          <w:color w:val="3D3630"/>
          <w:sz w:val="21"/>
          <w:szCs w:val="21"/>
        </w:rPr>
        <w:t xml:space="preserve">The digital human speaks all six languages (HoloMe) and hears all six (Whisper), with full right-to-left support for Arabic.</w:t>
      </w:r>
    </w:p>
    <w:p>
      <w:pPr>
        <w:pStyle w:val="ListParagraph"/>
        <w:numPr>
          <w:ilvl w:val="0"/>
          <w:numId w:val="2"/>
        </w:numPr>
        <w:spacing w:after="90" w:line="276"/>
      </w:pPr>
      <w:r>
        <w:rPr>
          <w:rFonts w:ascii="Calibri" w:cs="Calibri" w:eastAsia="Calibri" w:hAnsi="Calibri"/>
          <w:color w:val="3D3630"/>
          <w:sz w:val="21"/>
          <w:szCs w:val="21"/>
        </w:rPr>
        <w:t xml:space="preserve">Four working surfaces: the Product Nexus, the Coach, the Readiness Scorecard and the Launch Readiness HQ dashboard.</w:t>
      </w:r>
    </w:p>
    <w:p>
      <w:pPr>
        <w:pStyle w:val="Heading2"/>
        <w:spacing w:after="110" w:before="260"/>
      </w:pPr>
      <w:r>
        <w:rPr>
          <w:rFonts w:ascii="Georgia" w:cs="Georgia" w:eastAsia="Georgia" w:hAnsi="Georgia"/>
          <w:b/>
          <w:bCs/>
          <w:color w:val="1A1613"/>
          <w:sz w:val="23"/>
          <w:szCs w:val="23"/>
        </w:rPr>
        <w:t xml:space="preserve">What we propose</w:t>
      </w:r>
    </w:p>
    <w:p>
      <w:pPr>
        <w:spacing w:after="160" w:line="276"/>
      </w:pPr>
      <w:r>
        <w:rPr>
          <w:rFonts w:ascii="Calibri" w:cs="Calibri" w:eastAsia="Calibri" w:hAnsi="Calibri"/>
          <w:color w:val="3D3630"/>
          <w:sz w:val="21"/>
          <w:szCs w:val="21"/>
        </w:rPr>
        <w:t xml:space="preserve">A ninety-day pilot on one real launch across two deliberately different markets — one Dermatological Beauty market in SAPMENA and one Consumer Products market in North Asia — so the strictest claim regime and the highest-volume channel are both exercised. The question the pilot answers is narrow and testable: does readiness predict launch execution?</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1</w:t>
      </w:r>
    </w:p>
    <w:p>
      <w:pPr>
        <w:pStyle w:val="Heading1"/>
        <w:spacing w:after="170" w:before="380"/>
      </w:pPr>
      <w:r>
        <w:rPr>
          <w:rFonts w:ascii="Georgia" w:cs="Georgia" w:eastAsia="Georgia" w:hAnsi="Georgia"/>
          <w:b/>
          <w:bCs/>
          <w:color w:val="1A1613"/>
          <w:sz w:val="30"/>
          <w:szCs w:val="30"/>
        </w:rPr>
        <w:t xml:space="preserve">The problem: a message that nobody can follow</w:t>
      </w:r>
    </w:p>
    <w:p>
      <w:pPr>
        <w:spacing w:after="160" w:line="276"/>
      </w:pPr>
      <w:r>
        <w:rPr>
          <w:rFonts w:ascii="Calibri" w:cs="Calibri" w:eastAsia="Calibri" w:hAnsi="Calibri"/>
          <w:color w:val="3D3630"/>
          <w:sz w:val="21"/>
          <w:szCs w:val="21"/>
        </w:rPr>
        <w:t xml:space="preserve">Every consumer-facing claim L'Oréal makes begins life as a controlled artifact. It is written, substantiated, reviewed and approved — for a specific market, under a specific regulatory regime, in a specific language. That control is real and it is expensive to produce.</w:t>
      </w:r>
    </w:p>
    <w:p>
      <w:pPr>
        <w:spacing w:after="160" w:line="276"/>
      </w:pPr>
      <w:r>
        <w:rPr>
          <w:rFonts w:ascii="Calibri" w:cs="Calibri" w:eastAsia="Calibri" w:hAnsi="Calibri"/>
          <w:color w:val="3D3630"/>
          <w:sz w:val="21"/>
          <w:szCs w:val="21"/>
        </w:rPr>
        <w:t xml:space="preserve">It is also where the control ends.</w:t>
      </w:r>
    </w:p>
    <w:p>
      <w:pPr>
        <w:pStyle w:val="Heading2"/>
        <w:spacing w:after="110" w:before="260"/>
      </w:pPr>
      <w:r>
        <w:rPr>
          <w:rFonts w:ascii="Georgia" w:cs="Georgia" w:eastAsia="Georgia" w:hAnsi="Georgia"/>
          <w:b/>
          <w:bCs/>
          <w:color w:val="1A1613"/>
          <w:sz w:val="23"/>
          <w:szCs w:val="23"/>
        </w:rPr>
        <w:t xml:space="preserve">Five hops, none of them observable</w:t>
      </w:r>
    </w:p>
    <w:p>
      <w:pPr>
        <w:spacing w:after="160" w:line="276"/>
      </w:pPr>
      <w:r>
        <w:rPr>
          <w:rFonts w:ascii="Calibri" w:cs="Calibri" w:eastAsia="Calibri" w:hAnsi="Calibri"/>
          <w:color w:val="3D3630"/>
          <w:sz w:val="21"/>
          <w:szCs w:val="21"/>
        </w:rPr>
        <w:t xml:space="preserve">From the moment the claim leaves the approval file, it travels by re-telling:</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2400"/>
        <w:gridCol w:w="6626"/>
      </w:tblGrid>
      <w:tr>
        <w:trPr>
          <w:tblHeader/>
        </w:trPr>
        <w:tc>
          <w:tcPr>
            <w:tcW w:type="dxa" w:w="24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Hop</w:t>
            </w:r>
          </w:p>
        </w:tc>
        <w:tc>
          <w:tcPr>
            <w:tcW w:type="dxa" w:w="66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happens to the message</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HQ → Zone</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Compressed into a launch deck; nuance and hedging language start to thin</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Zone → Market</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Adapted to local priorities; often translated informally at this point</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Market → Distributor</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Retold in a briefing, usually by someone who was not in the original session</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Distributor → Advisor</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Retold again, frequently second-hand and often months later</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Advisor → Consumer</w:t>
            </w:r>
          </w:p>
        </w:tc>
        <w:tc>
          <w:tcPr>
            <w:tcW w:type="dxa" w:w="6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Improvised live, under time pressure, against an objection nobody rehearsed</w:t>
            </w:r>
          </w:p>
        </w:tc>
      </w:tr>
    </w:tbl>
    <w:p>
      <w:pPr>
        <w:spacing w:after="160"/>
      </w:pPr>
    </w:p>
    <w:p>
      <w:pPr>
        <w:spacing w:after="160" w:line="276"/>
      </w:pPr>
      <w:r>
        <w:rPr>
          <w:rFonts w:ascii="Calibri" w:cs="Calibri" w:eastAsia="Calibri" w:hAnsi="Calibri"/>
          <w:color w:val="3D3630"/>
          <w:sz w:val="21"/>
          <w:szCs w:val="21"/>
        </w:rPr>
        <w:t xml:space="preserve">Each hop is reasonable in isolation. Together they form a chain in which the original wording is never checked again. A percentage gets rounded up. A hedge — "helps reduce" — hardens into a promise. A cosmetic benefit drifts into medical language. None of it is malicious; all of it is invisible.</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The core insight</w:t>
            </w:r>
          </w:p>
          <w:p>
            <w:pPr>
              <w:spacing w:after="0" w:line="276"/>
            </w:pPr>
            <w:r>
              <w:rPr>
                <w:rFonts w:ascii="Calibri" w:cs="Calibri" w:eastAsia="Calibri" w:hAnsi="Calibri"/>
                <w:color w:val="3D3630"/>
                <w:sz w:val="20"/>
                <w:szCs w:val="20"/>
              </w:rPr>
              <w:t xml:space="preserve">The message-consistency brief is really a claims-governance problem. Because approved wording is a regulatory artifact and not marketing copy, the risk is not that advisors forget the message — it is that nothing between HQ and the shop floor is observable.</w:t>
            </w:r>
          </w:p>
        </w:tc>
      </w:tr>
    </w:tbl>
    <w:p>
      <w:pPr>
        <w:spacing w:after="160"/>
      </w:pPr>
    </w:p>
    <w:p>
      <w:pPr>
        <w:pStyle w:val="Heading2"/>
        <w:spacing w:after="110" w:before="260"/>
      </w:pPr>
      <w:r>
        <w:rPr>
          <w:rFonts w:ascii="Georgia" w:cs="Georgia" w:eastAsia="Georgia" w:hAnsi="Georgia"/>
          <w:b/>
          <w:bCs/>
          <w:color w:val="1A1613"/>
          <w:sz w:val="23"/>
          <w:szCs w:val="23"/>
        </w:rPr>
        <w:t xml:space="preserve">Three consequences L'Oréal is carrying today</w:t>
      </w:r>
    </w:p>
    <w:p>
      <w:pPr>
        <w:pStyle w:val="Heading3"/>
        <w:spacing w:after="80" w:before="200"/>
      </w:pPr>
      <w:r>
        <w:rPr>
          <w:rFonts w:ascii="Calibri" w:cs="Calibri" w:eastAsia="Calibri" w:hAnsi="Calibri"/>
          <w:b/>
          <w:bCs/>
          <w:color w:val="8A6A18"/>
          <w:sz w:val="21"/>
          <w:szCs w:val="21"/>
        </w:rPr>
        <w:t xml:space="preserve">1. Regulatory exposure that cannot be located</w:t>
      </w:r>
    </w:p>
    <w:p>
      <w:pPr>
        <w:spacing w:after="160" w:line="276"/>
      </w:pPr>
      <w:r>
        <w:rPr>
          <w:rFonts w:ascii="Calibri" w:cs="Calibri" w:eastAsia="Calibri" w:hAnsi="Calibri"/>
          <w:color w:val="3D3630"/>
          <w:sz w:val="21"/>
          <w:szCs w:val="21"/>
        </w:rPr>
        <w:t xml:space="preserve">If a market regulator queries what an advisor told a consumer, there is no record. The organisation can produce the approved claim and the training deck, but nothing that connects them to the words actually spoken at a counter. In Dermatological Beauty — where the line between a cosmetic and a medicinal claim is legally sharp and varies by market — that gap is the most expensive one on this list.</w:t>
      </w:r>
    </w:p>
    <w:p>
      <w:pPr>
        <w:pStyle w:val="Heading3"/>
        <w:spacing w:after="80" w:before="200"/>
      </w:pPr>
      <w:r>
        <w:rPr>
          <w:rFonts w:ascii="Calibri" w:cs="Calibri" w:eastAsia="Calibri" w:hAnsi="Calibri"/>
          <w:b/>
          <w:bCs/>
          <w:color w:val="8A6A18"/>
          <w:sz w:val="21"/>
          <w:szCs w:val="21"/>
        </w:rPr>
        <w:t xml:space="preserve">2. Launch performance that is diagnosed too late</w:t>
      </w:r>
    </w:p>
    <w:p>
      <w:pPr>
        <w:spacing w:after="160" w:line="276"/>
      </w:pPr>
      <w:r>
        <w:rPr>
          <w:rFonts w:ascii="Calibri" w:cs="Calibri" w:eastAsia="Calibri" w:hAnsi="Calibri"/>
          <w:color w:val="3D3630"/>
          <w:sz w:val="21"/>
          <w:szCs w:val="21"/>
        </w:rPr>
        <w:t xml:space="preserve">Sell-out data tells you a launch underperformed roughly a month after you could have done anything about it, and it does not tell you why. A market that missed its number because the message never landed looks identical, in the data, to a market that missed it because of stock or pricing.</w:t>
      </w:r>
    </w:p>
    <w:p>
      <w:pPr>
        <w:pStyle w:val="Heading3"/>
        <w:spacing w:after="80" w:before="200"/>
      </w:pPr>
      <w:r>
        <w:rPr>
          <w:rFonts w:ascii="Calibri" w:cs="Calibri" w:eastAsia="Calibri" w:hAnsi="Calibri"/>
          <w:b/>
          <w:bCs/>
          <w:color w:val="8A6A18"/>
          <w:sz w:val="21"/>
          <w:szCs w:val="21"/>
        </w:rPr>
        <w:t xml:space="preserve">3. Training capacity that cannot scale</w:t>
      </w:r>
    </w:p>
    <w:p>
      <w:pPr>
        <w:spacing w:after="160" w:line="276"/>
      </w:pPr>
      <w:r>
        <w:rPr>
          <w:rFonts w:ascii="Calibri" w:cs="Calibri" w:eastAsia="Calibri" w:hAnsi="Calibri"/>
          <w:color w:val="3D3630"/>
          <w:sz w:val="21"/>
          <w:szCs w:val="21"/>
        </w:rPr>
        <w:t xml:space="preserve">Coaching quality is bounded by trainer headcount. A market trainer runs a handful of sessions a week; advisor turnover in mass channels routinely exceeds that. The result is a structural gap between the number of people who need launch knowledge and the number who can be given it properly — and the gap is widest in exactly the channels with the highest consumer contact.</w:t>
      </w:r>
    </w:p>
    <w:p>
      <w:pPr>
        <w:pStyle w:val="Heading2"/>
        <w:spacing w:after="110" w:before="260"/>
      </w:pPr>
      <w:r>
        <w:rPr>
          <w:rFonts w:ascii="Georgia" w:cs="Georgia" w:eastAsia="Georgia" w:hAnsi="Georgia"/>
          <w:b/>
          <w:bCs/>
          <w:color w:val="1A1613"/>
          <w:sz w:val="23"/>
          <w:szCs w:val="23"/>
        </w:rPr>
        <w:t xml:space="preserve">What good would look like</w:t>
      </w:r>
    </w:p>
    <w:p>
      <w:pPr>
        <w:spacing w:after="160" w:line="276"/>
      </w:pPr>
      <w:r>
        <w:rPr>
          <w:rFonts w:ascii="Calibri" w:cs="Calibri" w:eastAsia="Calibri" w:hAnsi="Calibri"/>
          <w:color w:val="3D3630"/>
          <w:sz w:val="21"/>
          <w:szCs w:val="21"/>
        </w:rPr>
        <w:t xml:space="preserve">Three things, none of which exist today:</w:t>
      </w:r>
    </w:p>
    <w:p>
      <w:pPr>
        <w:pStyle w:val="ListParagraph"/>
        <w:numPr>
          <w:ilvl w:val="0"/>
          <w:numId w:val="3"/>
        </w:numPr>
        <w:spacing w:after="90" w:line="276"/>
      </w:pPr>
      <w:r>
        <w:rPr>
          <w:rFonts w:ascii="Calibri" w:cs="Calibri" w:eastAsia="Calibri" w:hAnsi="Calibri"/>
          <w:color w:val="3D3630"/>
          <w:sz w:val="21"/>
          <w:szCs w:val="21"/>
        </w:rPr>
        <w:t xml:space="preserve">Every advisor rehearses the launch out loud, in their own language, before they meet a customer — not once as a group, but as often as they need.</w:t>
      </w:r>
    </w:p>
    <w:p>
      <w:pPr>
        <w:pStyle w:val="ListParagraph"/>
        <w:numPr>
          <w:ilvl w:val="0"/>
          <w:numId w:val="3"/>
        </w:numPr>
        <w:spacing w:after="90" w:line="276"/>
      </w:pPr>
      <w:r>
        <w:rPr>
          <w:rFonts w:ascii="Calibri" w:cs="Calibri" w:eastAsia="Calibri" w:hAnsi="Calibri"/>
          <w:color w:val="3D3630"/>
          <w:sz w:val="21"/>
          <w:szCs w:val="21"/>
        </w:rPr>
        <w:t xml:space="preserve">Every rehearsal produces evidence: what the advisor actually said, measured against the approved wording, with the quote attached.</w:t>
      </w:r>
    </w:p>
    <w:p>
      <w:pPr>
        <w:pStyle w:val="ListParagraph"/>
        <w:numPr>
          <w:ilvl w:val="0"/>
          <w:numId w:val="3"/>
        </w:numPr>
        <w:spacing w:after="90" w:line="276"/>
      </w:pPr>
      <w:r>
        <w:rPr>
          <w:rFonts w:ascii="Calibri" w:cs="Calibri" w:eastAsia="Calibri" w:hAnsi="Calibri"/>
          <w:color w:val="3D3630"/>
          <w:sz w:val="21"/>
          <w:szCs w:val="21"/>
        </w:rPr>
        <w:t xml:space="preserve">HQ can see readiness by market before the launch goes live, and act on it while acting still matters.</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2</w:t>
      </w:r>
    </w:p>
    <w:p>
      <w:pPr>
        <w:pStyle w:val="Heading1"/>
        <w:spacing w:after="170" w:before="380"/>
      </w:pPr>
      <w:r>
        <w:rPr>
          <w:rFonts w:ascii="Georgia" w:cs="Georgia" w:eastAsia="Georgia" w:hAnsi="Georgia"/>
          <w:b/>
          <w:bCs/>
          <w:color w:val="1A1613"/>
          <w:sz w:val="30"/>
          <w:szCs w:val="30"/>
        </w:rPr>
        <w:t xml:space="preserve">Understanding the ecosystem we are building for</w:t>
      </w:r>
    </w:p>
    <w:p>
      <w:pPr>
        <w:spacing w:after="160" w:line="276"/>
      </w:pPr>
      <w:r>
        <w:rPr>
          <w:rFonts w:ascii="Calibri" w:cs="Calibri" w:eastAsia="Calibri" w:hAnsi="Calibri"/>
          <w:color w:val="3D3630"/>
          <w:sz w:val="21"/>
          <w:szCs w:val="21"/>
        </w:rPr>
        <w:t xml:space="preserve">Any system that coaches L'Oréal advisors has to start from an uncomfortable fact: L'Oréal is not one training problem. It is four distribution businesses that share a logo. Each sells through a different person, in a different environment, under a different claim regime. A single coaching persona and a single scorecard cannot serve all four, and a product that pretends otherwise will be wrong in three of them.</w:t>
      </w:r>
    </w:p>
    <w:p>
      <w:pPr>
        <w:pStyle w:val="Heading2"/>
        <w:spacing w:after="110" w:before="260"/>
      </w:pPr>
      <w:r>
        <w:rPr>
          <w:rFonts w:ascii="Georgia" w:cs="Georgia" w:eastAsia="Georgia" w:hAnsi="Georgia"/>
          <w:b/>
          <w:bCs/>
          <w:color w:val="1A1613"/>
          <w:sz w:val="23"/>
          <w:szCs w:val="23"/>
        </w:rPr>
        <w:t xml:space="preserve">The four divisions</w:t>
      </w:r>
    </w:p>
    <w:p>
      <w:pPr>
        <w:spacing w:after="160" w:line="276"/>
      </w:pPr>
      <w:r>
        <w:rPr>
          <w:rFonts w:ascii="Calibri" w:cs="Calibri" w:eastAsia="Calibri" w:hAnsi="Calibri"/>
          <w:color w:val="3D3630"/>
          <w:sz w:val="21"/>
          <w:szCs w:val="21"/>
        </w:rPr>
        <w:t xml:space="preserve">L'Oréal reports through four operating divisions. These are not market segments of one business — they are four separate routes to the consumer, with different people standing at the end of each.</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1900"/>
        <w:gridCol w:w="2700"/>
        <w:gridCol w:w="2300"/>
        <w:gridCol w:w="2126"/>
      </w:tblGrid>
      <w:tr>
        <w:trPr>
          <w:tblHeader/>
        </w:trPr>
        <w:tc>
          <w:tcPr>
            <w:tcW w:type="dxa" w:w="19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Division</w:t>
            </w:r>
          </w:p>
        </w:tc>
        <w:tc>
          <w:tcPr>
            <w:tcW w:type="dxa" w:w="27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Who the advisor actually is</w:t>
            </w:r>
          </w:p>
        </w:tc>
        <w:tc>
          <w:tcPr>
            <w:tcW w:type="dxa" w:w="23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Claim regime</w:t>
            </w:r>
          </w:p>
        </w:tc>
        <w:tc>
          <w:tcPr>
            <w:tcW w:type="dxa" w:w="21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fails first</w:t>
            </w:r>
          </w:p>
        </w:tc>
      </w:tr>
      <w:tr>
        <w:tc>
          <w:tcPr>
            <w:tcW w:type="dxa" w:w="1900"/>
            <w:tcMar>
              <w:top w:type="dxa" w:w="90"/>
              <w:left w:type="dxa" w:w="130"/>
              <w:bottom w:type="dxa" w:w="90"/>
              <w:right w:type="dxa" w:w="130"/>
            </w:tcMar>
          </w:tcPr>
          <w:p>
            <w:pPr>
              <w:spacing w:after="0" w:line="260"/>
            </w:pPr>
            <w:r>
              <w:rPr>
                <w:rFonts w:ascii="Calibri" w:cs="Calibri" w:eastAsia="Calibri" w:hAnsi="Calibri"/>
                <w:b/>
                <w:bCs/>
                <w:i w:val="false"/>
                <w:iCs w:val="false"/>
                <w:color w:val="A8355B"/>
                <w:sz w:val="19"/>
                <w:szCs w:val="19"/>
              </w:rPr>
              <w:t xml:space="preserve">Consumer Products</w:t>
            </w:r>
            <w:r>
              <w:rPr>
                <w:rFonts w:ascii="Calibri" w:cs="Calibri" w:eastAsia="Calibri" w:hAnsi="Calibri"/>
                <w:b w:val="false"/>
                <w:bCs w:val="false"/>
                <w:i w:val="false"/>
                <w:iCs w:val="false"/>
                <w:color w:val="3D3630"/>
                <w:sz w:val="19"/>
                <w:szCs w:val="19"/>
              </w:rPr>
              <w:t xml:space="preserve"> Mass &amp; drugstore</w:t>
            </w:r>
          </w:p>
        </w:tc>
        <w:tc>
          <w:tcPr>
            <w:tcW w:type="dxa" w:w="2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Retail promoter or brand ambassador, often employed by the distributor, working a shelf in a hypermarket or drugstore. Contact measured in seconds.</w:t>
            </w:r>
          </w:p>
        </w:tc>
        <w:tc>
          <w:tcPr>
            <w:tcW w:type="dxa" w:w="2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General cosmetic advertising rules; heavy scrutiny of performance percentages and before/after language.</w:t>
            </w:r>
          </w:p>
        </w:tc>
        <w:tc>
          <w:tcPr>
            <w:tcW w:type="dxa" w:w="21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Over-claiming to close fast; inventing a benefit the pack does not carry.</w:t>
            </w:r>
          </w:p>
        </w:tc>
      </w:tr>
      <w:tr>
        <w:tc>
          <w:tcPr>
            <w:tcW w:type="dxa" w:w="1900"/>
            <w:tcMar>
              <w:top w:type="dxa" w:w="90"/>
              <w:left w:type="dxa" w:w="130"/>
              <w:bottom w:type="dxa" w:w="90"/>
              <w:right w:type="dxa" w:w="130"/>
            </w:tcMar>
          </w:tcPr>
          <w:p>
            <w:pPr>
              <w:spacing w:after="0" w:line="260"/>
            </w:pPr>
            <w:r>
              <w:rPr>
                <w:rFonts w:ascii="Calibri" w:cs="Calibri" w:eastAsia="Calibri" w:hAnsi="Calibri"/>
                <w:b/>
                <w:bCs/>
                <w:i w:val="false"/>
                <w:iCs w:val="false"/>
                <w:color w:val="5F4A93"/>
                <w:sz w:val="19"/>
                <w:szCs w:val="19"/>
              </w:rPr>
              <w:t xml:space="preserve">L'Oréal Luxe</w:t>
            </w:r>
            <w:r>
              <w:rPr>
                <w:rFonts w:ascii="Calibri" w:cs="Calibri" w:eastAsia="Calibri" w:hAnsi="Calibri"/>
                <w:b w:val="false"/>
                <w:bCs w:val="false"/>
                <w:i w:val="false"/>
                <w:iCs w:val="false"/>
                <w:color w:val="3D3630"/>
                <w:sz w:val="19"/>
                <w:szCs w:val="19"/>
              </w:rPr>
              <w:t xml:space="preserve"> Selective &amp; travel retail</w:t>
            </w:r>
          </w:p>
        </w:tc>
        <w:tc>
          <w:tcPr>
            <w:tcW w:type="dxa" w:w="2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Counter beauty advisor in a department store, perfumery, boutique or airport — trained, uniformed, working a service ritual.</w:t>
            </w:r>
          </w:p>
        </w:tc>
        <w:tc>
          <w:tcPr>
            <w:tcW w:type="dxa" w:w="2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Cosmetic rules plus tight brand codes: tone, vocabulary and story are as governed as the claim itself.</w:t>
            </w:r>
          </w:p>
        </w:tc>
        <w:tc>
          <w:tcPr>
            <w:tcW w:type="dxa" w:w="21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Off-brand register — the right fact delivered in the wrong voice devalues the product.</w:t>
            </w:r>
          </w:p>
        </w:tc>
      </w:tr>
      <w:tr>
        <w:tc>
          <w:tcPr>
            <w:tcW w:type="dxa" w:w="1900"/>
            <w:tcMar>
              <w:top w:type="dxa" w:w="90"/>
              <w:left w:type="dxa" w:w="130"/>
              <w:bottom w:type="dxa" w:w="90"/>
              <w:right w:type="dxa" w:w="130"/>
            </w:tcMar>
          </w:tcPr>
          <w:p>
            <w:pPr>
              <w:spacing w:after="0" w:line="260"/>
            </w:pPr>
            <w:r>
              <w:rPr>
                <w:rFonts w:ascii="Calibri" w:cs="Calibri" w:eastAsia="Calibri" w:hAnsi="Calibri"/>
                <w:b/>
                <w:bCs/>
                <w:i w:val="false"/>
                <w:iCs w:val="false"/>
                <w:color w:val="1F6070"/>
                <w:sz w:val="19"/>
                <w:szCs w:val="19"/>
              </w:rPr>
              <w:t xml:space="preserve">Dermatological Beauty</w:t>
            </w:r>
            <w:r>
              <w:rPr>
                <w:rFonts w:ascii="Calibri" w:cs="Calibri" w:eastAsia="Calibri" w:hAnsi="Calibri"/>
                <w:b w:val="false"/>
                <w:bCs w:val="false"/>
                <w:i w:val="false"/>
                <w:iCs w:val="false"/>
                <w:color w:val="3D3630"/>
                <w:sz w:val="19"/>
                <w:szCs w:val="19"/>
              </w:rPr>
              <w:t xml:space="preserve"> Pharmacy &amp; medical</w:t>
            </w:r>
          </w:p>
        </w:tc>
        <w:tc>
          <w:tcPr>
            <w:tcW w:type="dxa" w:w="2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Pharmacist, pharmacy assistant or clinic staffer, often advising a customer with an actual skin condition, sometimes already on a prescription.</w:t>
            </w:r>
          </w:p>
        </w:tc>
        <w:tc>
          <w:tcPr>
            <w:tcW w:type="dxa" w:w="2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strictest. Health-adjacent wording, clinical substantiation, and a cosmetic/medicine boundary that moves between markets.</w:t>
            </w:r>
          </w:p>
        </w:tc>
        <w:tc>
          <w:tcPr>
            <w:tcW w:type="dxa" w:w="21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Drifting into treatment or cure language — the one failure with regulatory consequences.</w:t>
            </w:r>
          </w:p>
        </w:tc>
      </w:tr>
      <w:tr>
        <w:tc>
          <w:tcPr>
            <w:tcW w:type="dxa" w:w="1900"/>
            <w:tcMar>
              <w:top w:type="dxa" w:w="90"/>
              <w:left w:type="dxa" w:w="130"/>
              <w:bottom w:type="dxa" w:w="90"/>
              <w:right w:type="dxa" w:w="130"/>
            </w:tcMar>
          </w:tcPr>
          <w:p>
            <w:pPr>
              <w:spacing w:after="0" w:line="260"/>
            </w:pPr>
            <w:r>
              <w:rPr>
                <w:rFonts w:ascii="Calibri" w:cs="Calibri" w:eastAsia="Calibri" w:hAnsi="Calibri"/>
                <w:b/>
                <w:bCs/>
                <w:i w:val="false"/>
                <w:iCs w:val="false"/>
                <w:color w:val="7A6224"/>
                <w:sz w:val="19"/>
                <w:szCs w:val="19"/>
              </w:rPr>
              <w:t xml:space="preserve">Professional Products</w:t>
            </w:r>
            <w:r>
              <w:rPr>
                <w:rFonts w:ascii="Calibri" w:cs="Calibri" w:eastAsia="Calibri" w:hAnsi="Calibri"/>
                <w:b w:val="false"/>
                <w:bCs w:val="false"/>
                <w:i w:val="false"/>
                <w:iCs w:val="false"/>
                <w:color w:val="3D3630"/>
                <w:sz w:val="19"/>
                <w:szCs w:val="19"/>
              </w:rPr>
              <w:t xml:space="preserve"> Salon &amp; stylist</w:t>
            </w:r>
          </w:p>
        </w:tc>
        <w:tc>
          <w:tcPr>
            <w:tcW w:type="dxa" w:w="2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Hairdresser or colourist who both uses the product and sells it, and who owns the client relationship outright.</w:t>
            </w:r>
          </w:p>
        </w:tc>
        <w:tc>
          <w:tcPr>
            <w:tcW w:type="dxa" w:w="2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Professional and technical substantiation: process, mixing ratios and service protocol as much as end-benefit.</w:t>
            </w:r>
          </w:p>
        </w:tc>
        <w:tc>
          <w:tcPr>
            <w:tcW w:type="dxa" w:w="21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Technical error in the service, then reciting consumer marketing to a professional peer.</w:t>
            </w:r>
          </w:p>
        </w:tc>
      </w:tr>
    </w:tbl>
    <w:p>
      <w:pPr>
        <w:spacing w:after="200"/>
      </w:pPr>
    </w:p>
    <w:p>
      <w:pPr>
        <w:pStyle w:val="Heading2"/>
        <w:spacing w:after="110" w:before="260"/>
      </w:pPr>
      <w:r>
        <w:rPr>
          <w:rFonts w:ascii="Georgia" w:cs="Georgia" w:eastAsia="Georgia" w:hAnsi="Georgia"/>
          <w:b/>
          <w:bCs/>
          <w:color w:val="1A1613"/>
          <w:sz w:val="23"/>
          <w:szCs w:val="23"/>
        </w:rPr>
        <w:t xml:space="preserve">Around 37 brands, each inheriting its division's rules</w:t>
      </w:r>
    </w:p>
    <w:p>
      <w:pPr>
        <w:spacing w:after="160" w:line="276"/>
      </w:pPr>
      <w:r>
        <w:rPr>
          <w:rFonts w:ascii="Calibri" w:cs="Calibri" w:eastAsia="Calibri" w:hAnsi="Calibri"/>
          <w:color w:val="3D3630"/>
          <w:sz w:val="21"/>
          <w:szCs w:val="21"/>
        </w:rPr>
        <w:t xml:space="preserve">This is the part that breaks a naive build. An advisor never sells "L'Oréal" — they sell Kérastase to a salon client or CeraVe to a pharmacy customer. The brand determines the division, and the division determines how the coach must behave. So brand is modelled as a first-class entity that resolves to a division, not as a text label on a product record.</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1100"/>
        <w:gridCol w:w="7926"/>
      </w:tblGrid>
      <w:tr>
        <w:trPr>
          <w:tblHeader/>
        </w:trPr>
        <w:tc>
          <w:tcPr>
            <w:tcW w:type="dxa" w:w="11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Division</w:t>
            </w:r>
          </w:p>
        </w:tc>
        <w:tc>
          <w:tcPr>
            <w:tcW w:type="dxa" w:w="79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Brands in the model</w:t>
            </w:r>
          </w:p>
        </w:tc>
      </w:tr>
      <w:tr>
        <w:tc>
          <w:tcPr>
            <w:tcW w:type="dxa" w:w="1100"/>
            <w:tcMar>
              <w:top w:type="dxa" w:w="90"/>
              <w:left w:type="dxa" w:w="130"/>
              <w:bottom w:type="dxa" w:w="90"/>
              <w:right w:type="dxa" w:w="130"/>
            </w:tcMar>
          </w:tcPr>
          <w:p>
            <w:pPr>
              <w:spacing w:after="0" w:line="260"/>
            </w:pPr>
            <w:r>
              <w:rPr>
                <w:rFonts w:ascii="Calibri" w:cs="Calibri" w:eastAsia="Calibri" w:hAnsi="Calibri"/>
                <w:b/>
                <w:bCs/>
                <w:i w:val="false"/>
                <w:iCs w:val="false"/>
                <w:color w:val="A8355B"/>
                <w:sz w:val="19"/>
                <w:szCs w:val="19"/>
              </w:rPr>
              <w:t xml:space="preserve">CPD</w:t>
            </w:r>
          </w:p>
        </w:tc>
        <w:tc>
          <w:tcPr>
            <w:tcW w:type="dxa" w:w="7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L'Oréal Paris · Garnier · Maybelline New York · NYX Professional Makeup · Essie · Mixa · SoftSheen-Carson (Dark &amp; Lovely) · 3CE Stylenanda · Niely</w:t>
            </w:r>
          </w:p>
        </w:tc>
      </w:tr>
      <w:tr>
        <w:tc>
          <w:tcPr>
            <w:tcW w:type="dxa" w:w="1100"/>
            <w:tcMar>
              <w:top w:type="dxa" w:w="90"/>
              <w:left w:type="dxa" w:w="130"/>
              <w:bottom w:type="dxa" w:w="90"/>
              <w:right w:type="dxa" w:w="130"/>
            </w:tcMar>
          </w:tcPr>
          <w:p>
            <w:pPr>
              <w:spacing w:after="0" w:line="260"/>
            </w:pPr>
            <w:r>
              <w:rPr>
                <w:rFonts w:ascii="Calibri" w:cs="Calibri" w:eastAsia="Calibri" w:hAnsi="Calibri"/>
                <w:b/>
                <w:bCs/>
                <w:i w:val="false"/>
                <w:iCs w:val="false"/>
                <w:color w:val="5F4A93"/>
                <w:sz w:val="19"/>
                <w:szCs w:val="19"/>
              </w:rPr>
              <w:t xml:space="preserve">Luxe</w:t>
            </w:r>
          </w:p>
        </w:tc>
        <w:tc>
          <w:tcPr>
            <w:tcW w:type="dxa" w:w="7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Lancôme · Yves Saint Laurent Beauté · Giorgio Armani Beauty · Kiehl's · Biotherm · Helena Rubinstein · Urban Decay · IT Cosmetics · Shu Uemura · Aesop · Prada Beauty · Valentino Beauty · Mugler · Azzaro · Viktor&amp;Rolf · Maison Margiela · Ralph Lauren · Cacharel · Diesel · Atelier Cologne · Takami · Carita</w:t>
            </w:r>
          </w:p>
        </w:tc>
      </w:tr>
      <w:tr>
        <w:tc>
          <w:tcPr>
            <w:tcW w:type="dxa" w:w="1100"/>
            <w:tcMar>
              <w:top w:type="dxa" w:w="90"/>
              <w:left w:type="dxa" w:w="130"/>
              <w:bottom w:type="dxa" w:w="90"/>
              <w:right w:type="dxa" w:w="130"/>
            </w:tcMar>
          </w:tcPr>
          <w:p>
            <w:pPr>
              <w:spacing w:after="0" w:line="260"/>
            </w:pPr>
            <w:r>
              <w:rPr>
                <w:rFonts w:ascii="Calibri" w:cs="Calibri" w:eastAsia="Calibri" w:hAnsi="Calibri"/>
                <w:b/>
                <w:bCs/>
                <w:i w:val="false"/>
                <w:iCs w:val="false"/>
                <w:color w:val="1F6070"/>
                <w:sz w:val="19"/>
                <w:szCs w:val="19"/>
              </w:rPr>
              <w:t xml:space="preserve">Derm</w:t>
            </w:r>
          </w:p>
        </w:tc>
        <w:tc>
          <w:tcPr>
            <w:tcW w:type="dxa" w:w="7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La Roche-Posay · Vichy · CeraVe · SkinCeuticals · Skinbetter Science · Dermablend</w:t>
            </w:r>
          </w:p>
        </w:tc>
      </w:tr>
      <w:tr>
        <w:tc>
          <w:tcPr>
            <w:tcW w:type="dxa" w:w="1100"/>
            <w:tcMar>
              <w:top w:type="dxa" w:w="90"/>
              <w:left w:type="dxa" w:w="130"/>
              <w:bottom w:type="dxa" w:w="90"/>
              <w:right w:type="dxa" w:w="130"/>
            </w:tcMar>
          </w:tcPr>
          <w:p>
            <w:pPr>
              <w:spacing w:after="0" w:line="260"/>
            </w:pPr>
            <w:r>
              <w:rPr>
                <w:rFonts w:ascii="Calibri" w:cs="Calibri" w:eastAsia="Calibri" w:hAnsi="Calibri"/>
                <w:b/>
                <w:bCs/>
                <w:i w:val="false"/>
                <w:iCs w:val="false"/>
                <w:color w:val="7A6224"/>
                <w:sz w:val="19"/>
                <w:szCs w:val="19"/>
              </w:rPr>
              <w:t xml:space="preserve">PPD</w:t>
            </w:r>
          </w:p>
        </w:tc>
        <w:tc>
          <w:tcPr>
            <w:tcW w:type="dxa" w:w="7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L'Oréal Professionnel · Kérastase · Redken · Matrix · Biolage · Pureology · Mizani · Shu Uemura Art of Hair</w:t>
            </w:r>
          </w:p>
        </w:tc>
      </w:tr>
    </w:tbl>
    <w:p>
      <w:pPr>
        <w:spacing w:after="200"/>
      </w:pP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Why brand alone is not enough — the Shu Uemura case</w:t>
            </w:r>
          </w:p>
          <w:p>
            <w:pPr>
              <w:spacing w:after="0" w:line="276"/>
            </w:pPr>
            <w:r>
              <w:rPr>
                <w:rFonts w:ascii="Calibri" w:cs="Calibri" w:eastAsia="Calibri" w:hAnsi="Calibri"/>
                <w:color w:val="3D3630"/>
                <w:sz w:val="20"/>
                <w:szCs w:val="20"/>
              </w:rPr>
              <w:t xml:space="preserve">Shu Uemura makeup is Luxe, sold at a department-store counter. Shu Uemura Art of Hair is Professional Products, sold by a stylist in a salon. Same brand name, two divisions, two advisor types, two vocabularies. The coach therefore resolves division from the product, not from the brand label — which is why it speaks correctly to both.</w:t>
            </w:r>
          </w:p>
        </w:tc>
      </w:tr>
    </w:tbl>
    <w:p>
      <w:pPr>
        <w:spacing w:after="200"/>
      </w:pPr>
    </w:p>
    <w:p>
      <w:pPr>
        <w:pStyle w:val="Heading2"/>
        <w:spacing w:after="110" w:before="260"/>
      </w:pPr>
      <w:r>
        <w:rPr>
          <w:rFonts w:ascii="Georgia" w:cs="Georgia" w:eastAsia="Georgia" w:hAnsi="Georgia"/>
          <w:b/>
          <w:bCs/>
          <w:color w:val="1A1613"/>
          <w:sz w:val="23"/>
          <w:szCs w:val="23"/>
        </w:rPr>
        <w:t xml:space="preserve">Five zones, and why they drive the language list</w:t>
      </w:r>
    </w:p>
    <w:p>
      <w:pPr>
        <w:spacing w:after="160" w:line="276"/>
      </w:pPr>
      <w:r>
        <w:rPr>
          <w:rFonts w:ascii="Calibri" w:cs="Calibri" w:eastAsia="Calibri" w:hAnsi="Calibri"/>
          <w:color w:val="3D3630"/>
          <w:sz w:val="21"/>
          <w:szCs w:val="21"/>
        </w:rPr>
        <w:t xml:space="preserve">Geographically the divisions run through five reporting zones: Europe, North America, North Asia, SAPMENA-SSA (South Asia Pacific, Middle East, North Africa, Sub-Saharan Africa) and Latin America. A single brand can therefore sit under four different claim regimes in four zones simultaneously.</w:t>
      </w:r>
    </w:p>
    <w:p>
      <w:pPr>
        <w:spacing w:after="160" w:line="276"/>
      </w:pPr>
      <w:r>
        <w:rPr>
          <w:rFonts w:ascii="Calibri" w:cs="Calibri" w:eastAsia="Calibri" w:hAnsi="Calibri"/>
          <w:color w:val="3D3630"/>
          <w:sz w:val="21"/>
          <w:szCs w:val="21"/>
        </w:rPr>
        <w:t xml:space="preserve">The six languages in the build were not chosen for demonstration value. Between them they cover every reporting zone and the three hardest scripts a digital human has to handle — right-to-left, ideographic and Devanagari.</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3</w:t>
      </w:r>
    </w:p>
    <w:p>
      <w:pPr>
        <w:pStyle w:val="Heading1"/>
        <w:spacing w:after="170" w:before="380"/>
      </w:pPr>
      <w:r>
        <w:rPr>
          <w:rFonts w:ascii="Georgia" w:cs="Georgia" w:eastAsia="Georgia" w:hAnsi="Georgia"/>
          <w:b/>
          <w:bCs/>
          <w:color w:val="1A1613"/>
          <w:sz w:val="30"/>
          <w:szCs w:val="30"/>
        </w:rPr>
        <w:t xml:space="preserve">Our solution: the L'Oréal Beauty Coach</w:t>
      </w:r>
    </w:p>
    <w:p>
      <w:pPr>
        <w:spacing w:after="160" w:line="276"/>
      </w:pPr>
      <w:r>
        <w:rPr>
          <w:rFonts w:ascii="Calibri" w:cs="Calibri" w:eastAsia="Calibri" w:hAnsi="Calibri"/>
          <w:color w:val="3D3630"/>
          <w:sz w:val="21"/>
          <w:szCs w:val="21"/>
        </w:rPr>
        <w:t xml:space="preserve">Beauty Coach is not a chatbot bolted onto a product catalogue. It is a closed loop with four surfaces, each serving a different part of the organisation, connected so that what happens at the shop floor becomes visible at HQ and what HQ learns comes back as coaching.</w:t>
      </w:r>
    </w:p>
    <w:p>
      <w:pPr>
        <w:pStyle w:val="Heading2"/>
        <w:spacing w:after="110" w:before="260"/>
      </w:pPr>
      <w:r>
        <w:rPr>
          <w:rFonts w:ascii="Georgia" w:cs="Georgia" w:eastAsia="Georgia" w:hAnsi="Georgia"/>
          <w:b/>
          <w:bCs/>
          <w:color w:val="1A1613"/>
          <w:sz w:val="23"/>
          <w:szCs w:val="23"/>
        </w:rPr>
        <w:t xml:space="preserve">The four surfaces</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1900"/>
        <w:gridCol w:w="2100"/>
        <w:gridCol w:w="5026"/>
      </w:tblGrid>
      <w:tr>
        <w:trPr>
          <w:tblHeader/>
        </w:trPr>
        <w:tc>
          <w:tcPr>
            <w:tcW w:type="dxa" w:w="19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Surface</w:t>
            </w:r>
          </w:p>
        </w:tc>
        <w:tc>
          <w:tcPr>
            <w:tcW w:type="dxa" w:w="21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Who uses it</w:t>
            </w:r>
          </w:p>
        </w:tc>
        <w:tc>
          <w:tcPr>
            <w:tcW w:type="dxa" w:w="50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it does</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Product Nexus</w:t>
            </w:r>
          </w:p>
        </w:tc>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Product and marketing teams</w:t>
            </w:r>
          </w:p>
        </w:tc>
        <w:tc>
          <w:tcPr>
            <w:tcW w:type="dxa" w:w="5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Where a launch enters the system. Upload the product, photography, positioning, hero claims, the objection library and the forbidden wording. Publishing mints an immutable version — content is never edited in place, so there is always a record of what was approved and when.</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Coach</w:t>
            </w:r>
          </w:p>
        </w:tc>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Advisors, agents, distributor staff</w:t>
            </w:r>
          </w:p>
        </w:tc>
        <w:tc>
          <w:tcPr>
            <w:tcW w:type="dxa" w:w="5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 digital human booked like an appointment. The advisor signs in with a distributor code that establishes country, territory and distributor, picks the product and their coaching focus, then rehearses out loud and is corrected in the moment.</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Readiness Scorecard</w:t>
            </w:r>
          </w:p>
        </w:tc>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Advisors and L&amp;D</w:t>
            </w:r>
          </w:p>
        </w:tc>
        <w:tc>
          <w:tcPr>
            <w:tcW w:type="dxa" w:w="5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Six dimensions scored from what the advisor actually said, each carrying the verbatim quote it was scored on. Dimensions the session never exercised are reported as untested rather than guessed at.</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Launch Readiness HQ</w:t>
            </w:r>
          </w:p>
        </w:tc>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HQ, zone and market leadership</w:t>
            </w:r>
          </w:p>
        </w:tc>
        <w:tc>
          <w:tcPr>
            <w:tcW w:type="dxa" w:w="5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Readiness rolled up by market, territory, distributor and advisor. Which claims land, which get dropped, and which markets are still cold with two weeks to go.</w:t>
            </w:r>
          </w:p>
        </w:tc>
      </w:tr>
    </w:tbl>
    <w:p>
      <w:pPr>
        <w:spacing w:after="200"/>
      </w:pPr>
    </w:p>
    <w:p>
      <w:pPr>
        <w:pStyle w:val="Heading2"/>
        <w:spacing w:after="110" w:before="260"/>
      </w:pPr>
      <w:r>
        <w:rPr>
          <w:rFonts w:ascii="Georgia" w:cs="Georgia" w:eastAsia="Georgia" w:hAnsi="Georgia"/>
          <w:b/>
          <w:bCs/>
          <w:color w:val="1A1613"/>
          <w:sz w:val="23"/>
          <w:szCs w:val="23"/>
        </w:rPr>
        <w:t xml:space="preserve">The loop</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700"/>
        <w:gridCol w:w="1500"/>
        <w:gridCol w:w="6826"/>
      </w:tblGrid>
      <w:tr>
        <w:trPr>
          <w:tblHeader/>
        </w:trPr>
        <w:tc>
          <w:tcPr>
            <w:tcW w:type="dxa" w:w="7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Step</w:t>
            </w:r>
          </w:p>
        </w:tc>
        <w:tc>
          <w:tcPr>
            <w:tcW w:type="dxa" w:w="15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Stage</w:t>
            </w:r>
          </w:p>
        </w:tc>
        <w:tc>
          <w:tcPr>
            <w:tcW w:type="dxa" w:w="68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happens</w:t>
            </w:r>
          </w:p>
        </w:tc>
      </w:tr>
      <w:tr>
        <w:tc>
          <w:tcPr>
            <w:tcW w:type="dxa" w:w="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1</w:t>
            </w:r>
          </w:p>
        </w:tc>
        <w:tc>
          <w:tcPr>
            <w:tcW w:type="dxa" w:w="15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Publish</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product team publishes a launch into the Nexus. Each market approves its own language pack.</w:t>
            </w:r>
          </w:p>
        </w:tc>
      </w:tr>
      <w:tr>
        <w:tc>
          <w:tcPr>
            <w:tcW w:type="dxa" w:w="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2</w:t>
            </w:r>
          </w:p>
        </w:tc>
        <w:tc>
          <w:tcPr>
            <w:tcW w:type="dxa" w:w="15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Book</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An advisor books a session, choosing brand, coaching focus and language.</w:t>
            </w:r>
          </w:p>
        </w:tc>
      </w:tr>
      <w:tr>
        <w:tc>
          <w:tcPr>
            <w:tcW w:type="dxa" w:w="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3</w:t>
            </w:r>
          </w:p>
        </w:tc>
        <w:tc>
          <w:tcPr>
            <w:tcW w:type="dxa" w:w="15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Rehearse</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 spoken coaching session against the approved wording — objections, price, routine, positioning.</w:t>
            </w:r>
          </w:p>
        </w:tc>
      </w:tr>
      <w:tr>
        <w:tc>
          <w:tcPr>
            <w:tcW w:type="dxa" w:w="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4</w:t>
            </w:r>
          </w:p>
        </w:tc>
        <w:tc>
          <w:tcPr>
            <w:tcW w:type="dxa" w:w="15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Score</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Six dimensions scored with verbatim evidence. The advisor is certified or queued for re-coaching.</w:t>
            </w:r>
          </w:p>
        </w:tc>
      </w:tr>
      <w:tr>
        <w:tc>
          <w:tcPr>
            <w:tcW w:type="dxa" w:w="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5</w:t>
            </w:r>
          </w:p>
        </w:tc>
        <w:tc>
          <w:tcPr>
            <w:tcW w:type="dxa" w:w="15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See</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Scores roll up to HQ. Weak markets and distributors feed straight back into the booking queue.</w:t>
            </w:r>
          </w:p>
        </w:tc>
      </w:tr>
    </w:tbl>
    <w:p>
      <w:pPr>
        <w:spacing w:after="200"/>
      </w:pPr>
    </w:p>
    <w:p>
      <w:pPr>
        <w:pStyle w:val="Heading2"/>
        <w:spacing w:after="110" w:before="260"/>
      </w:pPr>
      <w:r>
        <w:rPr>
          <w:rFonts w:ascii="Georgia" w:cs="Georgia" w:eastAsia="Georgia" w:hAnsi="Georgia"/>
          <w:b/>
          <w:bCs/>
          <w:color w:val="1A1613"/>
          <w:sz w:val="23"/>
          <w:szCs w:val="23"/>
        </w:rPr>
        <w:t xml:space="preserve">The six readiness dimensions</w:t>
      </w:r>
    </w:p>
    <w:p>
      <w:pPr>
        <w:spacing w:after="160" w:line="276"/>
      </w:pPr>
      <w:r>
        <w:rPr>
          <w:rFonts w:ascii="Calibri" w:cs="Calibri" w:eastAsia="Calibri" w:hAnsi="Calibri"/>
          <w:color w:val="3D3630"/>
          <w:sz w:val="21"/>
          <w:szCs w:val="21"/>
        </w:rPr>
        <w:t xml:space="preserve">A single score would hide what matters. Six dimensions separate the failure modes that need different remedies:</w:t>
      </w:r>
    </w:p>
    <w:p>
      <w:pPr>
        <w:pStyle w:val="ListParagraph"/>
        <w:numPr>
          <w:ilvl w:val="0"/>
          <w:numId w:val="2"/>
        </w:numPr>
        <w:spacing w:after="90" w:line="276"/>
      </w:pPr>
      <w:r>
        <w:rPr>
          <w:rFonts w:ascii="Calibri" w:cs="Calibri" w:eastAsia="Calibri" w:hAnsi="Calibri"/>
          <w:b/>
          <w:bCs/>
          <w:i w:val="false"/>
          <w:iCs w:val="false"/>
          <w:color w:val="3D3630"/>
          <w:sz w:val="21"/>
          <w:szCs w:val="21"/>
        </w:rPr>
        <w:t xml:space="preserve">Message Fidelity</w:t>
      </w:r>
      <w:r>
        <w:rPr>
          <w:rFonts w:ascii="Calibri" w:cs="Calibri" w:eastAsia="Calibri" w:hAnsi="Calibri"/>
          <w:color w:val="3D3630"/>
          <w:sz w:val="21"/>
          <w:szCs w:val="21"/>
        </w:rPr>
        <w:t xml:space="preserve"> — did the advisor carry the approved positioning, or their own version of it?</w:t>
      </w:r>
    </w:p>
    <w:p>
      <w:pPr>
        <w:pStyle w:val="ListParagraph"/>
        <w:numPr>
          <w:ilvl w:val="0"/>
          <w:numId w:val="2"/>
        </w:numPr>
        <w:spacing w:after="90" w:line="276"/>
      </w:pPr>
      <w:r>
        <w:rPr>
          <w:rFonts w:ascii="Calibri" w:cs="Calibri" w:eastAsia="Calibri" w:hAnsi="Calibri"/>
          <w:b/>
          <w:bCs/>
          <w:i w:val="false"/>
          <w:iCs w:val="false"/>
          <w:color w:val="3D3630"/>
          <w:sz w:val="21"/>
          <w:szCs w:val="21"/>
        </w:rPr>
        <w:t xml:space="preserve">Product Accuracy</w:t>
      </w:r>
      <w:r>
        <w:rPr>
          <w:rFonts w:ascii="Calibri" w:cs="Calibri" w:eastAsia="Calibri" w:hAnsi="Calibri"/>
          <w:color w:val="3D3630"/>
          <w:sz w:val="21"/>
          <w:szCs w:val="21"/>
        </w:rPr>
        <w:t xml:space="preserve"> — were the claims stated correctly, and was forbidden wording avoided?</w:t>
      </w:r>
    </w:p>
    <w:p>
      <w:pPr>
        <w:pStyle w:val="ListParagraph"/>
        <w:numPr>
          <w:ilvl w:val="0"/>
          <w:numId w:val="2"/>
        </w:numPr>
        <w:spacing w:after="90" w:line="276"/>
      </w:pPr>
      <w:r>
        <w:rPr>
          <w:rFonts w:ascii="Calibri" w:cs="Calibri" w:eastAsia="Calibri" w:hAnsi="Calibri"/>
          <w:b/>
          <w:bCs/>
          <w:i w:val="false"/>
          <w:iCs w:val="false"/>
          <w:color w:val="3D3630"/>
          <w:sz w:val="21"/>
          <w:szCs w:val="21"/>
        </w:rPr>
        <w:t xml:space="preserve">Brand Tone</w:t>
      </w:r>
      <w:r>
        <w:rPr>
          <w:rFonts w:ascii="Calibri" w:cs="Calibri" w:eastAsia="Calibri" w:hAnsi="Calibri"/>
          <w:color w:val="3D3630"/>
          <w:sz w:val="21"/>
          <w:szCs w:val="21"/>
        </w:rPr>
        <w:t xml:space="preserve"> — was it said in the register the brand requires?</w:t>
      </w:r>
    </w:p>
    <w:p>
      <w:pPr>
        <w:pStyle w:val="ListParagraph"/>
        <w:numPr>
          <w:ilvl w:val="0"/>
          <w:numId w:val="2"/>
        </w:numPr>
        <w:spacing w:after="90" w:line="276"/>
      </w:pPr>
      <w:r>
        <w:rPr>
          <w:rFonts w:ascii="Calibri" w:cs="Calibri" w:eastAsia="Calibri" w:hAnsi="Calibri"/>
          <w:b/>
          <w:bCs/>
          <w:i w:val="false"/>
          <w:iCs w:val="false"/>
          <w:color w:val="3D3630"/>
          <w:sz w:val="21"/>
          <w:szCs w:val="21"/>
        </w:rPr>
        <w:t xml:space="preserve">Objection Handling</w:t>
      </w:r>
      <w:r>
        <w:rPr>
          <w:rFonts w:ascii="Calibri" w:cs="Calibri" w:eastAsia="Calibri" w:hAnsi="Calibri"/>
          <w:color w:val="3D3630"/>
          <w:sz w:val="21"/>
          <w:szCs w:val="21"/>
        </w:rPr>
        <w:t xml:space="preserve"> — did the advisor use the approved response under pressure?</w:t>
      </w:r>
    </w:p>
    <w:p>
      <w:pPr>
        <w:pStyle w:val="ListParagraph"/>
        <w:numPr>
          <w:ilvl w:val="0"/>
          <w:numId w:val="2"/>
        </w:numPr>
        <w:spacing w:after="90" w:line="276"/>
      </w:pPr>
      <w:r>
        <w:rPr>
          <w:rFonts w:ascii="Calibri" w:cs="Calibri" w:eastAsia="Calibri" w:hAnsi="Calibri"/>
          <w:b/>
          <w:bCs/>
          <w:i w:val="false"/>
          <w:iCs w:val="false"/>
          <w:color w:val="3D3630"/>
          <w:sz w:val="21"/>
          <w:szCs w:val="21"/>
        </w:rPr>
        <w:t xml:space="preserve">Personalization</w:t>
      </w:r>
      <w:r>
        <w:rPr>
          <w:rFonts w:ascii="Calibri" w:cs="Calibri" w:eastAsia="Calibri" w:hAnsi="Calibri"/>
          <w:color w:val="3D3630"/>
          <w:sz w:val="21"/>
          <w:szCs w:val="21"/>
        </w:rPr>
        <w:t xml:space="preserve"> — did they adapt to the customer's skin, hair or concern?</w:t>
      </w:r>
    </w:p>
    <w:p>
      <w:pPr>
        <w:pStyle w:val="ListParagraph"/>
        <w:numPr>
          <w:ilvl w:val="0"/>
          <w:numId w:val="2"/>
        </w:numPr>
        <w:spacing w:after="90" w:line="276"/>
      </w:pPr>
      <w:r>
        <w:rPr>
          <w:rFonts w:ascii="Calibri" w:cs="Calibri" w:eastAsia="Calibri" w:hAnsi="Calibri"/>
          <w:b/>
          <w:bCs/>
          <w:i w:val="false"/>
          <w:iCs w:val="false"/>
          <w:color w:val="3D3630"/>
          <w:sz w:val="21"/>
          <w:szCs w:val="21"/>
        </w:rPr>
        <w:t xml:space="preserve">Upsell Fluency</w:t>
      </w:r>
      <w:r>
        <w:rPr>
          <w:rFonts w:ascii="Calibri" w:cs="Calibri" w:eastAsia="Calibri" w:hAnsi="Calibri"/>
          <w:color w:val="3D3630"/>
          <w:sz w:val="21"/>
          <w:szCs w:val="21"/>
        </w:rPr>
        <w:t xml:space="preserve"> — did they recommend the routine rather than the single product?</w:t>
      </w:r>
    </w:p>
    <w:p>
      <w:pPr>
        <w:spacing w:after="160" w:line="276"/>
      </w:pPr>
      <w:r>
        <w:rPr>
          <w:rFonts w:ascii="Calibri" w:cs="Calibri" w:eastAsia="Calibri" w:hAnsi="Calibri"/>
          <w:color w:val="3D3630"/>
          <w:sz w:val="21"/>
          <w:szCs w:val="21"/>
        </w:rPr>
        <w:t xml:space="preserve">These six are weighted differently by division. That weighting is not cosmetic — it is what makes "ready" mean the right thing in a pharmacy and in a hypermarket.</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4</w:t>
      </w:r>
    </w:p>
    <w:p>
      <w:pPr>
        <w:pStyle w:val="Heading1"/>
        <w:spacing w:after="170" w:before="380"/>
      </w:pPr>
      <w:r>
        <w:rPr>
          <w:rFonts w:ascii="Georgia" w:cs="Georgia" w:eastAsia="Georgia" w:hAnsi="Georgia"/>
          <w:b/>
          <w:bCs/>
          <w:color w:val="1A1613"/>
          <w:sz w:val="30"/>
          <w:szCs w:val="30"/>
        </w:rPr>
        <w:t xml:space="preserve">How it works: governed by design</w:t>
      </w:r>
    </w:p>
    <w:p>
      <w:pPr>
        <w:spacing w:after="160" w:line="276"/>
      </w:pPr>
      <w:r>
        <w:rPr>
          <w:rFonts w:ascii="Calibri" w:cs="Calibri" w:eastAsia="Calibri" w:hAnsi="Calibri"/>
          <w:color w:val="3D3630"/>
          <w:sz w:val="21"/>
          <w:szCs w:val="21"/>
        </w:rPr>
        <w:t xml:space="preserve">Most AI assistants are built to be helpful and are then restrained. This one is built the other way round: it starts from what it is forbidden to do, and helpfulness is what is left over. Four architectural decisions carry that.</w:t>
      </w:r>
    </w:p>
    <w:p>
      <w:pPr>
        <w:pStyle w:val="Heading2"/>
        <w:spacing w:after="110" w:before="260"/>
      </w:pPr>
      <w:r>
        <w:rPr>
          <w:rFonts w:ascii="Georgia" w:cs="Georgia" w:eastAsia="Georgia" w:hAnsi="Georgia"/>
          <w:b/>
          <w:bCs/>
          <w:color w:val="1A1613"/>
          <w:sz w:val="23"/>
          <w:szCs w:val="23"/>
        </w:rPr>
        <w:t xml:space="preserve">1. The coach cannot make anything up</w:t>
      </w:r>
    </w:p>
    <w:p>
      <w:pPr>
        <w:spacing w:after="160" w:line="276"/>
      </w:pPr>
      <w:r>
        <w:rPr>
          <w:rFonts w:ascii="Calibri" w:cs="Calibri" w:eastAsia="Calibri" w:hAnsi="Calibri"/>
          <w:color w:val="3D3630"/>
          <w:sz w:val="21"/>
          <w:szCs w:val="21"/>
        </w:rPr>
        <w:t xml:space="preserve">The coach answers only from the published launch pack. Approved claims are quoted verbatim — never paraphrased, never summarised, never re-worded for flow. If the pack does not contain an answer, the coach says so and returns the advisor to what the pack does cover.</w:t>
      </w:r>
    </w:p>
    <w:p>
      <w:pPr>
        <w:spacing w:after="160" w:line="276"/>
      </w:pPr>
      <w:r>
        <w:rPr>
          <w:rFonts w:ascii="Calibri" w:cs="Calibri" w:eastAsia="Calibri" w:hAnsi="Calibri"/>
          <w:color w:val="3D3630"/>
          <w:sz w:val="21"/>
          <w:szCs w:val="21"/>
        </w:rPr>
        <w:t xml:space="preserve">This is deliberately more restrictive than a general assistant, and it is the reason the system can be placed near a regulated claim at all. An AI that improvises beauty advice is a liability in a pharmacy; an AI that can only recite approved wording is an asset.</w:t>
      </w:r>
    </w:p>
    <w:p>
      <w:pPr>
        <w:pStyle w:val="Heading2"/>
        <w:spacing w:after="110" w:before="260"/>
      </w:pPr>
      <w:r>
        <w:rPr>
          <w:rFonts w:ascii="Georgia" w:cs="Georgia" w:eastAsia="Georgia" w:hAnsi="Georgia"/>
          <w:b/>
          <w:bCs/>
          <w:color w:val="1A1613"/>
          <w:sz w:val="23"/>
          <w:szCs w:val="23"/>
        </w:rPr>
        <w:t xml:space="preserve">2. Language is governance, not translation</w:t>
      </w:r>
    </w:p>
    <w:p>
      <w:pPr>
        <w:spacing w:after="160" w:line="276"/>
      </w:pPr>
      <w:r>
        <w:rPr>
          <w:rFonts w:ascii="Calibri" w:cs="Calibri" w:eastAsia="Calibri" w:hAnsi="Calibri"/>
          <w:color w:val="3D3630"/>
          <w:sz w:val="21"/>
          <w:szCs w:val="21"/>
        </w:rPr>
        <w:t xml:space="preserve">This is the single most important design decision in the product, and the one most often got wrong elsewhere.</w:t>
      </w:r>
    </w:p>
    <w:p>
      <w:pPr>
        <w:spacing w:after="160" w:line="276"/>
      </w:pPr>
      <w:r>
        <w:rPr>
          <w:rFonts w:ascii="Calibri" w:cs="Calibri" w:eastAsia="Calibri" w:hAnsi="Calibri"/>
          <w:color w:val="3D3630"/>
          <w:sz w:val="21"/>
          <w:szCs w:val="21"/>
        </w:rPr>
        <w:t xml:space="preserve">An approved claim is a regulatory artifact for one market in one language. Machine-translating it does not produce a translated claim — it produces an unapproved one, generated at runtime, that no reviewer has ever seen. A system that translates on the fly is manufacturing new claims at the exact moment it appears most helpful.</w:t>
      </w:r>
    </w:p>
    <w:p>
      <w:pPr>
        <w:spacing w:after="160" w:line="276"/>
      </w:pPr>
      <w:r>
        <w:rPr>
          <w:rFonts w:ascii="Calibri" w:cs="Calibri" w:eastAsia="Calibri" w:hAnsi="Calibri"/>
          <w:color w:val="3D3630"/>
          <w:sz w:val="21"/>
          <w:szCs w:val="21"/>
        </w:rPr>
        <w:t xml:space="preserve">So launch packs are authored per language and each carries its own governance status:</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1900"/>
        <w:gridCol w:w="4400"/>
        <w:gridCol w:w="2726"/>
      </w:tblGrid>
      <w:tr>
        <w:trPr>
          <w:tblHeader/>
        </w:trPr>
        <w:tc>
          <w:tcPr>
            <w:tcW w:type="dxa" w:w="19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Status</w:t>
            </w:r>
          </w:p>
        </w:tc>
        <w:tc>
          <w:tcPr>
            <w:tcW w:type="dxa" w:w="44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Meaning</w:t>
            </w:r>
          </w:p>
        </w:tc>
        <w:tc>
          <w:tcPr>
            <w:tcW w:type="dxa" w:w="27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the coach does</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Source</w:t>
            </w:r>
          </w:p>
        </w:tc>
        <w:tc>
          <w:tcPr>
            <w:tcW w:type="dxa" w:w="4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original authored pack — English today.</w:t>
            </w:r>
          </w:p>
        </w:tc>
        <w:tc>
          <w:tcPr>
            <w:tcW w:type="dxa" w:w="2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Speaks it.</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Market-approved</w:t>
            </w:r>
          </w:p>
        </w:tc>
        <w:tc>
          <w:tcPr>
            <w:tcW w:type="dxa" w:w="4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Localised and signed off by that market's reviewer inside the Nexus.</w:t>
            </w:r>
          </w:p>
        </w:tc>
        <w:tc>
          <w:tcPr>
            <w:tcW w:type="dxa" w:w="2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Speaks it.</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Draft</w:t>
            </w:r>
          </w:p>
        </w:tc>
        <w:tc>
          <w:tcPr>
            <w:tcW w:type="dxa" w:w="44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Translated but not yet approved by the market.</w:t>
            </w:r>
          </w:p>
        </w:tc>
        <w:tc>
          <w:tcPr>
            <w:tcW w:type="dxa" w:w="2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Refuses the session and names who must approve it.</w:t>
            </w:r>
          </w:p>
        </w:tc>
      </w:tr>
    </w:tbl>
    <w:p>
      <w:pPr>
        <w:spacing w:after="200"/>
      </w:pP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A refusal is the feature, not a failure</w:t>
            </w:r>
          </w:p>
          <w:p>
            <w:pPr>
              <w:spacing w:after="0" w:line="276"/>
            </w:pPr>
            <w:r>
              <w:rPr>
                <w:rFonts w:ascii="Calibri" w:cs="Calibri" w:eastAsia="Calibri" w:hAnsi="Calibri"/>
                <w:color w:val="3D3630"/>
                <w:sz w:val="20"/>
                <w:szCs w:val="20"/>
              </w:rPr>
              <w:t xml:space="preserve">Ask for a language a market has not signed off and the coach declines to start, explaining what is missing. This is enforced at a single point in the code rather than scattered across the interface, so there is no path — no button, no URL, no edge case — that opens a coaching session on unapproved wording. Silence is the only safe answer when approved wording does not yet exist.</w:t>
            </w:r>
          </w:p>
        </w:tc>
      </w:tr>
    </w:tbl>
    <w:p>
      <w:pPr>
        <w:spacing w:after="200"/>
      </w:pPr>
    </w:p>
    <w:p>
      <w:pPr>
        <w:pStyle w:val="Heading2"/>
        <w:spacing w:after="110" w:before="260"/>
      </w:pPr>
      <w:r>
        <w:rPr>
          <w:rFonts w:ascii="Georgia" w:cs="Georgia" w:eastAsia="Georgia" w:hAnsi="Georgia"/>
          <w:b/>
          <w:bCs/>
          <w:color w:val="1A1613"/>
          <w:sz w:val="23"/>
          <w:szCs w:val="23"/>
        </w:rPr>
        <w:t xml:space="preserve">3. Four divisions, four definitions of "ready"</w:t>
      </w:r>
    </w:p>
    <w:p>
      <w:pPr>
        <w:spacing w:after="160" w:line="276"/>
      </w:pPr>
      <w:r>
        <w:rPr>
          <w:rFonts w:ascii="Calibri" w:cs="Calibri" w:eastAsia="Calibri" w:hAnsi="Calibri"/>
          <w:color w:val="3D3630"/>
          <w:sz w:val="21"/>
          <w:szCs w:val="21"/>
        </w:rPr>
        <w:t xml:space="preserve">A pharmacist and a hypermarket promoter are not the same advisor and must not be graded the same way. Three things vary by division, and one does not:</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1700"/>
        <w:gridCol w:w="3300"/>
        <w:gridCol w:w="4026"/>
      </w:tblGrid>
      <w:tr>
        <w:trPr>
          <w:tblHeader/>
        </w:trPr>
        <w:tc>
          <w:tcPr>
            <w:tcW w:type="dxa" w:w="17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varies</w:t>
            </w:r>
          </w:p>
        </w:tc>
        <w:tc>
          <w:tcPr>
            <w:tcW w:type="dxa" w:w="33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How</w:t>
            </w:r>
          </w:p>
        </w:tc>
        <w:tc>
          <w:tcPr>
            <w:tcW w:type="dxa" w:w="40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Worked example</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Rubric weights</w:t>
            </w:r>
          </w:p>
        </w:tc>
        <w:tc>
          <w:tcPr>
            <w:tcW w:type="dxa" w:w="3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six dimensions are weighted per division, so the overall score means something different — and correct — in each.</w:t>
            </w:r>
          </w:p>
        </w:tc>
        <w:tc>
          <w:tcPr>
            <w:tcW w:type="dxa" w:w="4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Dermatological Beauty weights Product Accuracy at 1.6× and Upsell Fluency at 0.6×. A pharmacist who upsells beautifully but misstates a clinical claim must fail. Consumer Products inverts it.</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Persona guardrail</w:t>
            </w:r>
          </w:p>
        </w:tc>
        <w:tc>
          <w:tcPr>
            <w:tcW w:type="dxa" w:w="3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 division-specific rule injected into the coach alongside its standing rules.</w:t>
            </w:r>
          </w:p>
        </w:tc>
        <w:tc>
          <w:tcPr>
            <w:tcW w:type="dxa" w:w="4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Derm: never cross into treatment or cure language. Luxe: hold brand register — the fact alone is not enough. PPD: lead with service protocol before end-benefit.</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Channel vocabulary</w:t>
            </w:r>
          </w:p>
        </w:tc>
        <w:tc>
          <w:tcPr>
            <w:tcW w:type="dxa" w:w="3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Who the advisor is and where they are standing, so the role-play is the right role-play.</w:t>
            </w:r>
          </w:p>
        </w:tc>
        <w:tc>
          <w:tcPr>
            <w:tcW w:type="dxa" w:w="4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coach role-plays a pharmacy counter for La Roche-Posay and a salon chair for Kérastase — never a generic "customer".</w:t>
            </w:r>
          </w:p>
        </w:tc>
      </w:tr>
      <w:tr>
        <w:tc>
          <w:tcPr>
            <w:tcW w:type="dxa" w:w="1700"/>
            <w:tcMar>
              <w:top w:type="dxa" w:w="90"/>
              <w:left w:type="dxa" w:w="130"/>
              <w:bottom w:type="dxa" w:w="90"/>
              <w:right w:type="dxa" w:w="130"/>
            </w:tcMar>
          </w:tcPr>
          <w:p>
            <w:pPr>
              <w:spacing w:after="0" w:line="260"/>
            </w:pPr>
            <w:r>
              <w:rPr>
                <w:rFonts w:ascii="Calibri" w:cs="Calibri" w:eastAsia="Calibri" w:hAnsi="Calibri"/>
                <w:b/>
                <w:bCs/>
                <w:i w:val="false"/>
                <w:iCs w:val="false"/>
                <w:color w:val="3D3630"/>
                <w:sz w:val="19"/>
                <w:szCs w:val="19"/>
              </w:rPr>
              <w:t xml:space="preserve">The approved claim</w:t>
            </w:r>
          </w:p>
        </w:tc>
        <w:tc>
          <w:tcPr>
            <w:tcW w:type="dxa" w:w="3300"/>
            <w:tcMar>
              <w:top w:type="dxa" w:w="90"/>
              <w:left w:type="dxa" w:w="130"/>
              <w:bottom w:type="dxa" w:w="90"/>
              <w:right w:type="dxa" w:w="130"/>
            </w:tcMar>
          </w:tcPr>
          <w:p>
            <w:pPr>
              <w:spacing w:after="0" w:line="260"/>
            </w:pPr>
            <w:r>
              <w:rPr>
                <w:rFonts w:ascii="Calibri" w:cs="Calibri" w:eastAsia="Calibri" w:hAnsi="Calibri"/>
                <w:b/>
                <w:bCs/>
                <w:i w:val="false"/>
                <w:iCs w:val="false"/>
                <w:color w:val="3D3630"/>
                <w:sz w:val="19"/>
                <w:szCs w:val="19"/>
              </w:rPr>
              <w:t xml:space="preserve">Does not vary. Ever.</w:t>
            </w:r>
          </w:p>
        </w:tc>
        <w:tc>
          <w:tcPr>
            <w:tcW w:type="dxa" w:w="40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Quoted verbatim from the pack. Never paraphrased, never translated at runtime, never generated. This is the whole point of the product.</w:t>
            </w:r>
          </w:p>
        </w:tc>
      </w:tr>
    </w:tbl>
    <w:p>
      <w:pPr>
        <w:spacing w:after="200"/>
      </w:pPr>
    </w:p>
    <w:p>
      <w:pPr>
        <w:pStyle w:val="Heading2"/>
        <w:spacing w:after="110" w:before="260"/>
      </w:pPr>
      <w:r>
        <w:rPr>
          <w:rFonts w:ascii="Georgia" w:cs="Georgia" w:eastAsia="Georgia" w:hAnsi="Georgia"/>
          <w:b/>
          <w:bCs/>
          <w:color w:val="1A1613"/>
          <w:sz w:val="23"/>
          <w:szCs w:val="23"/>
        </w:rPr>
        <w:t xml:space="preserve">4. Every score carries its evidence</w:t>
      </w:r>
    </w:p>
    <w:p>
      <w:pPr>
        <w:spacing w:after="160" w:line="276"/>
      </w:pPr>
      <w:r>
        <w:rPr>
          <w:rFonts w:ascii="Calibri" w:cs="Calibri" w:eastAsia="Calibri" w:hAnsi="Calibri"/>
          <w:color w:val="3D3630"/>
          <w:sz w:val="21"/>
          <w:szCs w:val="21"/>
        </w:rPr>
        <w:t xml:space="preserve">Scores are not opinions. Each dimension cites the advisor's own words back to them, so a manager reading a scorecard sees why the number is what it is, and an advisor disputing a score has something concrete to dispute. Where a session never exercised a dimension — an advisor who was never asked about price cannot be scored on price positioning — the dimension is reported as untested rather than filled in with a plausible number.</w:t>
      </w:r>
    </w:p>
    <w:p>
      <w:pPr>
        <w:spacing w:after="160" w:line="276"/>
      </w:pPr>
      <w:r>
        <w:rPr>
          <w:rFonts w:ascii="Calibri" w:cs="Calibri" w:eastAsia="Calibri" w:hAnsi="Calibri"/>
          <w:color w:val="3D3630"/>
          <w:sz w:val="21"/>
          <w:szCs w:val="21"/>
        </w:rPr>
        <w:t xml:space="preserve">That last rule matters more than it sounds. A system that quietly invents scores for untested dimensions produces a readiness dashboard that looks complete and is partly fiction. HQ would then act on it.</w:t>
      </w:r>
    </w:p>
    <w:p>
      <w:pPr>
        <w:pStyle w:val="Heading2"/>
        <w:spacing w:after="110" w:before="260"/>
      </w:pPr>
      <w:r>
        <w:rPr>
          <w:rFonts w:ascii="Georgia" w:cs="Georgia" w:eastAsia="Georgia" w:hAnsi="Georgia"/>
          <w:b/>
          <w:bCs/>
          <w:color w:val="1A1613"/>
          <w:sz w:val="23"/>
          <w:szCs w:val="23"/>
        </w:rPr>
        <w:t xml:space="preserve">Immutable versioning and the audit trail</w:t>
      </w:r>
    </w:p>
    <w:p>
      <w:pPr>
        <w:spacing w:after="160" w:line="276"/>
      </w:pPr>
      <w:r>
        <w:rPr>
          <w:rFonts w:ascii="Calibri" w:cs="Calibri" w:eastAsia="Calibri" w:hAnsi="Calibri"/>
          <w:color w:val="3D3630"/>
          <w:sz w:val="21"/>
          <w:szCs w:val="21"/>
        </w:rPr>
        <w:t xml:space="preserve">Publishing a launch pack creates a new version rather than overwriting the previous one. Every coaching session records which pack version, in which language, was used. For the first time there is a traceable line between the claim regulatory approved and the words an advisor actually used with a customer.</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5</w:t>
      </w:r>
    </w:p>
    <w:p>
      <w:pPr>
        <w:pStyle w:val="Heading1"/>
        <w:spacing w:after="170" w:before="380"/>
      </w:pPr>
      <w:r>
        <w:rPr>
          <w:rFonts w:ascii="Georgia" w:cs="Georgia" w:eastAsia="Georgia" w:hAnsi="Georgia"/>
          <w:b/>
          <w:bCs/>
          <w:color w:val="1A1613"/>
          <w:sz w:val="30"/>
          <w:szCs w:val="30"/>
        </w:rPr>
        <w:t xml:space="preserve">The digital human, and the six languages</w:t>
      </w:r>
    </w:p>
    <w:p>
      <w:pPr>
        <w:spacing w:after="160" w:line="276"/>
      </w:pPr>
      <w:r>
        <w:rPr>
          <w:rFonts w:ascii="Calibri" w:cs="Calibri" w:eastAsia="Calibri" w:hAnsi="Calibri"/>
          <w:color w:val="3D3630"/>
          <w:sz w:val="21"/>
          <w:szCs w:val="21"/>
        </w:rPr>
        <w:t xml:space="preserve">The hero of the product is the coach herself. Everything else on screen is subordinate to that: the interface is constrained to under half the screen and is structurally incapable of overlapping her face — the layout is built as separate bands rather than as overlays, so no card, message or control can be drawn across her.</w:t>
      </w:r>
    </w:p>
    <w:p>
      <w:pPr>
        <w:spacing w:after="160" w:line="276"/>
      </w:pPr>
      <w:r>
        <w:rPr>
          <w:rFonts w:ascii="Calibri" w:cs="Calibri" w:eastAsia="Calibri" w:hAnsi="Calibri"/>
          <w:color w:val="3D3630"/>
          <w:sz w:val="21"/>
          <w:szCs w:val="21"/>
        </w:rPr>
        <w:t xml:space="preserve">This is a design rule, not a preference. An advisor rehearsing a customer conversation is practising eye contact and delivery. A face obscured by a dialogue box turns a rehearsal back into reading a screen.</w:t>
      </w:r>
    </w:p>
    <w:p>
      <w:pPr>
        <w:pStyle w:val="Heading2"/>
        <w:spacing w:after="110" w:before="260"/>
      </w:pPr>
      <w:r>
        <w:rPr>
          <w:rFonts w:ascii="Georgia" w:cs="Georgia" w:eastAsia="Georgia" w:hAnsi="Georgia"/>
          <w:b/>
          <w:bCs/>
          <w:color w:val="1A1613"/>
          <w:sz w:val="23"/>
          <w:szCs w:val="23"/>
        </w:rPr>
        <w:t xml:space="preserve">Voice out, voice in</w:t>
      </w:r>
    </w:p>
    <w:p>
      <w:pPr>
        <w:spacing w:after="160" w:line="276"/>
      </w:pPr>
      <w:r>
        <w:rPr>
          <w:rFonts w:ascii="Calibri" w:cs="Calibri" w:eastAsia="Calibri" w:hAnsi="Calibri"/>
          <w:color w:val="3D3630"/>
          <w:sz w:val="21"/>
          <w:szCs w:val="21"/>
        </w:rPr>
        <w:t xml:space="preserve">HoloMe provides the avatar and her voice; Whisper is how she hears. Both are confirmed across all six coaching languages.</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1700"/>
        <w:gridCol w:w="4626"/>
        <w:gridCol w:w="1350"/>
        <w:gridCol w:w="1350"/>
      </w:tblGrid>
      <w:tr>
        <w:trPr>
          <w:tblHeader/>
        </w:trPr>
        <w:tc>
          <w:tcPr>
            <w:tcW w:type="dxa" w:w="17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Language</w:t>
            </w:r>
          </w:p>
        </w:tc>
        <w:tc>
          <w:tcPr>
            <w:tcW w:type="dxa" w:w="46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Zone coverage and why it earns a place</w:t>
            </w:r>
          </w:p>
        </w:tc>
        <w:tc>
          <w:tcPr>
            <w:tcW w:type="dxa" w:w="135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Voice out</w:t>
            </w:r>
          </w:p>
        </w:tc>
        <w:tc>
          <w:tcPr>
            <w:tcW w:type="dxa" w:w="135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Voice in</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English</w:t>
            </w:r>
          </w:p>
        </w:tc>
        <w:tc>
          <w:tcPr>
            <w:tcW w:type="dxa" w:w="4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Global HQ, North America, India, South-East Asia. The source language every pack is authored in.</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HoloMe ✓</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Whisper ✓</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Français</w:t>
            </w:r>
          </w:p>
        </w:tc>
        <w:tc>
          <w:tcPr>
            <w:tcW w:type="dxa" w:w="4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Europe, Canada and francophone Sub-Saharan Africa — and the language of the Paris approval chain itself.</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HoloMe ✓</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Whisper ✓</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العربية  Arabic</w:t>
            </w:r>
          </w:p>
        </w:tc>
        <w:tc>
          <w:tcPr>
            <w:tcW w:type="dxa" w:w="4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SAPMENA — Gulf, Levant, North Africa. Pharmacy-heavy, so Dermatological Beauty-critical. Full right-to-left interface.</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HoloMe ✓</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Whisper ✓</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中文  Chinese</w:t>
            </w:r>
          </w:p>
        </w:tc>
        <w:tc>
          <w:tcPr>
            <w:tcW w:type="dxa" w:w="4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North Asia. Among the group's largest markets, and the one with the tightest local advertising-claim enforcement.</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HoloMe ✓</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Whisper ✓</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日本語  Japanese</w:t>
            </w:r>
          </w:p>
        </w:tc>
        <w:tc>
          <w:tcPr>
            <w:tcW w:type="dxa" w:w="4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North Asia. Quasi-drug classification makes exact claim wording legally load-bearing.</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HoloMe ✓</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Whisper ✓</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हिन्दी  Hindi</w:t>
            </w:r>
          </w:p>
        </w:tc>
        <w:tc>
          <w:tcPr>
            <w:tcW w:type="dxa" w:w="46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SAPMENA — India. Mass-channel scale, where promoter turnover is highest.</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HoloMe ✓</w:t>
            </w:r>
          </w:p>
        </w:tc>
        <w:tc>
          <w:tcPr>
            <w:tcW w:type="dxa" w:w="135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Whisper ✓</w:t>
            </w:r>
          </w:p>
        </w:tc>
      </w:tr>
    </w:tbl>
    <w:p>
      <w:pPr>
        <w:spacing w:after="200"/>
      </w:pPr>
    </w:p>
    <w:p>
      <w:pPr>
        <w:pStyle w:val="Heading2"/>
        <w:spacing w:after="110" w:before="260"/>
      </w:pPr>
      <w:r>
        <w:rPr>
          <w:rFonts w:ascii="Georgia" w:cs="Georgia" w:eastAsia="Georgia" w:hAnsi="Georgia"/>
          <w:b/>
          <w:bCs/>
          <w:color w:val="1A1613"/>
          <w:sz w:val="23"/>
          <w:szCs w:val="23"/>
        </w:rPr>
        <w:t xml:space="preserve">Two decisions inside the speech layer worth knowing</w:t>
      </w:r>
    </w:p>
    <w:p>
      <w:pPr>
        <w:pStyle w:val="Heading3"/>
        <w:spacing w:after="80" w:before="200"/>
      </w:pPr>
      <w:r>
        <w:rPr>
          <w:rFonts w:ascii="Calibri" w:cs="Calibri" w:eastAsia="Calibri" w:hAnsi="Calibri"/>
          <w:b/>
          <w:bCs/>
          <w:color w:val="8A6A18"/>
          <w:sz w:val="21"/>
          <w:szCs w:val="21"/>
        </w:rPr>
        <w:t xml:space="preserve">The session language is pinned, never detected</w:t>
      </w:r>
    </w:p>
    <w:p>
      <w:pPr>
        <w:spacing w:after="160" w:line="276"/>
      </w:pPr>
      <w:r>
        <w:rPr>
          <w:rFonts w:ascii="Calibri" w:cs="Calibri" w:eastAsia="Calibri" w:hAnsi="Calibri"/>
          <w:color w:val="3D3630"/>
          <w:sz w:val="21"/>
          <w:szCs w:val="21"/>
        </w:rPr>
        <w:t xml:space="preserve">Speech recognition guesses language from short audio and confuses neighbours — Arabic with Farsi, Hindi with Marathi. Because the transcript becomes scored evidence with a verbatim quote attached, a guess one language off would grade an advisor against a pack they never spoke. The language is therefore taken from the booked session and fixed, not inferred from the audio.</w:t>
      </w:r>
    </w:p>
    <w:p>
      <w:pPr>
        <w:pStyle w:val="Heading3"/>
        <w:spacing w:after="80" w:before="200"/>
      </w:pPr>
      <w:r>
        <w:rPr>
          <w:rFonts w:ascii="Calibri" w:cs="Calibri" w:eastAsia="Calibri" w:hAnsi="Calibri"/>
          <w:b/>
          <w:bCs/>
          <w:color w:val="8A6A18"/>
          <w:sz w:val="21"/>
          <w:szCs w:val="21"/>
        </w:rPr>
        <w:t xml:space="preserve">A failed transcription returns nothing, not a best guess</w:t>
      </w:r>
    </w:p>
    <w:p>
      <w:pPr>
        <w:spacing w:after="160" w:line="276"/>
      </w:pPr>
      <w:r>
        <w:rPr>
          <w:rFonts w:ascii="Calibri" w:cs="Calibri" w:eastAsia="Calibri" w:hAnsi="Calibri"/>
          <w:color w:val="3D3630"/>
          <w:sz w:val="21"/>
          <w:szCs w:val="21"/>
        </w:rPr>
        <w:t xml:space="preserve">If the system cannot make out what was said, it says so and asks the advisor to type instead. It never fabricates an utterance in order to have something to score. Speech capture is also push-to-talk rather than automatic: an advisor rehearsing a pitch pauses mid-sentence to think, and automatic cut-off ends the sentence exactly there.</w:t>
      </w:r>
    </w:p>
    <w:p>
      <w:pPr>
        <w:spacing w:after="160" w:line="276"/>
      </w:pPr>
      <w:r>
        <w:rPr>
          <w:rFonts w:ascii="Calibri" w:cs="Calibri" w:eastAsia="Calibri" w:hAnsi="Calibri"/>
          <w:color w:val="3D3630"/>
          <w:sz w:val="21"/>
          <w:szCs w:val="21"/>
        </w:rPr>
        <w:t xml:space="preserve">Transcription is additionally primed with brand and ingredient vocabulary per language. Left untuned, speech recognition renders "Kérastase" and "Effaclar" as nonsense, which then silently fails claim matching and scores an advisor down for wording they said correctly.</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6</w:t>
      </w:r>
    </w:p>
    <w:p>
      <w:pPr>
        <w:pStyle w:val="Heading1"/>
        <w:spacing w:after="170" w:before="380"/>
      </w:pPr>
      <w:r>
        <w:rPr>
          <w:rFonts w:ascii="Georgia" w:cs="Georgia" w:eastAsia="Georgia" w:hAnsi="Georgia"/>
          <w:b/>
          <w:bCs/>
          <w:color w:val="1A1613"/>
          <w:sz w:val="30"/>
          <w:szCs w:val="30"/>
        </w:rPr>
        <w:t xml:space="preserve">How this helps L'Oréal</w:t>
      </w:r>
    </w:p>
    <w:p>
      <w:pPr>
        <w:spacing w:after="160" w:line="276"/>
      </w:pPr>
      <w:r>
        <w:rPr>
          <w:rFonts w:ascii="Calibri" w:cs="Calibri" w:eastAsia="Calibri" w:hAnsi="Calibri"/>
          <w:color w:val="3D3630"/>
          <w:sz w:val="21"/>
          <w:szCs w:val="21"/>
        </w:rPr>
        <w:t xml:space="preserve">The same loop pays off differently depending on where in the organisation you sit. This section is written so each stakeholder can read their own paragraph and recognise their own problem in it.</w:t>
      </w:r>
    </w:p>
    <w:p>
      <w:pPr>
        <w:pStyle w:val="Heading2"/>
        <w:spacing w:after="110" w:before="260"/>
      </w:pPr>
      <w:r>
        <w:rPr>
          <w:rFonts w:ascii="Georgia" w:cs="Georgia" w:eastAsia="Georgia" w:hAnsi="Georgia"/>
          <w:b/>
          <w:bCs/>
          <w:color w:val="1A1613"/>
          <w:sz w:val="23"/>
          <w:szCs w:val="23"/>
        </w:rPr>
        <w:t xml:space="preserve">Product and marketing teams</w:t>
      </w:r>
    </w:p>
    <w:p>
      <w:pPr>
        <w:pStyle w:val="Heading3"/>
        <w:spacing w:after="80" w:before="200"/>
      </w:pPr>
      <w:r>
        <w:rPr>
          <w:rFonts w:ascii="Calibri" w:cs="Calibri" w:eastAsia="Calibri" w:hAnsi="Calibri"/>
          <w:b/>
          <w:bCs/>
          <w:color w:val="8A6A18"/>
          <w:sz w:val="21"/>
          <w:szCs w:val="21"/>
        </w:rPr>
        <w:t xml:space="preserve">Your launch message actually arrives</w:t>
      </w:r>
    </w:p>
    <w:p>
      <w:pPr>
        <w:spacing w:after="160" w:line="276"/>
      </w:pPr>
      <w:r>
        <w:rPr>
          <w:rFonts w:ascii="Calibri" w:cs="Calibri" w:eastAsia="Calibri" w:hAnsi="Calibri"/>
          <w:color w:val="3D3630"/>
          <w:sz w:val="21"/>
          <w:szCs w:val="21"/>
        </w:rPr>
        <w:t xml:space="preserve">You write the positioning once and it reaches every advisor in every market unchanged — not a summary of a summary made by someone who saw the deck in March. When you revise a claim, the revision is live in the next coaching session rather than in the next training cycle.</w:t>
      </w:r>
    </w:p>
    <w:p>
      <w:pPr>
        <w:spacing w:after="160" w:line="276"/>
      </w:pPr>
      <w:r>
        <w:rPr>
          <w:rFonts w:ascii="Calibri" w:cs="Calibri" w:eastAsia="Calibri" w:hAnsi="Calibri"/>
          <w:color w:val="3D3630"/>
          <w:sz w:val="21"/>
          <w:szCs w:val="21"/>
        </w:rPr>
        <w:t xml:space="preserve">You also find out which of your claims advisors cannot carry. If nobody in three markets ever repeats your hero claim, that is a message problem you learn about in week two instead of after the launch. Today that signal does not exist at all.</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The gain</w:t>
            </w:r>
          </w:p>
          <w:p>
            <w:pPr>
              <w:spacing w:after="0" w:line="276"/>
            </w:pPr>
            <w:r>
              <w:rPr>
                <w:rFonts w:ascii="Calibri" w:cs="Calibri" w:eastAsia="Calibri" w:hAnsi="Calibri"/>
                <w:color w:val="3D3630"/>
                <w:sz w:val="20"/>
                <w:szCs w:val="20"/>
              </w:rPr>
              <w:t xml:space="preserve">Launch messaging lands intact, and weak claims surface before the launch rather than after it.</w:t>
            </w:r>
          </w:p>
        </w:tc>
      </w:tr>
    </w:tbl>
    <w:p>
      <w:pPr>
        <w:spacing w:after="160"/>
      </w:pPr>
    </w:p>
    <w:p>
      <w:pPr>
        <w:pStyle w:val="Heading2"/>
        <w:spacing w:after="110" w:before="260"/>
      </w:pPr>
      <w:r>
        <w:rPr>
          <w:rFonts w:ascii="Georgia" w:cs="Georgia" w:eastAsia="Georgia" w:hAnsi="Georgia"/>
          <w:b/>
          <w:bCs/>
          <w:color w:val="1A1613"/>
          <w:sz w:val="23"/>
          <w:szCs w:val="23"/>
        </w:rPr>
        <w:t xml:space="preserve">Regulatory and legal</w:t>
      </w:r>
    </w:p>
    <w:p>
      <w:pPr>
        <w:pStyle w:val="Heading3"/>
        <w:spacing w:after="80" w:before="200"/>
      </w:pPr>
      <w:r>
        <w:rPr>
          <w:rFonts w:ascii="Calibri" w:cs="Calibri" w:eastAsia="Calibri" w:hAnsi="Calibri"/>
          <w:b/>
          <w:bCs/>
          <w:color w:val="8A6A18"/>
          <w:sz w:val="21"/>
          <w:szCs w:val="21"/>
        </w:rPr>
        <w:t xml:space="preserve">A claim can no longer drift quietly</w:t>
      </w:r>
    </w:p>
    <w:p>
      <w:pPr>
        <w:spacing w:after="160" w:line="276"/>
      </w:pPr>
      <w:r>
        <w:rPr>
          <w:rFonts w:ascii="Calibri" w:cs="Calibri" w:eastAsia="Calibri" w:hAnsi="Calibri"/>
          <w:color w:val="3D3630"/>
          <w:sz w:val="21"/>
          <w:szCs w:val="21"/>
        </w:rPr>
        <w:t xml:space="preserve">The coach quotes approved wording verbatim and refuses to speak any language pack a market has not signed off. Forbidden wording is scored against explicitly, so an advisor drifting toward treatment or cure language is caught and corrected in rehearsal — not in front of a customer, and not in a complaint file.</w:t>
      </w:r>
    </w:p>
    <w:p>
      <w:pPr>
        <w:spacing w:after="160" w:line="276"/>
      </w:pPr>
      <w:r>
        <w:rPr>
          <w:rFonts w:ascii="Calibri" w:cs="Calibri" w:eastAsia="Calibri" w:hAnsi="Calibri"/>
          <w:color w:val="3D3630"/>
          <w:sz w:val="21"/>
          <w:szCs w:val="21"/>
        </w:rPr>
        <w:t xml:space="preserve">Every pack is versioned and every session is logged. The chain from approved claim to spoken word becomes auditable for the first time, and the approval workflow itself lives in a system rather than in an email thread.</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The gain</w:t>
            </w:r>
          </w:p>
          <w:p>
            <w:pPr>
              <w:spacing w:after="0" w:line="276"/>
            </w:pPr>
            <w:r>
              <w:rPr>
                <w:rFonts w:ascii="Calibri" w:cs="Calibri" w:eastAsia="Calibri" w:hAnsi="Calibri"/>
                <w:color w:val="3D3630"/>
                <w:sz w:val="20"/>
                <w:szCs w:val="20"/>
              </w:rPr>
              <w:t xml:space="preserve">Claim compliance becomes observable and auditable instead of assumed.</w:t>
            </w:r>
          </w:p>
        </w:tc>
      </w:tr>
    </w:tbl>
    <w:p>
      <w:pPr>
        <w:spacing w:after="160"/>
      </w:pPr>
    </w:p>
    <w:p>
      <w:pPr>
        <w:pStyle w:val="Heading2"/>
        <w:spacing w:after="110" w:before="260"/>
      </w:pPr>
      <w:r>
        <w:rPr>
          <w:rFonts w:ascii="Georgia" w:cs="Georgia" w:eastAsia="Georgia" w:hAnsi="Georgia"/>
          <w:b/>
          <w:bCs/>
          <w:color w:val="1A1613"/>
          <w:sz w:val="23"/>
          <w:szCs w:val="23"/>
        </w:rPr>
        <w:t xml:space="preserve">Zone and market leadership</w:t>
      </w:r>
    </w:p>
    <w:p>
      <w:pPr>
        <w:pStyle w:val="Heading3"/>
        <w:spacing w:after="80" w:before="200"/>
      </w:pPr>
      <w:r>
        <w:rPr>
          <w:rFonts w:ascii="Calibri" w:cs="Calibri" w:eastAsia="Calibri" w:hAnsi="Calibri"/>
          <w:b/>
          <w:bCs/>
          <w:color w:val="8A6A18"/>
          <w:sz w:val="21"/>
          <w:szCs w:val="21"/>
        </w:rPr>
        <w:t xml:space="preserve">You see readiness before the launch, not after the numbers</w:t>
      </w:r>
    </w:p>
    <w:p>
      <w:pPr>
        <w:spacing w:after="160" w:line="276"/>
      </w:pPr>
      <w:r>
        <w:rPr>
          <w:rFonts w:ascii="Calibri" w:cs="Calibri" w:eastAsia="Calibri" w:hAnsi="Calibri"/>
          <w:color w:val="3D3630"/>
          <w:sz w:val="21"/>
          <w:szCs w:val="21"/>
        </w:rPr>
        <w:t xml:space="preserve">Sell-out data tells you a launch went badly about a month too late, and it cannot separate a message failure from a stock or pricing failure. Readiness tells you which markets, territories and distributors are cold while you can still act — reallocate coaching, delay a market, or push a distributor.</w:t>
      </w:r>
    </w:p>
    <w:p>
      <w:pPr>
        <w:spacing w:after="160" w:line="276"/>
      </w:pPr>
      <w:r>
        <w:rPr>
          <w:rFonts w:ascii="Calibri" w:cs="Calibri" w:eastAsia="Calibri" w:hAnsi="Calibri"/>
          <w:color w:val="3D3630"/>
          <w:sz w:val="21"/>
          <w:szCs w:val="21"/>
        </w:rPr>
        <w:t xml:space="preserve">Because scoring is division-weighted, a readiness figure means the same thing whether the market is a pharmacy network or a hypermarket chain, so zones become comparable to each other in a way they currently are not.</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The gain</w:t>
            </w:r>
          </w:p>
          <w:p>
            <w:pPr>
              <w:spacing w:after="0" w:line="276"/>
            </w:pPr>
            <w:r>
              <w:rPr>
                <w:rFonts w:ascii="Calibri" w:cs="Calibri" w:eastAsia="Calibri" w:hAnsi="Calibri"/>
                <w:color w:val="3D3630"/>
                <w:sz w:val="20"/>
                <w:szCs w:val="20"/>
              </w:rPr>
              <w:t xml:space="preserve">A leading indicator of launch execution, available weeks ahead of sell-out data.</w:t>
            </w:r>
          </w:p>
        </w:tc>
      </w:tr>
    </w:tbl>
    <w:p>
      <w:pPr>
        <w:spacing w:after="160"/>
      </w:pPr>
    </w:p>
    <w:p>
      <w:pPr>
        <w:pStyle w:val="Heading2"/>
        <w:spacing w:after="110" w:before="260"/>
      </w:pPr>
      <w:r>
        <w:rPr>
          <w:rFonts w:ascii="Georgia" w:cs="Georgia" w:eastAsia="Georgia" w:hAnsi="Georgia"/>
          <w:b/>
          <w:bCs/>
          <w:color w:val="1A1613"/>
          <w:sz w:val="23"/>
          <w:szCs w:val="23"/>
        </w:rPr>
        <w:t xml:space="preserve">Distributors and Learning &amp; Development</w:t>
      </w:r>
    </w:p>
    <w:p>
      <w:pPr>
        <w:pStyle w:val="Heading3"/>
        <w:spacing w:after="80" w:before="200"/>
      </w:pPr>
      <w:r>
        <w:rPr>
          <w:rFonts w:ascii="Calibri" w:cs="Calibri" w:eastAsia="Calibri" w:hAnsi="Calibri"/>
          <w:b/>
          <w:bCs/>
          <w:color w:val="8A6A18"/>
          <w:sz w:val="21"/>
          <w:szCs w:val="21"/>
        </w:rPr>
        <w:t xml:space="preserve">Training that scales past the trainer</w:t>
      </w:r>
    </w:p>
    <w:p>
      <w:pPr>
        <w:spacing w:after="160" w:line="276"/>
      </w:pPr>
      <w:r>
        <w:rPr>
          <w:rFonts w:ascii="Calibri" w:cs="Calibri" w:eastAsia="Calibri" w:hAnsi="Calibri"/>
          <w:color w:val="3D3630"/>
          <w:sz w:val="21"/>
          <w:szCs w:val="21"/>
        </w:rPr>
        <w:t xml:space="preserve">A market trainer can run a handful of sessions a week. The coach runs them in parallel, at any hour, in the advisor's own language, and never tires of the same objection. High-turnover channels stop being the place where launch knowledge goes to die.</w:t>
      </w:r>
    </w:p>
    <w:p>
      <w:pPr>
        <w:spacing w:after="160" w:line="276"/>
      </w:pPr>
      <w:r>
        <w:rPr>
          <w:rFonts w:ascii="Calibri" w:cs="Calibri" w:eastAsia="Calibri" w:hAnsi="Calibri"/>
          <w:color w:val="3D3630"/>
          <w:sz w:val="21"/>
          <w:szCs w:val="21"/>
        </w:rPr>
        <w:t xml:space="preserve">Certification stops meaning attendance. An advisor is certified because they held the approved wording under pressure, with the transcript to show for it — and the same evidence tells the trainer exactly which advisors need a human session rather than another automated one.</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The gain</w:t>
            </w:r>
          </w:p>
          <w:p>
            <w:pPr>
              <w:spacing w:after="0" w:line="276"/>
            </w:pPr>
            <w:r>
              <w:rPr>
                <w:rFonts w:ascii="Calibri" w:cs="Calibri" w:eastAsia="Calibri" w:hAnsi="Calibri"/>
                <w:color w:val="3D3630"/>
                <w:sz w:val="20"/>
                <w:szCs w:val="20"/>
              </w:rPr>
              <w:t xml:space="preserve">Coaching capacity decoupled from headcount, and certification backed by evidence rather than attendance.</w:t>
            </w:r>
          </w:p>
        </w:tc>
      </w:tr>
    </w:tbl>
    <w:p>
      <w:pPr>
        <w:spacing w:after="160"/>
      </w:pPr>
    </w:p>
    <w:p>
      <w:pPr>
        <w:pStyle w:val="Heading2"/>
        <w:spacing w:after="110" w:before="260"/>
      </w:pPr>
      <w:r>
        <w:rPr>
          <w:rFonts w:ascii="Georgia" w:cs="Georgia" w:eastAsia="Georgia" w:hAnsi="Georgia"/>
          <w:b/>
          <w:bCs/>
          <w:color w:val="1A1613"/>
          <w:sz w:val="23"/>
          <w:szCs w:val="23"/>
        </w:rPr>
        <w:t xml:space="preserve">The advisor</w:t>
      </w:r>
    </w:p>
    <w:p>
      <w:pPr>
        <w:pStyle w:val="Heading3"/>
        <w:spacing w:after="80" w:before="200"/>
      </w:pPr>
      <w:r>
        <w:rPr>
          <w:rFonts w:ascii="Calibri" w:cs="Calibri" w:eastAsia="Calibri" w:hAnsi="Calibri"/>
          <w:b/>
          <w:bCs/>
          <w:color w:val="8A6A18"/>
          <w:sz w:val="21"/>
          <w:szCs w:val="21"/>
        </w:rPr>
        <w:t xml:space="preserve">Somewhere safe to be wrong</w:t>
      </w:r>
    </w:p>
    <w:p>
      <w:pPr>
        <w:spacing w:after="160" w:line="276"/>
      </w:pPr>
      <w:r>
        <w:rPr>
          <w:rFonts w:ascii="Calibri" w:cs="Calibri" w:eastAsia="Calibri" w:hAnsi="Calibri"/>
          <w:color w:val="3D3630"/>
          <w:sz w:val="21"/>
          <w:szCs w:val="21"/>
        </w:rPr>
        <w:t xml:space="preserve">A private session where an advisor can fumble the objection three times, in their own language, with nobody watching and no customer lost. The coach corrects gently, hands over the approved sentence, and makes them say it back.</w:t>
      </w:r>
    </w:p>
    <w:p>
      <w:pPr>
        <w:spacing w:after="160" w:line="276"/>
      </w:pPr>
      <w:r>
        <w:rPr>
          <w:rFonts w:ascii="Calibri" w:cs="Calibri" w:eastAsia="Calibri" w:hAnsi="Calibri"/>
          <w:color w:val="3D3630"/>
          <w:sz w:val="21"/>
          <w:szCs w:val="21"/>
        </w:rPr>
        <w:t xml:space="preserve">Advisors who feel prepared sell better and stay longer. It is the least measurable benefit in this document and probably not the smallest.</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The gain</w:t>
            </w:r>
          </w:p>
          <w:p>
            <w:pPr>
              <w:spacing w:after="0" w:line="276"/>
            </w:pPr>
            <w:r>
              <w:rPr>
                <w:rFonts w:ascii="Calibri" w:cs="Calibri" w:eastAsia="Calibri" w:hAnsi="Calibri"/>
                <w:color w:val="3D3630"/>
                <w:sz w:val="20"/>
                <w:szCs w:val="20"/>
              </w:rPr>
              <w:t xml:space="preserve">Confidence at the counter, built by rehearsal rather than by reading.</w:t>
            </w:r>
          </w:p>
        </w:tc>
      </w:tr>
    </w:tbl>
    <w:p>
      <w:pPr>
        <w:spacing w:after="160"/>
      </w:pPr>
    </w:p>
    <w:p>
      <w:pPr>
        <w:pStyle w:val="Heading2"/>
        <w:spacing w:after="110" w:before="260"/>
      </w:pPr>
      <w:r>
        <w:rPr>
          <w:rFonts w:ascii="Georgia" w:cs="Georgia" w:eastAsia="Georgia" w:hAnsi="Georgia"/>
          <w:b/>
          <w:bCs/>
          <w:color w:val="1A1613"/>
          <w:sz w:val="23"/>
          <w:szCs w:val="23"/>
        </w:rPr>
        <w:t xml:space="preserve">The group</w:t>
      </w:r>
    </w:p>
    <w:p>
      <w:pPr>
        <w:pStyle w:val="Heading3"/>
        <w:spacing w:after="80" w:before="200"/>
      </w:pPr>
      <w:r>
        <w:rPr>
          <w:rFonts w:ascii="Calibri" w:cs="Calibri" w:eastAsia="Calibri" w:hAnsi="Calibri"/>
          <w:b/>
          <w:bCs/>
          <w:color w:val="8A6A18"/>
          <w:sz w:val="21"/>
          <w:szCs w:val="21"/>
        </w:rPr>
        <w:t xml:space="preserve">A product-knowledge asset that compounds</w:t>
      </w:r>
    </w:p>
    <w:p>
      <w:pPr>
        <w:spacing w:after="160" w:line="276"/>
      </w:pPr>
      <w:r>
        <w:rPr>
          <w:rFonts w:ascii="Calibri" w:cs="Calibri" w:eastAsia="Calibri" w:hAnsi="Calibri"/>
          <w:color w:val="3D3630"/>
          <w:sz w:val="21"/>
          <w:szCs w:val="21"/>
        </w:rPr>
        <w:t xml:space="preserve">Every launch published into the Nexus stays there — versioned, in every approved language, with its claims, objections and forbidden wording intact. Over two or three years that becomes L'Oréal's structured product-knowledge library: the canonical answer to "what are we allowed to say about this product, in this market, right now."</w:t>
      </w:r>
    </w:p>
    <w:p>
      <w:pPr>
        <w:spacing w:after="160" w:line="276"/>
      </w:pPr>
      <w:r>
        <w:rPr>
          <w:rFonts w:ascii="Calibri" w:cs="Calibri" w:eastAsia="Calibri" w:hAnsi="Calibri"/>
          <w:color w:val="3D3630"/>
          <w:sz w:val="21"/>
          <w:szCs w:val="21"/>
        </w:rPr>
        <w:t xml:space="preserve">That asset outlives the training it was built for. It is the substrate for advisor apps, consumer-facing assistants, retail media compliance checks and internal search. Of everything in this paper, it is the item with the longest payback.</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The gain</w:t>
            </w:r>
          </w:p>
          <w:p>
            <w:pPr>
              <w:spacing w:after="0" w:line="276"/>
            </w:pPr>
            <w:r>
              <w:rPr>
                <w:rFonts w:ascii="Calibri" w:cs="Calibri" w:eastAsia="Calibri" w:hAnsi="Calibri"/>
                <w:color w:val="3D3630"/>
                <w:sz w:val="20"/>
                <w:szCs w:val="20"/>
              </w:rPr>
              <w:t xml:space="preserve">A durable, structured claims library — reusable far beyond coaching.</w:t>
            </w:r>
          </w:p>
        </w:tc>
      </w:tr>
    </w:tbl>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7</w:t>
      </w:r>
    </w:p>
    <w:p>
      <w:pPr>
        <w:pStyle w:val="Heading1"/>
        <w:spacing w:after="170" w:before="380"/>
      </w:pPr>
      <w:r>
        <w:rPr>
          <w:rFonts w:ascii="Georgia" w:cs="Georgia" w:eastAsia="Georgia" w:hAnsi="Georgia"/>
          <w:b/>
          <w:bCs/>
          <w:color w:val="1A1613"/>
          <w:sz w:val="30"/>
          <w:szCs w:val="30"/>
        </w:rPr>
        <w:t xml:space="preserve">What is built today</w:t>
      </w:r>
    </w:p>
    <w:p>
      <w:pPr>
        <w:spacing w:after="160" w:line="276"/>
      </w:pPr>
      <w:r>
        <w:rPr>
          <w:rFonts w:ascii="Calibri" w:cs="Calibri" w:eastAsia="Calibri" w:hAnsi="Calibri"/>
          <w:color w:val="3D3630"/>
          <w:sz w:val="21"/>
          <w:szCs w:val="21"/>
        </w:rPr>
        <w:t xml:space="preserve">This is a working system, not a concept. The following is running end to end and has been verified across every division and language combination.</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2200"/>
        <w:gridCol w:w="1100"/>
        <w:gridCol w:w="5726"/>
      </w:tblGrid>
      <w:tr>
        <w:trPr>
          <w:tblHeader/>
        </w:trPr>
        <w:tc>
          <w:tcPr>
            <w:tcW w:type="dxa" w:w="22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Capability</w:t>
            </w:r>
          </w:p>
        </w:tc>
        <w:tc>
          <w:tcPr>
            <w:tcW w:type="dxa" w:w="11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State</w:t>
            </w:r>
          </w:p>
        </w:tc>
        <w:tc>
          <w:tcPr>
            <w:tcW w:type="dxa" w:w="57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Detail</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Four divisions modelled</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CPD, Luxe, Dermatological Beauty and PPD, each with its own advisor type, coaching guardrail, channel vocabulary and weighted rubric.</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Brand portfolio</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Around 37 international brands mapped to divisions, with division resolved from the product so brands spanning two divisions behave correctly.</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Six languages</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English, French, Arabic, Chinese, Japanese and Hindi. Every catalogue product carries a market-approved pack in every language.</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Digital human</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HoloMe avatar with confirmed voice in all six languages; layout guarantees the coach is never overlapped by interface.</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Speech input</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Whisper transcription with session language pinned and brand vocabulary primed. Requires a service credential to run live.</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Product Nexus</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Upload, version, translate and approve launch packs; per-language governance status controlled by the market reviewer.</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Governed conversation</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Answers only from the published pack; approved claims quoted verbatim; refuses unapproved language packs at a single enforcement point.</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Readiness scoring</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Six dimensions, division-weighted, with verbatim evidence and explicit untested marking.</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HQ dashboard</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Built</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Launch readiness rolled up by market, territory, distributor and advisor, wired to live session data.</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Localised product names</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Gap</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In the application the product name currently stays English inside a non-English session. Correct for many markets, wrong for North Asia where local names are used. Small schema change; identified, not yet done.</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Scoring engine depth</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Planned</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Current scoring is rubric-based. An evaluation model that cites the approved claim as evidence for each score is the next upgrade.</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Zone as a reporting level</w:t>
            </w:r>
          </w:p>
        </w:tc>
        <w:tc>
          <w:tcPr>
            <w:tcW w:type="dxa" w:w="1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Planned</w:t>
            </w:r>
          </w:p>
        </w:tc>
        <w:tc>
          <w:tcPr>
            <w:tcW w:type="dxa" w:w="57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HQ currently rolls up to market. Adding zone above market lets SAPMENA and North Asia be compared directly.</w:t>
            </w:r>
          </w:p>
        </w:tc>
      </w:tr>
    </w:tbl>
    <w:p>
      <w:pPr>
        <w:spacing w:after="200"/>
      </w:pP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On the sample content</w:t>
            </w:r>
          </w:p>
          <w:p>
            <w:pPr>
              <w:spacing w:after="0" w:line="276"/>
            </w:pPr>
            <w:r>
              <w:rPr>
                <w:rFonts w:ascii="Calibri" w:cs="Calibri" w:eastAsia="Calibri" w:hAnsi="Calibri"/>
                <w:color w:val="3D3630"/>
                <w:sz w:val="20"/>
                <w:szCs w:val="20"/>
              </w:rPr>
              <w:t xml:space="preserve">The launch content in the current build is illustrative and written to be plausible, not client-approved. Real claims enter through the Nexus from L'Oréal's own launch materials and are approved by L'Oréal's own reviewers. Nothing in the demonstration should be read as approved L'Oréal wording.</w:t>
            </w:r>
          </w:p>
        </w:tc>
      </w:tr>
    </w:tbl>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8</w:t>
      </w:r>
    </w:p>
    <w:p>
      <w:pPr>
        <w:pStyle w:val="Heading1"/>
        <w:spacing w:after="170" w:before="380"/>
      </w:pPr>
      <w:r>
        <w:rPr>
          <w:rFonts w:ascii="Georgia" w:cs="Georgia" w:eastAsia="Georgia" w:hAnsi="Georgia"/>
          <w:b/>
          <w:bCs/>
          <w:color w:val="1A1613"/>
          <w:sz w:val="30"/>
          <w:szCs w:val="30"/>
        </w:rPr>
        <w:t xml:space="preserve">Deployment and data</w:t>
      </w:r>
    </w:p>
    <w:p>
      <w:pPr>
        <w:pStyle w:val="Heading2"/>
        <w:spacing w:after="110" w:before="260"/>
      </w:pPr>
      <w:r>
        <w:rPr>
          <w:rFonts w:ascii="Georgia" w:cs="Georgia" w:eastAsia="Georgia" w:hAnsi="Georgia"/>
          <w:b/>
          <w:bCs/>
          <w:color w:val="1A1613"/>
          <w:sz w:val="23"/>
          <w:szCs w:val="23"/>
        </w:rPr>
        <w:t xml:space="preserve">How it reaches advisors</w:t>
      </w:r>
    </w:p>
    <w:p>
      <w:pPr>
        <w:spacing w:after="160" w:line="276"/>
      </w:pPr>
      <w:r>
        <w:rPr>
          <w:rFonts w:ascii="Calibri" w:cs="Calibri" w:eastAsia="Calibri" w:hAnsi="Calibri"/>
          <w:color w:val="3D3630"/>
          <w:sz w:val="21"/>
          <w:szCs w:val="21"/>
        </w:rPr>
        <w:t xml:space="preserve">The coach runs as a web application. There is no app to install, which matters in channels where the device is a shared shop tablet or the advisor's own phone, and where asking a promoter to install anything reduces adoption to near zero.</w:t>
      </w:r>
    </w:p>
    <w:p>
      <w:pPr>
        <w:spacing w:after="160" w:line="276"/>
      </w:pPr>
      <w:r>
        <w:rPr>
          <w:rFonts w:ascii="Calibri" w:cs="Calibri" w:eastAsia="Calibri" w:hAnsi="Calibri"/>
          <w:color w:val="3D3630"/>
          <w:sz w:val="21"/>
          <w:szCs w:val="21"/>
        </w:rPr>
        <w:t xml:space="preserve">Access is by distributor-issued code. That establishes country, territory and distributor at sign-in rather than asking an advisor to type them — which also means the readiness roll-up is accurate without depending on anyone entering their own market correctly.</w:t>
      </w:r>
    </w:p>
    <w:p>
      <w:pPr>
        <w:pStyle w:val="Heading2"/>
        <w:spacing w:after="110" w:before="260"/>
      </w:pPr>
      <w:r>
        <w:rPr>
          <w:rFonts w:ascii="Georgia" w:cs="Georgia" w:eastAsia="Georgia" w:hAnsi="Georgia"/>
          <w:b/>
          <w:bCs/>
          <w:color w:val="1A1613"/>
          <w:sz w:val="23"/>
          <w:szCs w:val="23"/>
        </w:rPr>
        <w:t xml:space="preserve">Data residency is a setting, not an afterthought</w:t>
      </w:r>
    </w:p>
    <w:p>
      <w:pPr>
        <w:spacing w:after="160" w:line="276"/>
      </w:pPr>
      <w:r>
        <w:rPr>
          <w:rFonts w:ascii="Calibri" w:cs="Calibri" w:eastAsia="Calibri" w:hAnsi="Calibri"/>
          <w:color w:val="3D3630"/>
          <w:sz w:val="21"/>
          <w:szCs w:val="21"/>
        </w:rPr>
        <w:t xml:space="preserve">Speech transcription can point either at a hosted service for a pilot, or at a compatible endpoint inside L'Oréal's own network for markets where advisor voice recordings cannot leave the perimeter. The same applies to the pack store and the session log.</w:t>
      </w:r>
    </w:p>
    <w:p>
      <w:pPr>
        <w:spacing w:after="160" w:line="276"/>
      </w:pPr>
      <w:r>
        <w:rPr>
          <w:rFonts w:ascii="Calibri" w:cs="Calibri" w:eastAsia="Calibri" w:hAnsi="Calibri"/>
          <w:color w:val="3D3630"/>
          <w:sz w:val="21"/>
          <w:szCs w:val="21"/>
        </w:rPr>
        <w:t xml:space="preserve">This matters because the system records named staff speaking. Several of the markets in scope treat that as personal data with residency obligations, and a system that can only run in one region would be blocked in exactly the zones with the most advisors.</w:t>
      </w:r>
    </w:p>
    <w:p>
      <w:pPr>
        <w:pStyle w:val="Heading2"/>
        <w:spacing w:after="110" w:before="260"/>
      </w:pPr>
      <w:r>
        <w:rPr>
          <w:rFonts w:ascii="Georgia" w:cs="Georgia" w:eastAsia="Georgia" w:hAnsi="Georgia"/>
          <w:b/>
          <w:bCs/>
          <w:color w:val="1A1613"/>
          <w:sz w:val="23"/>
          <w:szCs w:val="23"/>
        </w:rPr>
        <w:t xml:space="preserve">Ownership of the content</w:t>
      </w:r>
    </w:p>
    <w:p>
      <w:pPr>
        <w:spacing w:after="160" w:line="276"/>
      </w:pPr>
      <w:r>
        <w:rPr>
          <w:rFonts w:ascii="Calibri" w:cs="Calibri" w:eastAsia="Calibri" w:hAnsi="Calibri"/>
          <w:color w:val="3D3630"/>
          <w:sz w:val="21"/>
          <w:szCs w:val="21"/>
        </w:rPr>
        <w:t xml:space="preserve">Launch content enters through the Nexus and belongs to L'Oréal. Packs, versions, approvals and session records are exportable in open formats. There is no scenario in which the coaching library becomes locked inside a vendor's proprietary structure — which is the correct arrangement for an asset intended to outlive any single tool.</w:t>
      </w:r>
    </w:p>
    <w:p>
      <w:pPr>
        <w:pStyle w:val="Heading2"/>
        <w:spacing w:after="110" w:before="260"/>
      </w:pPr>
      <w:r>
        <w:rPr>
          <w:rFonts w:ascii="Georgia" w:cs="Georgia" w:eastAsia="Georgia" w:hAnsi="Georgia"/>
          <w:b/>
          <w:bCs/>
          <w:color w:val="1A1613"/>
          <w:sz w:val="23"/>
          <w:szCs w:val="23"/>
        </w:rPr>
        <w:t xml:space="preserve">What BYOND provides</w:t>
      </w:r>
    </w:p>
    <w:p>
      <w:pPr>
        <w:pStyle w:val="ListParagraph"/>
        <w:numPr>
          <w:ilvl w:val="0"/>
          <w:numId w:val="2"/>
        </w:numPr>
        <w:spacing w:after="90" w:line="276"/>
      </w:pPr>
      <w:r>
        <w:rPr>
          <w:rFonts w:ascii="Calibri" w:cs="Calibri" w:eastAsia="Calibri" w:hAnsi="Calibri"/>
          <w:color w:val="3D3630"/>
          <w:sz w:val="21"/>
          <w:szCs w:val="21"/>
        </w:rPr>
        <w:t xml:space="preserve">The platform: coach, Nexus, scorecard and HQ dashboard, with the governed generation layer.</w:t>
      </w:r>
    </w:p>
    <w:p>
      <w:pPr>
        <w:pStyle w:val="ListParagraph"/>
        <w:numPr>
          <w:ilvl w:val="0"/>
          <w:numId w:val="2"/>
        </w:numPr>
        <w:spacing w:after="90" w:line="276"/>
      </w:pPr>
      <w:r>
        <w:rPr>
          <w:rFonts w:ascii="Calibri" w:cs="Calibri" w:eastAsia="Calibri" w:hAnsi="Calibri"/>
          <w:color w:val="3D3630"/>
          <w:sz w:val="21"/>
          <w:szCs w:val="21"/>
        </w:rPr>
        <w:t xml:space="preserve">The digital human integration and the multi-language speech layer.</w:t>
      </w:r>
    </w:p>
    <w:p>
      <w:pPr>
        <w:pStyle w:val="ListParagraph"/>
        <w:numPr>
          <w:ilvl w:val="0"/>
          <w:numId w:val="2"/>
        </w:numPr>
        <w:spacing w:after="90" w:line="276"/>
      </w:pPr>
      <w:r>
        <w:rPr>
          <w:rFonts w:ascii="Calibri" w:cs="Calibri" w:eastAsia="Calibri" w:hAnsi="Calibri"/>
          <w:color w:val="3D3630"/>
          <w:sz w:val="21"/>
          <w:szCs w:val="21"/>
        </w:rPr>
        <w:t xml:space="preserve">Brand enablement: loading real launch content, configuring divisions and rubrics, and training market reviewers on the approval workflow.</w:t>
      </w:r>
    </w:p>
    <w:p>
      <w:pPr>
        <w:pStyle w:val="ListParagraph"/>
        <w:numPr>
          <w:ilvl w:val="0"/>
          <w:numId w:val="2"/>
        </w:numPr>
        <w:spacing w:after="90" w:line="276"/>
      </w:pPr>
      <w:r>
        <w:rPr>
          <w:rFonts w:ascii="Calibri" w:cs="Calibri" w:eastAsia="Calibri" w:hAnsi="Calibri"/>
          <w:color w:val="3D3630"/>
          <w:sz w:val="21"/>
          <w:szCs w:val="21"/>
        </w:rPr>
        <w:t xml:space="preserve">Ongoing operation and the roadmap items listed in Section 7.</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9</w:t>
      </w:r>
    </w:p>
    <w:p>
      <w:pPr>
        <w:pStyle w:val="Heading1"/>
        <w:spacing w:after="170" w:before="380"/>
      </w:pPr>
      <w:r>
        <w:rPr>
          <w:rFonts w:ascii="Georgia" w:cs="Georgia" w:eastAsia="Georgia" w:hAnsi="Georgia"/>
          <w:b/>
          <w:bCs/>
          <w:color w:val="1A1613"/>
          <w:sz w:val="30"/>
          <w:szCs w:val="30"/>
        </w:rPr>
        <w:t xml:space="preserve">Proposed pilot: one launch, two markets, ninety days</w:t>
      </w:r>
    </w:p>
    <w:p>
      <w:pPr>
        <w:spacing w:after="160" w:line="276"/>
      </w:pPr>
      <w:r>
        <w:rPr>
          <w:rFonts w:ascii="Calibri" w:cs="Calibri" w:eastAsia="Calibri" w:hAnsi="Calibri"/>
          <w:color w:val="3D3630"/>
          <w:sz w:val="21"/>
          <w:szCs w:val="21"/>
        </w:rPr>
        <w:t xml:space="preserve">The fastest way to prove this is not a broad rollout. It is a single real launch, run properly, in two markets that differ enough to be a genuine test.</w:t>
      </w:r>
    </w:p>
    <w:tbl>
      <w:tblPr>
        <w:tblW w:type="dxa" w:w="9026"/>
        <w:tblBorders>
          <w:top w:val="none" w:color="FFFFFF" w:sz="0"/>
          <w:left w:val="single" w:color="C9A44C" w:sz="18"/>
          <w:bottom w:val="none" w:color="FFFFFF" w:sz="0"/>
          <w:right w:val="none" w:color="FFFFFF" w:sz="0"/>
          <w:insideH w:val="none" w:color="FFFFFF" w:sz="0"/>
          <w:insideV w:val="none" w:color="FFFFFF" w:sz="0"/>
        </w:tblBorders>
      </w:tblPr>
      <w:tblGrid>
        <w:gridCol w:w="9026"/>
      </w:tblGrid>
      <w:tr>
        <w:tc>
          <w:tcPr>
            <w:tcW w:type="dxa" w:w="9026"/>
            <w:shd w:fill="F4EFE3" w:color="auto" w:val="clear"/>
            <w:tcMar>
              <w:top w:type="dxa" w:w="160"/>
              <w:left w:type="dxa" w:w="200"/>
              <w:bottom w:type="dxa" w:w="160"/>
              <w:right w:type="dxa" w:w="200"/>
            </w:tcMar>
          </w:tcPr>
          <w:p>
            <w:pPr>
              <w:spacing w:after="70"/>
            </w:pPr>
            <w:r>
              <w:rPr>
                <w:rFonts w:ascii="Calibri" w:cs="Calibri" w:eastAsia="Calibri" w:hAnsi="Calibri"/>
                <w:b/>
                <w:bCs/>
                <w:color w:val="1A1613"/>
                <w:sz w:val="20"/>
                <w:szCs w:val="20"/>
              </w:rPr>
              <w:t xml:space="preserve">Recommended shape</w:t>
            </w:r>
          </w:p>
          <w:p>
            <w:pPr>
              <w:spacing w:after="0" w:line="276"/>
            </w:pPr>
            <w:r>
              <w:rPr>
                <w:rFonts w:ascii="Calibri" w:cs="Calibri" w:eastAsia="Calibri" w:hAnsi="Calibri"/>
                <w:color w:val="3D3630"/>
                <w:sz w:val="20"/>
                <w:szCs w:val="20"/>
              </w:rPr>
              <w:t xml:space="preserve">One Dermatological Beauty market in SAPMENA and one Consumer Products market in North Asia. That pairing exercises the strictest claim regime and the highest-volume channel at the same time, and covers Arabic and Chinese — two of the three hardest scripts. If either market succeeds, the argument generalises; if the Derm market succeeds, the regulatory argument is settled.</w:t>
            </w:r>
          </w:p>
        </w:tc>
      </w:tr>
    </w:tbl>
    <w:p>
      <w:pPr>
        <w:spacing w:after="200"/>
      </w:pP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1600"/>
        <w:gridCol w:w="3900"/>
        <w:gridCol w:w="3526"/>
      </w:tblGrid>
      <w:tr>
        <w:trPr>
          <w:tblHeader/>
        </w:trPr>
        <w:tc>
          <w:tcPr>
            <w:tcW w:type="dxa" w:w="16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Phase</w:t>
            </w:r>
          </w:p>
        </w:tc>
        <w:tc>
          <w:tcPr>
            <w:tcW w:type="dxa" w:w="39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happens</w:t>
            </w:r>
          </w:p>
        </w:tc>
        <w:tc>
          <w:tcPr>
            <w:tcW w:type="dxa" w:w="35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What it proves</w:t>
            </w:r>
          </w:p>
        </w:tc>
      </w:tr>
      <w:tr>
        <w:tc>
          <w:tcPr>
            <w:tcW w:type="dxa" w:w="1600"/>
            <w:tcMar>
              <w:top w:type="dxa" w:w="90"/>
              <w:left w:type="dxa" w:w="130"/>
              <w:bottom w:type="dxa" w:w="90"/>
              <w:right w:type="dxa" w:w="130"/>
            </w:tcMar>
          </w:tcPr>
          <w:p>
            <w:pPr>
              <w:spacing w:after="0" w:line="260"/>
            </w:pPr>
            <w:r>
              <w:rPr>
                <w:rFonts w:ascii="Calibri" w:cs="Calibri" w:eastAsia="Calibri" w:hAnsi="Calibri"/>
                <w:b/>
                <w:bCs/>
                <w:i w:val="false"/>
                <w:iCs w:val="false"/>
                <w:color w:val="3D3630"/>
                <w:sz w:val="19"/>
                <w:szCs w:val="19"/>
              </w:rPr>
              <w:t xml:space="preserve">Weeks 1–3</w:t>
            </w:r>
            <w:r>
              <w:rPr>
                <w:rFonts w:ascii="Calibri" w:cs="Calibri" w:eastAsia="Calibri" w:hAnsi="Calibri"/>
                <w:b w:val="false"/>
                <w:bCs w:val="false"/>
                <w:i w:val="false"/>
                <w:iCs w:val="false"/>
                <w:color w:val="3D3630"/>
                <w:sz w:val="19"/>
                <w:szCs w:val="19"/>
              </w:rPr>
              <w:t xml:space="preserve">  ·  Load</w:t>
            </w:r>
          </w:p>
        </w:tc>
        <w:tc>
          <w:tcPr>
            <w:tcW w:type="dxa" w:w="3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product team publishes one real launch into the Nexus. Markets translate and approve their language packs. Reviewer roles are assigned.</w:t>
            </w:r>
          </w:p>
        </w:tc>
        <w:tc>
          <w:tcPr>
            <w:tcW w:type="dxa" w:w="35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That the approval workflow fits how L'Oréal actually signs off claims — the single biggest integration risk.</w:t>
            </w:r>
          </w:p>
        </w:tc>
      </w:tr>
      <w:tr>
        <w:tc>
          <w:tcPr>
            <w:tcW w:type="dxa" w:w="1600"/>
            <w:tcMar>
              <w:top w:type="dxa" w:w="90"/>
              <w:left w:type="dxa" w:w="130"/>
              <w:bottom w:type="dxa" w:w="90"/>
              <w:right w:type="dxa" w:w="130"/>
            </w:tcMar>
          </w:tcPr>
          <w:p>
            <w:pPr>
              <w:spacing w:after="0" w:line="260"/>
            </w:pPr>
            <w:r>
              <w:rPr>
                <w:rFonts w:ascii="Calibri" w:cs="Calibri" w:eastAsia="Calibri" w:hAnsi="Calibri"/>
                <w:b/>
                <w:bCs/>
                <w:i w:val="false"/>
                <w:iCs w:val="false"/>
                <w:color w:val="3D3630"/>
                <w:sz w:val="19"/>
                <w:szCs w:val="19"/>
              </w:rPr>
              <w:t xml:space="preserve">Weeks 4–9</w:t>
            </w:r>
            <w:r>
              <w:rPr>
                <w:rFonts w:ascii="Calibri" w:cs="Calibri" w:eastAsia="Calibri" w:hAnsi="Calibri"/>
                <w:b w:val="false"/>
                <w:bCs w:val="false"/>
                <w:i w:val="false"/>
                <w:iCs w:val="false"/>
                <w:color w:val="3D3630"/>
                <w:sz w:val="19"/>
                <w:szCs w:val="19"/>
              </w:rPr>
              <w:t xml:space="preserve">  ·  Coach</w:t>
            </w:r>
          </w:p>
        </w:tc>
        <w:tc>
          <w:tcPr>
            <w:tcW w:type="dxa" w:w="3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Advisors across both markets book and rehearse. Scorecards accumulate. Advisors below threshold are re-coached and re-scored.</w:t>
            </w:r>
          </w:p>
        </w:tc>
        <w:tc>
          <w:tcPr>
            <w:tcW w:type="dxa" w:w="35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That advisors will use it voluntarily, and that scores move with practice rather than staying flat.</w:t>
            </w:r>
          </w:p>
        </w:tc>
      </w:tr>
      <w:tr>
        <w:tc>
          <w:tcPr>
            <w:tcW w:type="dxa" w:w="1600"/>
            <w:tcMar>
              <w:top w:type="dxa" w:w="90"/>
              <w:left w:type="dxa" w:w="130"/>
              <w:bottom w:type="dxa" w:w="90"/>
              <w:right w:type="dxa" w:w="130"/>
            </w:tcMar>
          </w:tcPr>
          <w:p>
            <w:pPr>
              <w:spacing w:after="0" w:line="260"/>
            </w:pPr>
            <w:r>
              <w:rPr>
                <w:rFonts w:ascii="Calibri" w:cs="Calibri" w:eastAsia="Calibri" w:hAnsi="Calibri"/>
                <w:b/>
                <w:bCs/>
                <w:i w:val="false"/>
                <w:iCs w:val="false"/>
                <w:color w:val="3D3630"/>
                <w:sz w:val="19"/>
                <w:szCs w:val="19"/>
              </w:rPr>
              <w:t xml:space="preserve">Weeks 10–13</w:t>
            </w:r>
            <w:r>
              <w:rPr>
                <w:rFonts w:ascii="Calibri" w:cs="Calibri" w:eastAsia="Calibri" w:hAnsi="Calibri"/>
                <w:b w:val="false"/>
                <w:bCs w:val="false"/>
                <w:i w:val="false"/>
                <w:iCs w:val="false"/>
                <w:color w:val="3D3630"/>
                <w:sz w:val="19"/>
                <w:szCs w:val="19"/>
              </w:rPr>
              <w:t xml:space="preserve">  ·  Read</w:t>
            </w:r>
          </w:p>
        </w:tc>
        <w:tc>
          <w:tcPr>
            <w:tcW w:type="dxa" w:w="39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HQ compares readiness against actual launch execution in both markets, by territory and distributor.</w:t>
            </w:r>
          </w:p>
        </w:tc>
        <w:tc>
          <w:tcPr>
            <w:tcW w:type="dxa" w:w="35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Whether readiness predicts execution. This is the number that decides a rollout.</w:t>
            </w:r>
          </w:p>
        </w:tc>
      </w:tr>
    </w:tbl>
    <w:p>
      <w:pPr>
        <w:spacing w:after="200"/>
      </w:pPr>
    </w:p>
    <w:p>
      <w:pPr>
        <w:pStyle w:val="Heading2"/>
        <w:spacing w:after="110" w:before="260"/>
      </w:pPr>
      <w:r>
        <w:rPr>
          <w:rFonts w:ascii="Georgia" w:cs="Georgia" w:eastAsia="Georgia" w:hAnsi="Georgia"/>
          <w:b/>
          <w:bCs/>
          <w:color w:val="1A1613"/>
          <w:sz w:val="23"/>
          <w:szCs w:val="23"/>
        </w:rPr>
        <w:t xml:space="preserve">What we would measure</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2200"/>
        <w:gridCol w:w="6826"/>
      </w:tblGrid>
      <w:tr>
        <w:trPr>
          <w:tblHeader/>
        </w:trPr>
        <w:tc>
          <w:tcPr>
            <w:tcW w:type="dxa" w:w="22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Measure</w:t>
            </w:r>
          </w:p>
        </w:tc>
        <w:tc>
          <w:tcPr>
            <w:tcW w:type="dxa" w:w="68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Why it is the right measure</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Claim-fidelity rate</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Share of advisors who can carry the hero claim verbatim under objection pressure. The primary outcome — everything else is secondary to whether the message survives.</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Forbidden-wording incidence</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Frequency of prohibited phrasing, before and after coaching. The regulatory outcome, and the one that most directly reduces exposure.</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Time to certification</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How long an advisor takes to reach threshold. The operational outcome — it tells L&amp;D what coaching capacity a launch actually costs.</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Coverage</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Share of the target advisor base that rehearsed at all. The honest test of whether advisors find it useful or merely mandated.</w:t>
            </w:r>
          </w:p>
        </w:tc>
      </w:tr>
      <w:tr>
        <w:tc>
          <w:tcPr>
            <w:tcW w:type="dxa" w:w="22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Readiness vs execution</w:t>
            </w:r>
          </w:p>
        </w:tc>
        <w:tc>
          <w:tcPr>
            <w:tcW w:type="dxa" w:w="68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Correlation between market readiness score and launch execution. The commercial outcome, and the basis of the rollout decision.</w:t>
            </w:r>
          </w:p>
        </w:tc>
      </w:tr>
    </w:tbl>
    <w:p>
      <w:pPr>
        <w:spacing w:after="200"/>
      </w:pPr>
    </w:p>
    <w:p>
      <w:pPr>
        <w:pStyle w:val="Heading2"/>
        <w:spacing w:after="110" w:before="260"/>
      </w:pPr>
      <w:r>
        <w:rPr>
          <w:rFonts w:ascii="Georgia" w:cs="Georgia" w:eastAsia="Georgia" w:hAnsi="Georgia"/>
          <w:b/>
          <w:bCs/>
          <w:color w:val="1A1613"/>
          <w:sz w:val="23"/>
          <w:szCs w:val="23"/>
        </w:rPr>
        <w:t xml:space="preserve">What we would need from L'Oréal</w:t>
      </w:r>
    </w:p>
    <w:p>
      <w:pPr>
        <w:pStyle w:val="ListParagraph"/>
        <w:numPr>
          <w:ilvl w:val="0"/>
          <w:numId w:val="3"/>
        </w:numPr>
        <w:spacing w:after="90" w:line="276"/>
      </w:pPr>
      <w:r>
        <w:rPr>
          <w:rFonts w:ascii="Calibri" w:cs="Calibri" w:eastAsia="Calibri" w:hAnsi="Calibri"/>
          <w:color w:val="3D3630"/>
          <w:sz w:val="21"/>
          <w:szCs w:val="21"/>
        </w:rPr>
        <w:t xml:space="preserve">One real launch, with its approved claims, objection library and forbidden wording — the content the Nexus is loaded with.</w:t>
      </w:r>
    </w:p>
    <w:p>
      <w:pPr>
        <w:pStyle w:val="ListParagraph"/>
        <w:numPr>
          <w:ilvl w:val="0"/>
          <w:numId w:val="3"/>
        </w:numPr>
        <w:spacing w:after="90" w:line="276"/>
      </w:pPr>
      <w:r>
        <w:rPr>
          <w:rFonts w:ascii="Calibri" w:cs="Calibri" w:eastAsia="Calibri" w:hAnsi="Calibri"/>
          <w:color w:val="3D3630"/>
          <w:sz w:val="21"/>
          <w:szCs w:val="21"/>
        </w:rPr>
        <w:t xml:space="preserve">Two markets, with a named sponsor in each and access to their advisor base through the distributor network.</w:t>
      </w:r>
    </w:p>
    <w:p>
      <w:pPr>
        <w:pStyle w:val="ListParagraph"/>
        <w:numPr>
          <w:ilvl w:val="0"/>
          <w:numId w:val="3"/>
        </w:numPr>
        <w:spacing w:after="90" w:line="276"/>
      </w:pPr>
      <w:r>
        <w:rPr>
          <w:rFonts w:ascii="Calibri" w:cs="Calibri" w:eastAsia="Calibri" w:hAnsi="Calibri"/>
          <w:color w:val="3D3630"/>
          <w:sz w:val="21"/>
          <w:szCs w:val="21"/>
        </w:rPr>
        <w:t xml:space="preserve">A named approver per market for language packs, with the authority to sign off translated claims.</w:t>
      </w:r>
    </w:p>
    <w:p>
      <w:pPr>
        <w:pStyle w:val="ListParagraph"/>
        <w:numPr>
          <w:ilvl w:val="0"/>
          <w:numId w:val="3"/>
        </w:numPr>
        <w:spacing w:after="90" w:line="276"/>
      </w:pPr>
      <w:r>
        <w:rPr>
          <w:rFonts w:ascii="Calibri" w:cs="Calibri" w:eastAsia="Calibri" w:hAnsi="Calibri"/>
          <w:color w:val="3D3630"/>
          <w:sz w:val="21"/>
          <w:szCs w:val="21"/>
        </w:rPr>
        <w:t xml:space="preserve">Agreement on where session and voice data may reside for each market.</w:t>
      </w:r>
    </w:p>
    <w:p>
      <w:pPr>
        <w:pStyle w:val="ListParagraph"/>
        <w:numPr>
          <w:ilvl w:val="0"/>
          <w:numId w:val="3"/>
        </w:numPr>
        <w:spacing w:after="90" w:line="276"/>
      </w:pPr>
      <w:r>
        <w:rPr>
          <w:rFonts w:ascii="Calibri" w:cs="Calibri" w:eastAsia="Calibri" w:hAnsi="Calibri"/>
          <w:color w:val="3D3630"/>
          <w:sz w:val="21"/>
          <w:szCs w:val="21"/>
        </w:rPr>
        <w:t xml:space="preserve">Access to launch execution data at the end, so the readiness-versus-execution question can actually be answered.</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SECTION 10</w:t>
      </w:r>
    </w:p>
    <w:p>
      <w:pPr>
        <w:pStyle w:val="Heading1"/>
        <w:spacing w:after="170" w:before="380"/>
      </w:pPr>
      <w:r>
        <w:rPr>
          <w:rFonts w:ascii="Georgia" w:cs="Georgia" w:eastAsia="Georgia" w:hAnsi="Georgia"/>
          <w:b/>
          <w:bCs/>
          <w:color w:val="1A1613"/>
          <w:sz w:val="30"/>
          <w:szCs w:val="30"/>
        </w:rPr>
        <w:t xml:space="preserve">Open decisions</w:t>
      </w:r>
    </w:p>
    <w:p>
      <w:pPr>
        <w:spacing w:after="160" w:line="276"/>
      </w:pPr>
      <w:r>
        <w:rPr>
          <w:rFonts w:ascii="Calibri" w:cs="Calibri" w:eastAsia="Calibri" w:hAnsi="Calibri"/>
          <w:color w:val="3D3630"/>
          <w:sz w:val="21"/>
          <w:szCs w:val="21"/>
        </w:rPr>
        <w:t xml:space="preserve">These are decisions for L'Oréal, not open technical questions. Each is better settled in week one than discovered in week six.</w:t>
      </w:r>
    </w:p>
    <w:p>
      <w:pPr>
        <w:pStyle w:val="Heading2"/>
        <w:spacing w:after="110" w:before="260"/>
      </w:pPr>
      <w:r>
        <w:rPr>
          <w:rFonts w:ascii="Georgia" w:cs="Georgia" w:eastAsia="Georgia" w:hAnsi="Georgia"/>
          <w:b/>
          <w:bCs/>
          <w:color w:val="1A1613"/>
          <w:sz w:val="23"/>
          <w:szCs w:val="23"/>
        </w:rPr>
        <w:t xml:space="preserve">1. Who signs off a language pack</w:t>
      </w:r>
    </w:p>
    <w:p>
      <w:pPr>
        <w:spacing w:after="160" w:line="276"/>
      </w:pPr>
      <w:r>
        <w:rPr>
          <w:rFonts w:ascii="Calibri" w:cs="Calibri" w:eastAsia="Calibri" w:hAnsi="Calibri"/>
          <w:color w:val="3D3630"/>
          <w:sz w:val="21"/>
          <w:szCs w:val="21"/>
        </w:rPr>
        <w:t xml:space="preserve">The system enforces that somebody approves a translated pack before the coach will speak it. Whether that person is zone regulatory, market legal, or the local brand general manager differs across L'Oréal's zones — and it determines who holds the approver role in the Nexus.</w:t>
      </w:r>
    </w:p>
    <w:p>
      <w:pPr>
        <w:spacing w:after="160" w:line="276"/>
      </w:pPr>
      <w:r>
        <w:rPr>
          <w:rFonts w:ascii="Calibri" w:cs="Calibri" w:eastAsia="Calibri" w:hAnsi="Calibri"/>
          <w:b/>
          <w:bCs/>
          <w:i w:val="false"/>
          <w:iCs w:val="false"/>
          <w:color w:val="3D3630"/>
          <w:sz w:val="21"/>
          <w:szCs w:val="21"/>
        </w:rPr>
        <w:t xml:space="preserve">Why it matters: </w:t>
      </w:r>
      <w:r>
        <w:rPr>
          <w:rFonts w:ascii="Calibri" w:cs="Calibri" w:eastAsia="Calibri" w:hAnsi="Calibri"/>
          <w:color w:val="3D3630"/>
          <w:sz w:val="21"/>
          <w:szCs w:val="21"/>
        </w:rPr>
        <w:t xml:space="preserve">this is the human bottleneck in the whole loop. If approval takes six weeks, a launch coached in six languages cannot go live on time regardless of how good the software is.</w:t>
      </w:r>
    </w:p>
    <w:p>
      <w:pPr>
        <w:pStyle w:val="Heading2"/>
        <w:spacing w:after="110" w:before="260"/>
      </w:pPr>
      <w:r>
        <w:rPr>
          <w:rFonts w:ascii="Georgia" w:cs="Georgia" w:eastAsia="Georgia" w:hAnsi="Georgia"/>
          <w:b/>
          <w:bCs/>
          <w:color w:val="1A1613"/>
          <w:sz w:val="23"/>
          <w:szCs w:val="23"/>
        </w:rPr>
        <w:t xml:space="preserve">2. Where advisor voice and session data may live</w:t>
      </w:r>
    </w:p>
    <w:p>
      <w:pPr>
        <w:spacing w:after="160" w:line="276"/>
      </w:pPr>
      <w:r>
        <w:rPr>
          <w:rFonts w:ascii="Calibri" w:cs="Calibri" w:eastAsia="Calibri" w:hAnsi="Calibri"/>
          <w:color w:val="3D3630"/>
          <w:sz w:val="21"/>
          <w:szCs w:val="21"/>
        </w:rPr>
        <w:t xml:space="preserve">Sessions record named staff speaking. Several markets in scope treat that as personal data with residency obligations. The platform supports both hosted and in-network deployment, but the choice is per-market and needs to be made before advisors start recording.</w:t>
      </w:r>
    </w:p>
    <w:p>
      <w:pPr>
        <w:pStyle w:val="Heading2"/>
        <w:spacing w:after="110" w:before="260"/>
      </w:pPr>
      <w:r>
        <w:rPr>
          <w:rFonts w:ascii="Georgia" w:cs="Georgia" w:eastAsia="Georgia" w:hAnsi="Georgia"/>
          <w:b/>
          <w:bCs/>
          <w:color w:val="1A1613"/>
          <w:sz w:val="23"/>
          <w:szCs w:val="23"/>
        </w:rPr>
        <w:t xml:space="preserve">3. How readiness is used</w:t>
      </w:r>
    </w:p>
    <w:p>
      <w:pPr>
        <w:spacing w:after="160" w:line="276"/>
      </w:pPr>
      <w:r>
        <w:rPr>
          <w:rFonts w:ascii="Calibri" w:cs="Calibri" w:eastAsia="Calibri" w:hAnsi="Calibri"/>
          <w:b/>
          <w:bCs/>
          <w:i w:val="false"/>
          <w:iCs w:val="false"/>
          <w:color w:val="3D3630"/>
          <w:sz w:val="21"/>
          <w:szCs w:val="21"/>
        </w:rPr>
        <w:t xml:space="preserve">This is the most consequential decision in the paper.</w:t>
      </w:r>
      <w:r>
        <w:rPr>
          <w:rFonts w:ascii="Calibri" w:cs="Calibri" w:eastAsia="Calibri" w:hAnsi="Calibri"/>
          <w:color w:val="3D3630"/>
          <w:sz w:val="21"/>
          <w:szCs w:val="21"/>
        </w:rPr>
        <w:t xml:space="preserve"> Readiness scores can be a coaching tool or a performance-management tool. They cannot easily be both.</w:t>
      </w:r>
    </w:p>
    <w:p>
      <w:pPr>
        <w:spacing w:after="160" w:line="276"/>
      </w:pPr>
      <w:r>
        <w:rPr>
          <w:rFonts w:ascii="Calibri" w:cs="Calibri" w:eastAsia="Calibri" w:hAnsi="Calibri"/>
          <w:color w:val="3D3630"/>
          <w:sz w:val="21"/>
          <w:szCs w:val="21"/>
        </w:rPr>
        <w:t xml:space="preserve">Used for coaching, advisors will practise honestly, fail safely and improve — and the data will be truthful. Used for performance management, advisors will optimise for the score, rehearse to the rubric, and the readiness dashboard will slowly become fiction that HQ acts on. We would strongly recommend the coaching framing for the pilot and a deliberate decision, later, about whether that ever changes.</w:t>
      </w:r>
    </w:p>
    <w:p>
      <w:pPr>
        <w:pStyle w:val="Heading2"/>
        <w:spacing w:after="110" w:before="260"/>
      </w:pPr>
      <w:r>
        <w:rPr>
          <w:rFonts w:ascii="Georgia" w:cs="Georgia" w:eastAsia="Georgia" w:hAnsi="Georgia"/>
          <w:b/>
          <w:bCs/>
          <w:color w:val="1A1613"/>
          <w:sz w:val="23"/>
          <w:szCs w:val="23"/>
        </w:rPr>
        <w:t xml:space="preserve">4. Which launches enter the Nexus</w:t>
      </w:r>
    </w:p>
    <w:p>
      <w:pPr>
        <w:spacing w:after="160" w:line="276"/>
      </w:pPr>
      <w:r>
        <w:rPr>
          <w:rFonts w:ascii="Calibri" w:cs="Calibri" w:eastAsia="Calibri" w:hAnsi="Calibri"/>
          <w:color w:val="3D3630"/>
          <w:sz w:val="21"/>
          <w:szCs w:val="21"/>
        </w:rPr>
        <w:t xml:space="preserve">Every launch, or only priority launches? Loading everything builds the product-knowledge library faster and makes the Nexus the single source of truth sooner. Loading selectively is less work for the product team in year one. This is a trade between short-term effort and how quickly the compounding asset in Section 6 becomes real.</w:t>
      </w:r>
    </w:p>
    <w:p>
      <w:r>
        <w:br w:type="page"/>
      </w:r>
    </w:p>
    <w:p>
      <w:pPr>
        <w:pBdr>
          <w:bottom w:val="single" w:color="C9A44C" w:sz="6" w:space="4"/>
        </w:pBdr>
        <w:spacing w:after="60" w:before="300"/>
      </w:pPr>
      <w:r>
        <w:rPr>
          <w:rFonts w:ascii="Calibri" w:cs="Calibri" w:eastAsia="Calibri" w:hAnsi="Calibri"/>
          <w:b/>
          <w:bCs/>
          <w:color w:val="8A6A18"/>
          <w:spacing w:val="60"/>
          <w:sz w:val="16"/>
          <w:szCs w:val="16"/>
        </w:rPr>
        <w:t xml:space="preserve">APPENDIX</w:t>
      </w:r>
    </w:p>
    <w:p>
      <w:pPr>
        <w:pStyle w:val="Heading1"/>
        <w:spacing w:after="170" w:before="380"/>
      </w:pPr>
      <w:r>
        <w:rPr>
          <w:rFonts w:ascii="Georgia" w:cs="Georgia" w:eastAsia="Georgia" w:hAnsi="Georgia"/>
          <w:b/>
          <w:bCs/>
          <w:color w:val="1A1613"/>
          <w:sz w:val="30"/>
          <w:szCs w:val="30"/>
        </w:rPr>
        <w:t xml:space="preserve">Reference</w:t>
      </w:r>
    </w:p>
    <w:p>
      <w:pPr>
        <w:pStyle w:val="Heading2"/>
        <w:spacing w:after="110" w:before="260"/>
      </w:pPr>
      <w:r>
        <w:rPr>
          <w:rFonts w:ascii="Georgia" w:cs="Georgia" w:eastAsia="Georgia" w:hAnsi="Georgia"/>
          <w:b/>
          <w:bCs/>
          <w:color w:val="1A1613"/>
          <w:sz w:val="23"/>
          <w:szCs w:val="23"/>
        </w:rPr>
        <w:t xml:space="preserve">A. Glossary</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2100"/>
        <w:gridCol w:w="6926"/>
      </w:tblGrid>
      <w:tr>
        <w:trPr>
          <w:tblHeader/>
        </w:trPr>
        <w:tc>
          <w:tcPr>
            <w:tcW w:type="dxa" w:w="21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Term</w:t>
            </w:r>
          </w:p>
        </w:tc>
        <w:tc>
          <w:tcPr>
            <w:tcW w:type="dxa" w:w="69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Meaning in this document</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Launch pack</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governed body of knowledge for one product in one language: positioning, approved claims, ingredient story, routine, price positioning, objection library and forbidden wording.</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Approved claim</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Wording cleared by the relevant market for consumer-facing use. Quoted verbatim by the coach and never re-worded.</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Forbidden wording</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Phrases an advisor must not use for a given product — typically claims that would cross a regulatory line.</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Translation status</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Governance state of a language pack: source, market-approved, or draft. Only the first two may be spoken.</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Division</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One of L'Oréal's four operating divisions. Determines advisor type, guardrail and rubric weighting.</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Readiness score</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Weighted result across six dimensions for one coaching session, carrying verbatim evidence.</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Certification threshold</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readiness score at which an advisor is considered launch-ready for a given product.</w:t>
            </w:r>
          </w:p>
        </w:tc>
      </w:tr>
      <w:tr>
        <w:tc>
          <w:tcPr>
            <w:tcW w:type="dxa" w:w="21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Product Nexus</w:t>
            </w:r>
          </w:p>
        </w:tc>
        <w:tc>
          <w:tcPr>
            <w:tcW w:type="dxa" w:w="69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The product team's console, and the growing library of L'Oréal product knowledge it produces.</w:t>
            </w:r>
          </w:p>
        </w:tc>
      </w:tr>
    </w:tbl>
    <w:p>
      <w:pPr>
        <w:spacing w:after="220"/>
      </w:pPr>
    </w:p>
    <w:p>
      <w:pPr>
        <w:pStyle w:val="Heading2"/>
        <w:spacing w:after="110" w:before="260"/>
      </w:pPr>
      <w:r>
        <w:rPr>
          <w:rFonts w:ascii="Georgia" w:cs="Georgia" w:eastAsia="Georgia" w:hAnsi="Georgia"/>
          <w:b/>
          <w:bCs/>
          <w:color w:val="1A1613"/>
          <w:sz w:val="23"/>
          <w:szCs w:val="23"/>
        </w:rPr>
        <w:t xml:space="preserve">B. Language and division coverage in the current build</w:t>
      </w:r>
    </w:p>
    <w:tbl>
      <w:tblPr>
        <w:tblW w:type="dxa" w:w="9026"/>
        <w:tblBorders>
          <w:top w:val="single" w:color="DDD6C9" w:sz="4"/>
          <w:left w:val="none" w:color="FFFFFF" w:sz="0"/>
          <w:bottom w:val="single" w:color="DDD6C9" w:sz="4"/>
          <w:right w:val="none" w:color="FFFFFF" w:sz="0"/>
          <w:insideH w:val="single" w:color="DDD6C9" w:sz="2"/>
          <w:insideV w:val="none" w:color="FFFFFF" w:sz="0"/>
        </w:tblBorders>
      </w:tblPr>
      <w:tblGrid>
        <w:gridCol w:w="4300"/>
        <w:gridCol w:w="1300"/>
        <w:gridCol w:w="3426"/>
      </w:tblGrid>
      <w:tr>
        <w:trPr>
          <w:tblHeader/>
        </w:trPr>
        <w:tc>
          <w:tcPr>
            <w:tcW w:type="dxa" w:w="43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Product</w:t>
            </w:r>
          </w:p>
        </w:tc>
        <w:tc>
          <w:tcPr>
            <w:tcW w:type="dxa" w:w="1300"/>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Division</w:t>
            </w:r>
          </w:p>
        </w:tc>
        <w:tc>
          <w:tcPr>
            <w:tcW w:type="dxa" w:w="3426"/>
            <w:shd w:fill="F4EFE3" w:color="auto" w:val="clear"/>
            <w:tcMar>
              <w:top w:type="dxa" w:w="90"/>
              <w:left w:type="dxa" w:w="130"/>
              <w:bottom w:type="dxa" w:w="90"/>
              <w:right w:type="dxa" w:w="130"/>
            </w:tcMar>
          </w:tcPr>
          <w:p>
            <w:pPr>
              <w:spacing w:after="0" w:line="260"/>
            </w:pPr>
            <w:r>
              <w:rPr>
                <w:rFonts w:ascii="Calibri" w:cs="Calibri" w:eastAsia="Calibri" w:hAnsi="Calibri"/>
                <w:b/>
                <w:bCs/>
                <w:color w:val="8A6A18"/>
                <w:spacing w:val="30"/>
                <w:sz w:val="17"/>
                <w:szCs w:val="17"/>
              </w:rPr>
              <w:t xml:space="preserve">Languages available</w:t>
            </w:r>
          </w:p>
        </w:tc>
      </w:tr>
      <w:tr>
        <w:tc>
          <w:tcPr>
            <w:tcW w:type="dxa" w:w="4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L'Oréal Paris — Revitalift 1.5% Pure Hyaluronic Acid Serum</w:t>
            </w:r>
          </w:p>
        </w:tc>
        <w:tc>
          <w:tcPr>
            <w:tcW w:type="dxa" w:w="1300"/>
            <w:tcMar>
              <w:top w:type="dxa" w:w="90"/>
              <w:left w:type="dxa" w:w="130"/>
              <w:bottom w:type="dxa" w:w="90"/>
              <w:right w:type="dxa" w:w="130"/>
            </w:tcMar>
          </w:tcPr>
          <w:p>
            <w:pPr>
              <w:spacing w:after="0" w:line="260"/>
            </w:pPr>
            <w:r>
              <w:rPr>
                <w:rFonts w:ascii="Calibri" w:cs="Calibri" w:eastAsia="Calibri" w:hAnsi="Calibri"/>
                <w:b/>
                <w:bCs/>
                <w:i w:val="false"/>
                <w:iCs w:val="false"/>
                <w:color w:val="A8355B"/>
                <w:sz w:val="19"/>
                <w:szCs w:val="19"/>
              </w:rPr>
              <w:t xml:space="preserve">CPD</w:t>
            </w:r>
          </w:p>
        </w:tc>
        <w:tc>
          <w:tcPr>
            <w:tcW w:type="dxa" w:w="34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EN · FR · AR · ZH · JA · HI</w:t>
            </w:r>
          </w:p>
        </w:tc>
      </w:tr>
      <w:tr>
        <w:tc>
          <w:tcPr>
            <w:tcW w:type="dxa" w:w="4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La Roche-Posay — Effaclar Duo+M</w:t>
            </w:r>
          </w:p>
        </w:tc>
        <w:tc>
          <w:tcPr>
            <w:tcW w:type="dxa" w:w="1300"/>
            <w:tcMar>
              <w:top w:type="dxa" w:w="90"/>
              <w:left w:type="dxa" w:w="130"/>
              <w:bottom w:type="dxa" w:w="90"/>
              <w:right w:type="dxa" w:w="130"/>
            </w:tcMar>
          </w:tcPr>
          <w:p>
            <w:pPr>
              <w:spacing w:after="0" w:line="260"/>
            </w:pPr>
            <w:r>
              <w:rPr>
                <w:rFonts w:ascii="Calibri" w:cs="Calibri" w:eastAsia="Calibri" w:hAnsi="Calibri"/>
                <w:b/>
                <w:bCs/>
                <w:i w:val="false"/>
                <w:iCs w:val="false"/>
                <w:color w:val="1F6070"/>
                <w:sz w:val="19"/>
                <w:szCs w:val="19"/>
              </w:rPr>
              <w:t xml:space="preserve">Derm</w:t>
            </w:r>
          </w:p>
        </w:tc>
        <w:tc>
          <w:tcPr>
            <w:tcW w:type="dxa" w:w="34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EN · FR · AR · ZH · JA · HI</w:t>
            </w:r>
          </w:p>
        </w:tc>
      </w:tr>
      <w:tr>
        <w:tc>
          <w:tcPr>
            <w:tcW w:type="dxa" w:w="4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Lancôme — Advanced Génifique Radiance Serum</w:t>
            </w:r>
          </w:p>
        </w:tc>
        <w:tc>
          <w:tcPr>
            <w:tcW w:type="dxa" w:w="1300"/>
            <w:tcMar>
              <w:top w:type="dxa" w:w="90"/>
              <w:left w:type="dxa" w:w="130"/>
              <w:bottom w:type="dxa" w:w="90"/>
              <w:right w:type="dxa" w:w="130"/>
            </w:tcMar>
          </w:tcPr>
          <w:p>
            <w:pPr>
              <w:spacing w:after="0" w:line="260"/>
            </w:pPr>
            <w:r>
              <w:rPr>
                <w:rFonts w:ascii="Calibri" w:cs="Calibri" w:eastAsia="Calibri" w:hAnsi="Calibri"/>
                <w:b/>
                <w:bCs/>
                <w:i w:val="false"/>
                <w:iCs w:val="false"/>
                <w:color w:val="5F4A93"/>
                <w:sz w:val="19"/>
                <w:szCs w:val="19"/>
              </w:rPr>
              <w:t xml:space="preserve">Luxe</w:t>
            </w:r>
          </w:p>
        </w:tc>
        <w:tc>
          <w:tcPr>
            <w:tcW w:type="dxa" w:w="34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EN · FR · AR · ZH · JA · HI</w:t>
            </w:r>
          </w:p>
        </w:tc>
      </w:tr>
      <w:tr>
        <w:tc>
          <w:tcPr>
            <w:tcW w:type="dxa" w:w="4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Kérastase — Gloss Absolu Shine Ritual</w:t>
            </w:r>
          </w:p>
        </w:tc>
        <w:tc>
          <w:tcPr>
            <w:tcW w:type="dxa" w:w="1300"/>
            <w:tcMar>
              <w:top w:type="dxa" w:w="90"/>
              <w:left w:type="dxa" w:w="130"/>
              <w:bottom w:type="dxa" w:w="90"/>
              <w:right w:type="dxa" w:w="130"/>
            </w:tcMar>
          </w:tcPr>
          <w:p>
            <w:pPr>
              <w:spacing w:after="0" w:line="260"/>
            </w:pPr>
            <w:r>
              <w:rPr>
                <w:rFonts w:ascii="Calibri" w:cs="Calibri" w:eastAsia="Calibri" w:hAnsi="Calibri"/>
                <w:b/>
                <w:bCs/>
                <w:i w:val="false"/>
                <w:iCs w:val="false"/>
                <w:color w:val="7A6224"/>
                <w:sz w:val="19"/>
                <w:szCs w:val="19"/>
              </w:rPr>
              <w:t xml:space="preserve">PPD</w:t>
            </w:r>
          </w:p>
        </w:tc>
        <w:tc>
          <w:tcPr>
            <w:tcW w:type="dxa" w:w="34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EN · FR · AR · ZH · JA · HI</w:t>
            </w:r>
          </w:p>
        </w:tc>
      </w:tr>
      <w:tr>
        <w:tc>
          <w:tcPr>
            <w:tcW w:type="dxa" w:w="4300"/>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Maybelline New York — Lash Sensational Sky High</w:t>
            </w:r>
          </w:p>
        </w:tc>
        <w:tc>
          <w:tcPr>
            <w:tcW w:type="dxa" w:w="1300"/>
            <w:tcMar>
              <w:top w:type="dxa" w:w="90"/>
              <w:left w:type="dxa" w:w="130"/>
              <w:bottom w:type="dxa" w:w="90"/>
              <w:right w:type="dxa" w:w="130"/>
            </w:tcMar>
          </w:tcPr>
          <w:p>
            <w:pPr>
              <w:spacing w:after="0" w:line="260"/>
            </w:pPr>
            <w:r>
              <w:rPr>
                <w:rFonts w:ascii="Calibri" w:cs="Calibri" w:eastAsia="Calibri" w:hAnsi="Calibri"/>
                <w:b/>
                <w:bCs/>
                <w:i w:val="false"/>
                <w:iCs w:val="false"/>
                <w:color w:val="A8355B"/>
                <w:sz w:val="19"/>
                <w:szCs w:val="19"/>
              </w:rPr>
              <w:t xml:space="preserve">CPD</w:t>
            </w:r>
          </w:p>
        </w:tc>
        <w:tc>
          <w:tcPr>
            <w:tcW w:type="dxa" w:w="3426"/>
            <w:tcMar>
              <w:top w:type="dxa" w:w="90"/>
              <w:left w:type="dxa" w:w="130"/>
              <w:bottom w:type="dxa" w:w="90"/>
              <w:right w:type="dxa" w:w="130"/>
            </w:tcMar>
          </w:tcPr>
          <w:p>
            <w:pPr>
              <w:spacing w:after="0" w:line="260"/>
            </w:pPr>
            <w:r>
              <w:rPr>
                <w:rFonts w:ascii="Calibri" w:cs="Calibri" w:eastAsia="Calibri" w:hAnsi="Calibri"/>
                <w:color w:val="3D3630"/>
                <w:sz w:val="19"/>
                <w:szCs w:val="19"/>
              </w:rPr>
              <w:t xml:space="preserve">EN · FR · AR · ZH · JA · HI</w:t>
            </w:r>
          </w:p>
        </w:tc>
      </w:tr>
    </w:tbl>
    <w:p>
      <w:pPr>
        <w:spacing w:after="200"/>
      </w:pPr>
    </w:p>
    <w:p>
      <w:pPr>
        <w:spacing w:after="160" w:line="276"/>
      </w:pPr>
      <w:r>
        <w:rPr>
          <w:rFonts w:ascii="Calibri" w:cs="Calibri" w:eastAsia="Calibri" w:hAnsi="Calibri"/>
          <w:color w:val="6E655C"/>
          <w:sz w:val="18"/>
          <w:szCs w:val="18"/>
        </w:rPr>
        <w:t xml:space="preserve">Sample content for demonstration. Production content is loaded from L'Oréal launch materials through the Nexus and approved by L'Oréal reviewers.</w:t>
      </w:r>
    </w:p>
    <w:p>
      <w:pPr>
        <w:spacing w:after="220"/>
      </w:pPr>
    </w:p>
    <w:p>
      <w:pPr>
        <w:pStyle w:val="Heading2"/>
        <w:spacing w:after="110" w:before="260"/>
      </w:pPr>
      <w:r>
        <w:rPr>
          <w:rFonts w:ascii="Georgia" w:cs="Georgia" w:eastAsia="Georgia" w:hAnsi="Georgia"/>
          <w:b/>
          <w:bCs/>
          <w:color w:val="1A1613"/>
          <w:sz w:val="23"/>
          <w:szCs w:val="23"/>
        </w:rPr>
        <w:t xml:space="preserve">C. Sources and confidence</w:t>
      </w:r>
    </w:p>
    <w:p>
      <w:pPr>
        <w:spacing w:after="160" w:line="276"/>
      </w:pPr>
      <w:r>
        <w:rPr>
          <w:rFonts w:ascii="Calibri" w:cs="Calibri" w:eastAsia="Calibri" w:hAnsi="Calibri"/>
          <w:color w:val="3D3630"/>
          <w:sz w:val="21"/>
          <w:szCs w:val="21"/>
        </w:rPr>
        <w:t xml:space="preserve">Division structure, the brand portfolio and channel descriptions in this paper reflect L'Oréal's public reporting. Characterisations of claim regimes by division and market are directional, based on how cosmetic and health-adjacent advertising is generally regulated in those channels, and should be confirmed with L'Oréal regulatory before being relied upon commercially.</w:t>
      </w:r>
    </w:p>
    <w:p>
      <w:pPr>
        <w:spacing w:after="160" w:line="276"/>
      </w:pPr>
      <w:r>
        <w:rPr>
          <w:rFonts w:ascii="Calibri" w:cs="Calibri" w:eastAsia="Calibri" w:hAnsi="Calibri"/>
          <w:color w:val="3D3630"/>
          <w:sz w:val="21"/>
          <w:szCs w:val="21"/>
        </w:rPr>
        <w:t xml:space="preserve">All statements about what the platform does today describe behaviour that has been built and verified. Items marked as gaps or planned in Section 7 have not been built.</w:t>
      </w:r>
    </w:p>
    <w:sectPr>
      <w:headerReference w:type="default" r:id="rId7"/>
      <w:footerReference w:type="default" r:id="rId8"/>
      <w:pgSz w:w="11906" w:h="16838"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C9" w:sz="4" w:space="6"/>
      </w:pBdr>
      <w:jc w:val="center"/>
    </w:pPr>
    <w:r>
      <w:rPr>
        <w:rFonts w:ascii="Calibri" w:cs="Calibri" w:eastAsia="Calibri" w:hAnsi="Calibri"/>
        <w:color w:val="6E655C"/>
        <w:sz w:val="15"/>
        <w:szCs w:val="15"/>
      </w:rPr>
      <w:t xml:space="preserve">L'Oréal Beauty Coach — Project Paper  ·  BYOND Asia  ·  </w:t>
    </w:r>
    <w:r>
      <w:rPr>
        <w:rFonts w:ascii="Calibri" w:cs="Calibri" w:eastAsia="Calibri" w:hAnsi="Calibri"/>
        <w:color w:val="6E65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9287"/>
        <w:spacing w:val="20"/>
        <w:sz w:val="14"/>
        <w:szCs w:val="14"/>
      </w:rPr>
      <w:t xml:space="preserve">CONFIDENTIAL — for L'Oréal and BYOND Asia project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6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L'Oréal Beauty Coach — Project Paper</dc:title>
  <dc:creator>BYOND Asia</dc:creator>
  <dc:description>What the product is, the problem it solves, how it works and what it delivers.</dc:description>
  <cp:lastModifiedBy>Un-named</cp:lastModifiedBy>
  <cp:revision>1</cp:revision>
  <dcterms:created xsi:type="dcterms:W3CDTF">2026-08-11T09:03:17.452Z</dcterms:created>
  <dcterms:modified xsi:type="dcterms:W3CDTF">2026-08-11T09:03:17.452Z</dcterms:modified>
</cp:coreProperties>
</file>

<file path=docProps/custom.xml><?xml version="1.0" encoding="utf-8"?>
<Properties xmlns="http://schemas.openxmlformats.org/officeDocument/2006/custom-properties" xmlns:vt="http://schemas.openxmlformats.org/officeDocument/2006/docPropsVTypes"/>
</file>