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120" w:before="0" w:line="264"/>
      </w:pPr>
      <w:r>
        <w:rPr>
          <w:rFonts w:ascii="Calibri" w:cs="Calibri" w:eastAsia="Calibri" w:hAnsi="Calibri"/>
          <w:b/>
          <w:bCs/>
          <w:color w:val="7C6BC4"/>
          <w:spacing w:val="60"/>
          <w:sz w:val="20"/>
          <w:szCs w:val="20"/>
        </w:rPr>
        <w:t xml:space="preserve">BYOND ASIA</w:t>
      </w:r>
    </w:p>
    <w:p>
      <w:pPr>
        <w:spacing w:after="90" w:before="0" w:line="264"/>
      </w:pPr>
      <w:r>
        <w:rPr>
          <w:rFonts w:ascii="Cambria" w:cs="Cambria" w:eastAsia="Cambria" w:hAnsi="Cambria"/>
          <w:b/>
          <w:bCs/>
          <w:color w:val="1B1733"/>
          <w:spacing w:val="20"/>
          <w:sz w:val="90"/>
          <w:szCs w:val="90"/>
        </w:rPr>
        <w:t xml:space="preserve">AUREN</w:t>
      </w:r>
    </w:p>
    <w:p>
      <w:pPr>
        <w:spacing w:after="200" w:before="0" w:line="264"/>
      </w:pPr>
      <w:r>
        <w:rPr>
          <w:rFonts w:ascii="Cambria" w:cs="Cambria" w:eastAsia="Cambria" w:hAnsi="Cambria"/>
          <w:i/>
          <w:iCs/>
          <w:color w:val="5A4A96"/>
          <w:sz w:val="34"/>
          <w:szCs w:val="34"/>
        </w:rPr>
        <w:t xml:space="preserve">Rehearse the moment. Not the warning.</w:t>
      </w:r>
    </w:p>
    <w:p>
      <w:pPr>
        <w:spacing w:after="340" w:before="0" w:line="264"/>
      </w:pPr>
      <w:r>
        <w:rPr>
          <w:rFonts w:ascii="Calibri" w:cs="Calibri" w:eastAsia="Calibri" w:hAnsi="Calibri"/>
          <w:color w:val="2A2447"/>
          <w:sz w:val="24"/>
          <w:szCs w:val="24"/>
        </w:rPr>
        <w:t xml:space="preserve">A governed interview engine that measures scam resistance as behaviour under pressure — and binds every finding to the investor's own words.</w:t>
      </w:r>
    </w:p>
    <w:tbl>
      <w:tblPr>
        <w:tblW w:type="dxa" w:w="15130"/>
        <w:tblBorders>
          <w:top w:val="single" w:color="7C6BC4" w:sz="8"/>
          <w:left w:val="none" w:color="FFFFFF" w:sz="0"/>
          <w:bottom w:val="none" w:color="FFFFFF" w:sz="0"/>
          <w:right w:val="none" w:color="FFFFFF" w:sz="0"/>
          <w:insideH w:val="none" w:color="FFFFFF" w:sz="0"/>
          <w:insideV w:val="none" w:color="FFFFFF" w:sz="0"/>
        </w:tblBorders>
      </w:tblPr>
      <w:tblGrid>
        <w:gridCol w:w="15130"/>
      </w:tblGrid>
      <w:tr>
        <w:tc>
          <w:tcPr>
            <w:tcW w:type="dxa" w:w="15130"/>
            <w:shd w:fill="FFFFFF" w:val="clear"/>
            <w:tcMar>
              <w:top w:type="dxa" w:w="200"/>
              <w:left w:type="dxa" w:w="0"/>
              <w:bottom w:type="dxa" w:w="0"/>
              <w:right w:type="dxa" w:w="190"/>
            </w:tcMar>
            <w:vAlign w:val="top"/>
          </w:tcPr>
          <w:p>
            <w:pPr>
              <w:spacing w:after="110" w:before="0" w:line="264"/>
            </w:pPr>
            <w:r>
              <w:rPr>
                <w:rFonts w:ascii="Calibri" w:cs="Calibri" w:eastAsia="Calibri" w:hAnsi="Calibri"/>
                <w:b/>
                <w:bCs/>
                <w:color w:val="1B1733"/>
                <w:sz w:val="24"/>
                <w:szCs w:val="24"/>
              </w:rPr>
              <w:t xml:space="preserve">Presented by BYOND Asia</w:t>
            </w:r>
            <w:r>
              <w:rPr>
                <w:rFonts w:ascii="Calibri" w:cs="Calibri" w:eastAsia="Calibri" w:hAnsi="Calibri"/>
                <w:color w:val="D5D1E4"/>
                <w:sz w:val="24"/>
                <w:szCs w:val="24"/>
              </w:rPr>
              <w:t xml:space="preserve">     ·     </w:t>
            </w:r>
            <w:r>
              <w:rPr>
                <w:rFonts w:ascii="Calibri" w:cs="Calibri" w:eastAsia="Calibri" w:hAnsi="Calibri"/>
                <w:b/>
                <w:bCs/>
                <w:color w:val="5A4A96"/>
                <w:sz w:val="24"/>
                <w:szCs w:val="24"/>
              </w:rPr>
              <w:t xml:space="preserve">AUREN is powered by HoloMe</w:t>
            </w:r>
          </w:p>
          <w:p>
            <w:pPr>
              <w:spacing w:after="0" w:before="0" w:line="264"/>
            </w:pPr>
            <w:r>
              <w:rPr>
                <w:rFonts w:ascii="Calibri" w:cs="Calibri" w:eastAsia="Calibri" w:hAnsi="Calibri"/>
                <w:color w:val="6B6880"/>
                <w:sz w:val="20"/>
                <w:szCs w:val="20"/>
              </w:rPr>
              <w:t xml:space="preserve">IOSCO TechSprint 2026  ·  Demo Day  ·  7-minute presentation and 3 minutes of questions</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RUNNING ORDER</w:t>
      </w:r>
      <w:r>
        <w:rPr>
          <w:rFonts w:ascii="Calibri" w:cs="Calibri" w:eastAsia="Calibri" w:hAnsi="Calibri"/>
          <w:b/>
          <w:bCs/>
          <w:color w:val="7C6BC4"/>
          <w:spacing w:val="30"/>
          <w:sz w:val="17"/>
          <w:szCs w:val="17"/>
        </w:rPr>
        <w:t xml:space="preserve">	7 MINUTES + 3 MINUTES Q&amp;A</w:t>
      </w:r>
    </w:p>
    <w:p>
      <w:pPr>
        <w:spacing w:after="200"/>
      </w:pPr>
      <w:r>
        <w:rPr>
          <w:rFonts w:ascii="Cambria" w:cs="Cambria" w:eastAsia="Cambria" w:hAnsi="Cambria"/>
          <w:b/>
          <w:bCs/>
          <w:color w:val="1B1733"/>
          <w:sz w:val="40"/>
          <w:szCs w:val="40"/>
        </w:rPr>
        <w:t xml:space="preserve">How this presentation is built.</w:t>
      </w:r>
    </w:p>
    <w:p>
      <w:pPr>
        <w:spacing w:after="220" w:before="0" w:line="264"/>
      </w:pPr>
      <w:r>
        <w:rPr>
          <w:rFonts w:ascii="Calibri" w:cs="Calibri" w:eastAsia="Calibri" w:hAnsi="Calibri"/>
          <w:color w:val="2A2447"/>
          <w:sz w:val="21"/>
          <w:szCs w:val="21"/>
        </w:rPr>
        <w:t xml:space="preserve">Structured to the FCA AI Lab's recommended presentation format for IOSCO TechSprint Demo Day. Every section below carries its allocated time; the four appendix pages are held back for questions and are not presented.</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700"/>
        <w:gridCol w:w="3600"/>
        <w:gridCol w:w="1900"/>
        <w:gridCol w:w="8930"/>
      </w:tblGrid>
      <w:tr>
        <w:trPr>
          <w:tblHeader/>
        </w:trPr>
        <w:tc>
          <w:tcPr>
            <w:tcW w:type="dxa" w:w="700"/>
            <w:shd w:fill="EDEAF7"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18"/>
                <w:szCs w:val="18"/>
              </w:rPr>
              <w:t xml:space="preserve">#</w:t>
            </w:r>
          </w:p>
        </w:tc>
        <w:tc>
          <w:tcPr>
            <w:tcW w:type="dxa" w:w="3600"/>
            <w:shd w:fill="EDEAF7"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18"/>
                <w:szCs w:val="18"/>
              </w:rPr>
              <w:t xml:space="preserve">Section</w:t>
            </w:r>
          </w:p>
        </w:tc>
        <w:tc>
          <w:tcPr>
            <w:tcW w:type="dxa" w:w="1900"/>
            <w:shd w:fill="EDEAF7"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18"/>
                <w:szCs w:val="18"/>
              </w:rPr>
              <w:t xml:space="preserve">Time</w:t>
            </w:r>
          </w:p>
        </w:tc>
        <w:tc>
          <w:tcPr>
            <w:tcW w:type="dxa" w:w="8930"/>
            <w:shd w:fill="EDEAF7"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18"/>
                <w:szCs w:val="18"/>
              </w:rPr>
              <w:t xml:space="preserve">The line that has to land</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1</w:t>
            </w:r>
          </w:p>
        </w:tc>
        <w:tc>
          <w:tcPr>
            <w:tcW w:type="dxa" w:w="36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Introduction</w:t>
            </w:r>
          </w:p>
        </w:tc>
        <w:tc>
          <w:tcPr>
            <w:tcW w:type="dxa" w:w="19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45 sec</w:t>
            </w:r>
          </w:p>
        </w:tc>
        <w:tc>
          <w:tcPr>
            <w:tcW w:type="dxa" w:w="89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The gap is not knowledge. It is behaviour under pressure.</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2</w:t>
            </w:r>
          </w:p>
        </w:tc>
        <w:tc>
          <w:tcPr>
            <w:tcW w:type="dxa" w:w="36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Solution summary</w:t>
            </w:r>
          </w:p>
        </w:tc>
        <w:tc>
          <w:tcPr>
            <w:tcW w:type="dxa" w:w="19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30 sec</w:t>
            </w:r>
          </w:p>
        </w:tc>
        <w:tc>
          <w:tcPr>
            <w:tcW w:type="dxa" w:w="89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The output is a record, not a score.</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3</w:t>
            </w:r>
          </w:p>
        </w:tc>
        <w:tc>
          <w:tcPr>
            <w:tcW w:type="dxa" w:w="36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Solution details</w:t>
            </w:r>
          </w:p>
        </w:tc>
        <w:tc>
          <w:tcPr>
            <w:tcW w:type="dxa" w:w="19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45 sec</w:t>
            </w:r>
          </w:p>
        </w:tc>
        <w:tc>
          <w:tcPr>
            <w:tcW w:type="dxa" w:w="89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Every sentence the system speaks was approved before the session started.</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4</w:t>
            </w:r>
          </w:p>
        </w:tc>
        <w:tc>
          <w:tcPr>
            <w:tcW w:type="dxa" w:w="36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Demo</w:t>
            </w:r>
          </w:p>
        </w:tc>
        <w:tc>
          <w:tcPr>
            <w:tcW w:type="dxa" w:w="19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2 min</w:t>
            </w:r>
          </w:p>
        </w:tc>
        <w:tc>
          <w:tcPr>
            <w:tcW w:type="dxa" w:w="89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Show it. Do not narrate it.</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5</w:t>
            </w:r>
          </w:p>
        </w:tc>
        <w:tc>
          <w:tcPr>
            <w:tcW w:type="dxa" w:w="36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Evaluation</w:t>
            </w:r>
          </w:p>
        </w:tc>
        <w:tc>
          <w:tcPr>
            <w:tcW w:type="dxa" w:w="19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1 min 15</w:t>
            </w:r>
          </w:p>
        </w:tc>
        <w:tc>
          <w:tcPr>
            <w:tcW w:type="dxa" w:w="89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Including the two things we did not achieve.</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6</w:t>
            </w:r>
          </w:p>
        </w:tc>
        <w:tc>
          <w:tcPr>
            <w:tcW w:type="dxa" w:w="36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Deep dive</w:t>
            </w:r>
          </w:p>
        </w:tc>
        <w:tc>
          <w:tcPr>
            <w:tcW w:type="dxa" w:w="19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1 min</w:t>
            </w:r>
          </w:p>
        </w:tc>
        <w:tc>
          <w:tcPr>
            <w:tcW w:type="dxa" w:w="89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We built a gate that can block us. Then it did.</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19"/>
                <w:szCs w:val="19"/>
              </w:rPr>
              <w:t xml:space="preserve">7</w:t>
            </w:r>
          </w:p>
        </w:tc>
        <w:tc>
          <w:tcPr>
            <w:tcW w:type="dxa" w:w="36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Looking to the future</w:t>
            </w:r>
          </w:p>
        </w:tc>
        <w:tc>
          <w:tcPr>
            <w:tcW w:type="dxa" w:w="19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19"/>
                <w:szCs w:val="19"/>
              </w:rPr>
              <w:t xml:space="preserve">45 sec</w:t>
            </w:r>
          </w:p>
        </w:tc>
        <w:tc>
          <w:tcPr>
            <w:tcW w:type="dxa" w:w="89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Finish at 6:45. Control reads better than completeness.</w:t>
            </w:r>
          </w:p>
        </w:tc>
      </w:tr>
    </w:tbl>
    <w:p>
      <w:pPr>
        <w:spacing w:after="20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15130"/>
      </w:tblGrid>
      <w:tr>
        <w:tc>
          <w:tcPr>
            <w:tcW w:type="dxa" w:w="15130"/>
            <w:shd w:fill="1B1733" w:val="clear"/>
            <w:tcMar>
              <w:top w:type="dxa" w:w="170"/>
              <w:left w:type="dxa" w:w="190"/>
              <w:bottom w:type="dxa" w:w="170"/>
              <w:right w:type="dxa" w:w="190"/>
            </w:tcMar>
            <w:vAlign w:val="top"/>
          </w:tcPr>
          <w:p>
            <w:pPr>
              <w:spacing w:after="0" w:before="0" w:line="264"/>
            </w:pPr>
            <w:r>
              <w:rPr>
                <w:rFonts w:ascii="Calibri" w:cs="Calibri" w:eastAsia="Calibri" w:hAnsi="Calibri"/>
                <w:b/>
                <w:bCs/>
                <w:color w:val="FFFFFF"/>
                <w:sz w:val="23"/>
                <w:szCs w:val="23"/>
              </w:rPr>
              <w:t xml:space="preserve">BYOND Asia builds the intelligence. HoloMe is the digital human that delivers it. AUREN is what the two of them do for investor protection.</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1  ·  INTRODUCTION</w:t>
      </w:r>
      <w:r>
        <w:rPr>
          <w:rFonts w:ascii="Calibri" w:cs="Calibri" w:eastAsia="Calibri" w:hAnsi="Calibri"/>
          <w:b/>
          <w:bCs/>
          <w:color w:val="7C6BC4"/>
          <w:spacing w:val="30"/>
          <w:sz w:val="17"/>
          <w:szCs w:val="17"/>
        </w:rPr>
        <w:t xml:space="preserve">	45 SECONDS</w:t>
      </w:r>
    </w:p>
    <w:p>
      <w:pPr>
        <w:spacing w:after="200"/>
      </w:pPr>
      <w:r>
        <w:rPr>
          <w:rFonts w:ascii="Cambria" w:cs="Cambria" w:eastAsia="Cambria" w:hAnsi="Cambria"/>
          <w:b/>
          <w:bCs/>
          <w:color w:val="1B1733"/>
          <w:sz w:val="46"/>
          <w:szCs w:val="46"/>
        </w:rPr>
        <w:t xml:space="preserve">Everyone knows the warning signs. They still pay.</w:t>
      </w: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7445"/>
        <w:gridCol w:w="240"/>
        <w:gridCol w:w="7445"/>
      </w:tblGrid>
      <w:tr>
        <w:tc>
          <w:tcPr>
            <w:tcW w:type="dxa" w:w="7445"/>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What investor education gives people</w:t>
            </w:r>
          </w:p>
          <w:p>
            <w:pPr>
              <w:pStyle w:val="ListParagraph"/>
              <w:numPr>
                <w:ilvl w:val="0"/>
                <w:numId w:val="2"/>
              </w:numPr>
              <w:spacing w:after="60" w:line="258"/>
            </w:pPr>
            <w:r>
              <w:rPr>
                <w:rFonts w:ascii="Calibri" w:cs="Calibri" w:eastAsia="Calibri" w:hAnsi="Calibri"/>
                <w:color w:val="2A2447"/>
                <w:sz w:val="20"/>
                <w:szCs w:val="20"/>
              </w:rPr>
              <w:t xml:space="preserve">Leaflets, checklists and warning lists</w:t>
            </w:r>
          </w:p>
          <w:p>
            <w:pPr>
              <w:pStyle w:val="ListParagraph"/>
              <w:numPr>
                <w:ilvl w:val="0"/>
                <w:numId w:val="2"/>
              </w:numPr>
              <w:spacing w:after="60" w:line="258"/>
            </w:pPr>
            <w:r>
              <w:rPr>
                <w:rFonts w:ascii="Calibri" w:cs="Calibri" w:eastAsia="Calibri" w:hAnsi="Calibri"/>
                <w:color w:val="2A2447"/>
                <w:sz w:val="20"/>
                <w:szCs w:val="20"/>
              </w:rPr>
              <w:t xml:space="preserve">Registers to check before you invest</w:t>
            </w:r>
          </w:p>
          <w:p>
            <w:pPr>
              <w:pStyle w:val="ListParagraph"/>
              <w:numPr>
                <w:ilvl w:val="0"/>
                <w:numId w:val="2"/>
              </w:numPr>
              <w:spacing w:after="60" w:line="258"/>
            </w:pPr>
            <w:r>
              <w:rPr>
                <w:rFonts w:ascii="Calibri" w:cs="Calibri" w:eastAsia="Calibri" w:hAnsi="Calibri"/>
                <w:color w:val="2A2447"/>
                <w:sz w:val="20"/>
                <w:szCs w:val="20"/>
              </w:rPr>
              <w:t xml:space="preserve">Quizzes that score what you can recall</w:t>
            </w:r>
          </w:p>
          <w:p>
            <w:pPr>
              <w:spacing w:after="0" w:before="0" w:line="264"/>
            </w:pPr>
            <w:r>
              <w:rPr>
                <w:rFonts w:ascii="Calibri" w:cs="Calibri" w:eastAsia="Calibri" w:hAnsi="Calibri"/>
                <w:i/>
                <w:iCs/>
                <w:color w:val="6B6880"/>
                <w:sz w:val="19"/>
                <w:szCs w:val="19"/>
              </w:rPr>
              <w:t xml:space="preserve">Measured by recall, in a calm room.</w:t>
            </w:r>
          </w:p>
        </w:tc>
        <w:tc>
          <w:tcPr>
            <w:tcW w:type="dxa" w:w="24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7445"/>
            <w:shd w:fill="1B1733" w:val="clear"/>
            <w:tcMar>
              <w:top w:type="dxa" w:w="200"/>
              <w:left w:type="dxa" w:w="190"/>
              <w:bottom w:type="dxa" w:w="200"/>
              <w:right w:type="dxa" w:w="190"/>
            </w:tcMar>
            <w:vAlign w:val="top"/>
          </w:tcPr>
          <w:p>
            <w:pPr>
              <w:spacing w:after="90" w:before="0" w:line="264"/>
            </w:pPr>
            <w:r>
              <w:rPr>
                <w:rFonts w:ascii="Calibri" w:cs="Calibri" w:eastAsia="Calibri" w:hAnsi="Calibri"/>
                <w:b/>
                <w:bCs/>
                <w:color w:val="7C6BC4"/>
                <w:sz w:val="22"/>
                <w:szCs w:val="22"/>
              </w:rPr>
              <w:t xml:space="preserve">What the fraud actually looks like</w:t>
            </w:r>
          </w:p>
          <w:p>
            <w:pPr>
              <w:pStyle w:val="ListParagraph"/>
              <w:numPr>
                <w:ilvl w:val="0"/>
                <w:numId w:val="2"/>
              </w:numPr>
              <w:spacing w:after="60" w:line="258"/>
            </w:pPr>
            <w:r>
              <w:rPr>
                <w:rFonts w:ascii="Calibri" w:cs="Calibri" w:eastAsia="Calibri" w:hAnsi="Calibri"/>
                <w:color w:val="D8D3EA"/>
                <w:sz w:val="20"/>
                <w:szCs w:val="20"/>
              </w:rPr>
              <w:t xml:space="preserve">A persuasive human being, in real time</w:t>
            </w:r>
          </w:p>
          <w:p>
            <w:pPr>
              <w:pStyle w:val="ListParagraph"/>
              <w:numPr>
                <w:ilvl w:val="0"/>
                <w:numId w:val="2"/>
              </w:numPr>
              <w:spacing w:after="60" w:line="258"/>
            </w:pPr>
            <w:r>
              <w:rPr>
                <w:rFonts w:ascii="Calibri" w:cs="Calibri" w:eastAsia="Calibri" w:hAnsi="Calibri"/>
                <w:color w:val="D8D3EA"/>
                <w:sz w:val="20"/>
                <w:szCs w:val="20"/>
              </w:rPr>
              <w:t xml:space="preserve">Manufactured urgency and a closing deadline</w:t>
            </w:r>
          </w:p>
          <w:p>
            <w:pPr>
              <w:pStyle w:val="ListParagraph"/>
              <w:numPr>
                <w:ilvl w:val="0"/>
                <w:numId w:val="2"/>
              </w:numPr>
              <w:spacing w:after="60" w:line="258"/>
            </w:pPr>
            <w:r>
              <w:rPr>
                <w:rFonts w:ascii="Calibri" w:cs="Calibri" w:eastAsia="Calibri" w:hAnsi="Calibri"/>
                <w:color w:val="D8D3EA"/>
                <w:sz w:val="20"/>
                <w:szCs w:val="20"/>
              </w:rPr>
              <w:t xml:space="preserve">Borrowed authority and visible social proof</w:t>
            </w:r>
          </w:p>
          <w:p>
            <w:pPr>
              <w:spacing w:after="0" w:before="0" w:line="264"/>
            </w:pPr>
            <w:r>
              <w:rPr>
                <w:rFonts w:ascii="Calibri" w:cs="Calibri" w:eastAsia="Calibri" w:hAnsi="Calibri"/>
                <w:i/>
                <w:iCs/>
                <w:color w:val="9A93BC"/>
                <w:sz w:val="19"/>
                <w:szCs w:val="19"/>
              </w:rPr>
              <w:t xml:space="preserve">Measured by what you do, while being pressured.</w:t>
            </w:r>
          </w:p>
        </w:tc>
      </w:tr>
    </w:tbl>
    <w:p>
      <w:pPr>
        <w:spacing w:after="20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15130"/>
      </w:tblGrid>
      <w:tr>
        <w:tc>
          <w:tcPr>
            <w:tcW w:type="dxa" w:w="15130"/>
            <w:shd w:fill="EDEAF7" w:val="clear"/>
            <w:tcMar>
              <w:top w:type="dxa" w:w="170"/>
              <w:left w:type="dxa" w:w="190"/>
              <w:bottom w:type="dxa" w:w="170"/>
              <w:right w:type="dxa" w:w="190"/>
            </w:tcMar>
            <w:vAlign w:val="top"/>
          </w:tcPr>
          <w:p>
            <w:pPr>
              <w:spacing w:after="0" w:before="0" w:line="264"/>
            </w:pPr>
            <w:r>
              <w:rPr>
                <w:rFonts w:ascii="Calibri" w:cs="Calibri" w:eastAsia="Calibri" w:hAnsi="Calibri"/>
                <w:b/>
                <w:bCs/>
                <w:color w:val="1B1733"/>
                <w:sz w:val="24"/>
                <w:szCs w:val="24"/>
              </w:rPr>
              <w:t xml:space="preserve">The gap is not knowledge. It is behaviour under pressure — and nothing in the current toolkit measures it.</w:t>
            </w:r>
          </w:p>
        </w:tc>
      </w:tr>
    </w:tbl>
    <w:p>
      <w:pPr>
        <w:spacing w:after="200"/>
      </w:pP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Open cold. Name, BYOND Asia, and straight into the thesis — no company history, you do not have the seconds for it.</w:t>
            </w:r>
          </w:p>
          <w:p>
            <w:pPr>
              <w:spacing w:after="80" w:before="0" w:line="250"/>
            </w:pPr>
            <w:r>
              <w:rPr>
                <w:rFonts w:ascii="Calibri" w:cs="Calibri" w:eastAsia="Calibri" w:hAnsi="Calibri"/>
                <w:color w:val="6B6880"/>
                <w:sz w:val="18"/>
                <w:szCs w:val="18"/>
              </w:rPr>
              <w:t xml:space="preserve">Say: a retail investor can pass every quiz and still wire the money on a Tuesday afternoon, because the quiz and the fraud are not the same event.</w:t>
            </w:r>
          </w:p>
          <w:p>
            <w:pPr>
              <w:spacing w:after="0" w:before="0" w:line="250"/>
            </w:pPr>
            <w:r>
              <w:rPr>
                <w:rFonts w:ascii="Calibri" w:cs="Calibri" w:eastAsia="Calibri" w:hAnsi="Calibri"/>
                <w:color w:val="6B6880"/>
                <w:sz w:val="18"/>
                <w:szCs w:val="18"/>
              </w:rPr>
              <w:t xml:space="preserve">OPTIONAL: if you have a sourced loss figure for retail investment fraud in your target market, add it here as a single large number. Do not present an unsourced figure to this audience — a regulator will ask for the source, and an unattributed number costs more credibility than it buys.</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2  ·  SOLUTION SUMMARY</w:t>
      </w:r>
      <w:r>
        <w:rPr>
          <w:rFonts w:ascii="Calibri" w:cs="Calibri" w:eastAsia="Calibri" w:hAnsi="Calibri"/>
          <w:b/>
          <w:bCs/>
          <w:color w:val="7C6BC4"/>
          <w:spacing w:val="30"/>
          <w:sz w:val="17"/>
          <w:szCs w:val="17"/>
        </w:rPr>
        <w:t xml:space="preserve">	30 SECONDS</w:t>
      </w:r>
    </w:p>
    <w:p>
      <w:pPr>
        <w:spacing w:after="200"/>
      </w:pPr>
      <w:r>
        <w:rPr>
          <w:rFonts w:ascii="Cambria" w:cs="Cambria" w:eastAsia="Cambria" w:hAnsi="Cambria"/>
          <w:b/>
          <w:bCs/>
          <w:color w:val="1B1733"/>
          <w:sz w:val="46"/>
          <w:szCs w:val="46"/>
        </w:rPr>
        <w:t xml:space="preserve">Run the attack safely. Score what they did.</w:t>
      </w:r>
    </w:p>
    <w:tbl>
      <w:tblPr>
        <w:tblW w:type="dxa" w:w="15129"/>
        <w:tblBorders>
          <w:top w:val="none" w:color="FFFFFF" w:sz="0"/>
          <w:left w:val="none" w:color="FFFFFF" w:sz="0"/>
          <w:bottom w:val="none" w:color="FFFFFF" w:sz="0"/>
          <w:right w:val="none" w:color="FFFFFF" w:sz="0"/>
          <w:insideH w:val="none" w:color="FFFFFF" w:sz="0"/>
          <w:insideV w:val="none" w:color="FFFFFF" w:sz="0"/>
        </w:tblBorders>
      </w:tblPr>
      <w:tblGrid>
        <w:gridCol w:w="4883"/>
        <w:gridCol w:w="240"/>
        <w:gridCol w:w="4883"/>
        <w:gridCol w:w="240"/>
        <w:gridCol w:w="4883"/>
      </w:tblGrid>
      <w:tr>
        <w:tc>
          <w:tcPr>
            <w:tcW w:type="dxa" w:w="4883"/>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1 · The problem</w:t>
            </w:r>
          </w:p>
          <w:p>
            <w:pPr>
              <w:spacing w:after="80" w:before="0" w:line="264"/>
            </w:pPr>
            <w:r>
              <w:rPr>
                <w:rFonts w:ascii="Calibri" w:cs="Calibri" w:eastAsia="Calibri" w:hAnsi="Calibri"/>
                <w:color w:val="2A2447"/>
                <w:sz w:val="20"/>
                <w:szCs w:val="20"/>
              </w:rPr>
              <w:t xml:space="preserve">Competence is assessed by recall, not by conduct.</w:t>
            </w:r>
          </w:p>
          <w:p>
            <w:pPr>
              <w:spacing w:after="0" w:before="0" w:line="264"/>
            </w:pPr>
            <w:r>
              <w:rPr>
                <w:rFonts w:ascii="Calibri" w:cs="Calibri" w:eastAsia="Calibri" w:hAnsi="Calibri"/>
                <w:color w:val="2A2447"/>
                <w:sz w:val="20"/>
                <w:szCs w:val="20"/>
              </w:rPr>
              <w:t xml:space="preserve">Nothing in the current toolkit produces evidence of how someone behaves while they are being persuaded.</w:t>
            </w:r>
          </w:p>
        </w:tc>
        <w:tc>
          <w:tcPr>
            <w:tcW w:type="dxa" w:w="24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4883"/>
            <w:shd w:fill="EDEAF7"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2 · The proposal</w:t>
            </w:r>
          </w:p>
          <w:p>
            <w:pPr>
              <w:spacing w:after="80" w:before="0" w:line="264"/>
            </w:pPr>
            <w:r>
              <w:rPr>
                <w:rFonts w:ascii="Calibri" w:cs="Calibri" w:eastAsia="Calibri" w:hAnsi="Calibri"/>
                <w:color w:val="2A2447"/>
                <w:sz w:val="20"/>
                <w:szCs w:val="20"/>
              </w:rPr>
              <w:t xml:space="preserve">A HoloMe digital human runs a governed interview by voice, then applies authentic sales pressure inside approved limits.</w:t>
            </w:r>
          </w:p>
          <w:p>
            <w:pPr>
              <w:spacing w:after="0" w:before="0" w:line="264"/>
            </w:pPr>
            <w:r>
              <w:rPr>
                <w:rFonts w:ascii="Calibri" w:cs="Calibri" w:eastAsia="Calibri" w:hAnsi="Calibri"/>
                <w:color w:val="2A2447"/>
                <w:sz w:val="20"/>
                <w:szCs w:val="20"/>
              </w:rPr>
              <w:t xml:space="preserve">It coaches the failure, then retests on unfamiliar ground.</w:t>
            </w:r>
          </w:p>
        </w:tc>
        <w:tc>
          <w:tcPr>
            <w:tcW w:type="dxa" w:w="24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4883"/>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3 · The outcome</w:t>
            </w:r>
          </w:p>
          <w:p>
            <w:pPr>
              <w:spacing w:after="80" w:before="0" w:line="264"/>
            </w:pPr>
            <w:r>
              <w:rPr>
                <w:rFonts w:ascii="Calibri" w:cs="Calibri" w:eastAsia="Calibri" w:hAnsi="Calibri"/>
                <w:color w:val="2A2447"/>
                <w:sz w:val="20"/>
                <w:szCs w:val="20"/>
              </w:rPr>
              <w:t xml:space="preserve">An Investor Readiness Record: what was demonstrated, what failed, and the investor's own sentence beside each one.</w:t>
            </w:r>
          </w:p>
          <w:p>
            <w:pPr>
              <w:spacing w:after="0" w:before="0" w:line="264"/>
            </w:pPr>
            <w:r>
              <w:rPr>
                <w:rFonts w:ascii="Calibri" w:cs="Calibri" w:eastAsia="Calibri" w:hAnsi="Calibri"/>
                <w:b/>
                <w:bCs/>
                <w:color w:val="5A4A96"/>
                <w:sz w:val="20"/>
                <w:szCs w:val="20"/>
              </w:rPr>
              <w:t xml:space="preserve">Under nine minutes, by voice.</w:t>
            </w:r>
          </w:p>
        </w:tc>
      </w:tr>
    </w:tbl>
    <w:p>
      <w:pPr>
        <w:spacing w:after="220"/>
      </w:pPr>
    </w:p>
    <w:p>
      <w:pPr>
        <w:spacing w:after="220" w:before="0" w:line="264"/>
      </w:pPr>
      <w:r>
        <w:rPr>
          <w:rFonts w:ascii="Calibri" w:cs="Calibri" w:eastAsia="Calibri" w:hAnsi="Calibri"/>
          <w:i/>
          <w:iCs/>
          <w:color w:val="6B6880"/>
          <w:sz w:val="22"/>
          <w:szCs w:val="22"/>
        </w:rPr>
        <w:t xml:space="preserve">Not a chatbot with a warning list. An interview whose every question was approved before the session began.</w:t>
      </w: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Thirty seconds. Do not read the three cards — say the three words, problem, proposal, outcome, and land on: 'the output is a record, not a score.'</w:t>
            </w:r>
          </w:p>
          <w:p>
            <w:pPr>
              <w:spacing w:after="0" w:before="0" w:line="250"/>
            </w:pPr>
            <w:r>
              <w:rPr>
                <w:rFonts w:ascii="Calibri" w:cs="Calibri" w:eastAsia="Calibri" w:hAnsi="Calibri"/>
                <w:color w:val="6B6880"/>
                <w:sz w:val="18"/>
                <w:szCs w:val="18"/>
              </w:rPr>
              <w:t xml:space="preserve">This is where HoloMe earns its mention: the digital human is the delivery layer, not the claim. The claim is the governance behind it.</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3  ·  SOLUTION DETAILS</w:t>
      </w:r>
      <w:r>
        <w:rPr>
          <w:rFonts w:ascii="Calibri" w:cs="Calibri" w:eastAsia="Calibri" w:hAnsi="Calibri"/>
          <w:b/>
          <w:bCs/>
          <w:color w:val="7C6BC4"/>
          <w:spacing w:val="30"/>
          <w:sz w:val="17"/>
          <w:szCs w:val="17"/>
        </w:rPr>
        <w:t xml:space="preserve">	45 SECONDS</w:t>
      </w:r>
    </w:p>
    <w:p>
      <w:pPr>
        <w:spacing w:after="200"/>
      </w:pPr>
      <w:r>
        <w:rPr>
          <w:rFonts w:ascii="Cambria" w:cs="Cambria" w:eastAsia="Cambria" w:hAnsi="Cambria"/>
          <w:b/>
          <w:bCs/>
          <w:color w:val="1B1733"/>
          <w:sz w:val="46"/>
          <w:szCs w:val="46"/>
        </w:rPr>
        <w:t xml:space="preserve">What the AI does, and what it may never do.</w:t>
      </w: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3640"/>
        <w:gridCol w:w="190"/>
        <w:gridCol w:w="3640"/>
        <w:gridCol w:w="190"/>
        <w:gridCol w:w="3640"/>
        <w:gridCol w:w="190"/>
        <w:gridCol w:w="3640"/>
      </w:tblGrid>
      <w:tr>
        <w:tc>
          <w:tcPr>
            <w:tcW w:type="dxa" w:w="3640"/>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1 · Approved objects</w:t>
            </w:r>
          </w:p>
          <w:p>
            <w:pPr>
              <w:spacing w:after="0" w:before="0" w:line="264"/>
            </w:pPr>
            <w:r>
              <w:rPr>
                <w:rFonts w:ascii="Calibri" w:cs="Calibri" w:eastAsia="Calibri" w:hAnsi="Calibri"/>
                <w:color w:val="2A2447"/>
                <w:sz w:val="19"/>
                <w:szCs w:val="19"/>
              </w:rPr>
              <w:t xml:space="preserve">Elements, questions, challenges and boundaries, each anchored to a published principle.</w:t>
            </w:r>
          </w:p>
        </w:tc>
        <w:tc>
          <w:tcPr>
            <w:tcW w:type="dxa" w:w="19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3640"/>
            <w:shd w:fill="1B1733" w:val="clear"/>
            <w:tcMar>
              <w:top w:type="dxa" w:w="200"/>
              <w:left w:type="dxa" w:w="190"/>
              <w:bottom w:type="dxa" w:w="200"/>
              <w:right w:type="dxa" w:w="190"/>
            </w:tcMar>
            <w:vAlign w:val="top"/>
          </w:tcPr>
          <w:p>
            <w:pPr>
              <w:spacing w:after="90" w:before="0" w:line="264"/>
            </w:pPr>
            <w:r>
              <w:rPr>
                <w:rFonts w:ascii="Calibri" w:cs="Calibri" w:eastAsia="Calibri" w:hAnsi="Calibri"/>
                <w:b/>
                <w:bCs/>
                <w:color w:val="7C6BC4"/>
                <w:sz w:val="22"/>
                <w:szCs w:val="22"/>
              </w:rPr>
              <w:t xml:space="preserve">2 · Orchestrator</w:t>
            </w:r>
          </w:p>
          <w:p>
            <w:pPr>
              <w:spacing w:after="0" w:before="0" w:line="264"/>
            </w:pPr>
            <w:r>
              <w:rPr>
                <w:rFonts w:ascii="Calibri" w:cs="Calibri" w:eastAsia="Calibri" w:hAnsi="Calibri"/>
                <w:color w:val="D8D3EA"/>
                <w:sz w:val="19"/>
                <w:szCs w:val="19"/>
              </w:rPr>
              <w:t xml:space="preserve">Selects which approved object fires next. It sequences; it does not write.</w:t>
            </w:r>
          </w:p>
        </w:tc>
        <w:tc>
          <w:tcPr>
            <w:tcW w:type="dxa" w:w="19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3640"/>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3 · HoloMe digital human</w:t>
            </w:r>
          </w:p>
          <w:p>
            <w:pPr>
              <w:spacing w:after="0" w:before="0" w:line="264"/>
            </w:pPr>
            <w:r>
              <w:rPr>
                <w:rFonts w:ascii="Calibri" w:cs="Calibri" w:eastAsia="Calibri" w:hAnsi="Calibri"/>
                <w:color w:val="2A2447"/>
                <w:sz w:val="19"/>
                <w:szCs w:val="19"/>
              </w:rPr>
              <w:t xml:space="preserve">Speaks the approved words, in the session language, with a distinct persona voice.</w:t>
            </w:r>
          </w:p>
        </w:tc>
        <w:tc>
          <w:tcPr>
            <w:tcW w:type="dxa" w:w="19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3640"/>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4 · Bound record</w:t>
            </w:r>
          </w:p>
          <w:p>
            <w:pPr>
              <w:spacing w:after="0" w:before="0" w:line="264"/>
            </w:pPr>
            <w:r>
              <w:rPr>
                <w:rFonts w:ascii="Calibri" w:cs="Calibri" w:eastAsia="Calibri" w:hAnsi="Calibri"/>
                <w:color w:val="2A2447"/>
                <w:sz w:val="19"/>
                <w:szCs w:val="19"/>
              </w:rPr>
              <w:t xml:space="preserve">Every determination points at the investor's own sentence and the object that elicited it.</w:t>
            </w:r>
          </w:p>
        </w:tc>
      </w:tr>
    </w:tbl>
    <w:p>
      <w:pPr>
        <w:spacing w:after="20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7445"/>
        <w:gridCol w:w="240"/>
        <w:gridCol w:w="7445"/>
      </w:tblGrid>
      <w:tr>
        <w:tc>
          <w:tcPr>
            <w:tcW w:type="dxa" w:w="7445"/>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2E7D5B"/>
                <w:sz w:val="22"/>
                <w:szCs w:val="22"/>
              </w:rPr>
              <w:t xml:space="preserve">The model may</w:t>
            </w:r>
          </w:p>
          <w:p>
            <w:pPr>
              <w:pStyle w:val="ListParagraph"/>
              <w:numPr>
                <w:ilvl w:val="0"/>
                <w:numId w:val="2"/>
              </w:numPr>
              <w:spacing w:after="40" w:line="258"/>
            </w:pPr>
            <w:r>
              <w:rPr>
                <w:rFonts w:ascii="Calibri" w:cs="Calibri" w:eastAsia="Calibri" w:hAnsi="Calibri"/>
                <w:color w:val="2A2447"/>
                <w:sz w:val="19"/>
                <w:szCs w:val="19"/>
              </w:rPr>
              <w:t xml:space="preserve">Choose which approved question fires next</w:t>
            </w:r>
          </w:p>
          <w:p>
            <w:pPr>
              <w:pStyle w:val="ListParagraph"/>
              <w:numPr>
                <w:ilvl w:val="0"/>
                <w:numId w:val="2"/>
              </w:numPr>
              <w:spacing w:after="40" w:line="258"/>
            </w:pPr>
            <w:r>
              <w:rPr>
                <w:rFonts w:ascii="Calibri" w:cs="Calibri" w:eastAsia="Calibri" w:hAnsi="Calibri"/>
                <w:color w:val="2A2447"/>
                <w:sz w:val="19"/>
                <w:szCs w:val="19"/>
              </w:rPr>
              <w:t xml:space="preserve">Judge whether an answer satisfied an element</w:t>
            </w:r>
          </w:p>
          <w:p>
            <w:pPr>
              <w:pStyle w:val="ListParagraph"/>
              <w:numPr>
                <w:ilvl w:val="0"/>
                <w:numId w:val="2"/>
              </w:numPr>
              <w:spacing w:after="0" w:line="258"/>
            </w:pPr>
            <w:r>
              <w:rPr>
                <w:rFonts w:ascii="Calibri" w:cs="Calibri" w:eastAsia="Calibri" w:hAnsi="Calibri"/>
                <w:color w:val="2A2447"/>
                <w:sz w:val="19"/>
                <w:szCs w:val="19"/>
              </w:rPr>
              <w:t xml:space="preserve">Escalate a persona within an approved ceiling</w:t>
            </w:r>
          </w:p>
        </w:tc>
        <w:tc>
          <w:tcPr>
            <w:tcW w:type="dxa" w:w="24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7445"/>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A33B3B"/>
                <w:sz w:val="22"/>
                <w:szCs w:val="22"/>
              </w:rPr>
              <w:t xml:space="preserve">The model may not</w:t>
            </w:r>
          </w:p>
          <w:p>
            <w:pPr>
              <w:pStyle w:val="ListParagraph"/>
              <w:numPr>
                <w:ilvl w:val="0"/>
                <w:numId w:val="2"/>
              </w:numPr>
              <w:spacing w:after="40" w:line="258"/>
            </w:pPr>
            <w:r>
              <w:rPr>
                <w:rFonts w:ascii="Calibri" w:cs="Calibri" w:eastAsia="Calibri" w:hAnsi="Calibri"/>
                <w:color w:val="2A2447"/>
                <w:sz w:val="19"/>
                <w:szCs w:val="19"/>
              </w:rPr>
              <w:t xml:space="preserve">Write, rephrase or improvise a question</w:t>
            </w:r>
          </w:p>
          <w:p>
            <w:pPr>
              <w:pStyle w:val="ListParagraph"/>
              <w:numPr>
                <w:ilvl w:val="0"/>
                <w:numId w:val="2"/>
              </w:numPr>
              <w:spacing w:after="40" w:line="258"/>
            </w:pPr>
            <w:r>
              <w:rPr>
                <w:rFonts w:ascii="Calibri" w:cs="Calibri" w:eastAsia="Calibri" w:hAnsi="Calibri"/>
                <w:color w:val="2A2447"/>
                <w:sz w:val="19"/>
                <w:szCs w:val="19"/>
              </w:rPr>
              <w:t xml:space="preserve">Give advice, or say anything unapproved</w:t>
            </w:r>
          </w:p>
          <w:p>
            <w:pPr>
              <w:pStyle w:val="ListParagraph"/>
              <w:numPr>
                <w:ilvl w:val="0"/>
                <w:numId w:val="2"/>
              </w:numPr>
              <w:spacing w:after="0" w:line="258"/>
            </w:pPr>
            <w:r>
              <w:rPr>
                <w:rFonts w:ascii="Calibri" w:cs="Calibri" w:eastAsia="Calibri" w:hAnsi="Calibri"/>
                <w:color w:val="2A2447"/>
                <w:sz w:val="19"/>
                <w:szCs w:val="19"/>
              </w:rPr>
              <w:t xml:space="preserve">Exceed the ceiling, or ignore a distress exit</w:t>
            </w:r>
          </w:p>
        </w:tc>
      </w:tr>
    </w:tbl>
    <w:p>
      <w:pPr>
        <w:spacing w:after="20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15130"/>
      </w:tblGrid>
      <w:tr>
        <w:tc>
          <w:tcPr>
            <w:tcW w:type="dxa" w:w="15130"/>
            <w:shd w:fill="1B1733" w:val="clear"/>
            <w:tcMar>
              <w:top w:type="dxa" w:w="170"/>
              <w:left w:type="dxa" w:w="190"/>
              <w:bottom w:type="dxa" w:w="170"/>
              <w:right w:type="dxa" w:w="190"/>
            </w:tcMar>
            <w:vAlign w:val="top"/>
          </w:tcPr>
          <w:p>
            <w:pPr>
              <w:spacing w:after="0" w:before="0" w:line="264"/>
            </w:pPr>
            <w:r>
              <w:rPr>
                <w:rFonts w:ascii="Calibri" w:cs="Calibri" w:eastAsia="Calibri" w:hAnsi="Calibri"/>
                <w:b/>
                <w:bCs/>
                <w:color w:val="FFFFFF"/>
                <w:sz w:val="24"/>
                <w:szCs w:val="24"/>
              </w:rPr>
              <w:t xml:space="preserve">Every sentence this system speaks was approved by a human before the session started.</w:t>
            </w:r>
          </w:p>
        </w:tc>
      </w:tr>
    </w:tbl>
    <w:p>
      <w:pPr>
        <w:spacing w:after="180"/>
      </w:pP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This is the slide the regulators came for. Land the closed-generation point explicitly: the model orchestrates approved content, it never authors it at runtime.</w:t>
            </w:r>
          </w:p>
          <w:p>
            <w:pPr>
              <w:spacing w:after="0" w:before="0" w:line="250"/>
            </w:pPr>
            <w:r>
              <w:rPr>
                <w:rFonts w:ascii="Calibri" w:cs="Calibri" w:eastAsia="Calibri" w:hAnsi="Calibri"/>
                <w:color w:val="6B6880"/>
                <w:sz w:val="18"/>
                <w:szCs w:val="18"/>
              </w:rPr>
              <w:t xml:space="preserve">If they remember one sentence from the whole seven minutes, make it the black bar.</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4  ·  DEMO</w:t>
      </w:r>
      <w:r>
        <w:rPr>
          <w:rFonts w:ascii="Calibri" w:cs="Calibri" w:eastAsia="Calibri" w:hAnsi="Calibri"/>
          <w:b/>
          <w:bCs/>
          <w:color w:val="7C6BC4"/>
          <w:spacing w:val="30"/>
          <w:sz w:val="17"/>
          <w:szCs w:val="17"/>
        </w:rPr>
        <w:t xml:space="preserve">	2 MINUTES</w:t>
      </w:r>
    </w:p>
    <w:p>
      <w:pPr>
        <w:spacing w:after="200"/>
      </w:pPr>
      <w:r>
        <w:rPr>
          <w:rFonts w:ascii="Cambria" w:cs="Cambria" w:eastAsia="Cambria" w:hAnsi="Cambria"/>
          <w:b/>
          <w:bCs/>
          <w:color w:val="1B1733"/>
          <w:sz w:val="46"/>
          <w:szCs w:val="46"/>
        </w:rPr>
        <w:t xml:space="preserve">Watch for three things.</w:t>
      </w: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620"/>
        <w:gridCol w:w="14510"/>
      </w:tblGrid>
      <w:tr>
        <w:tc>
          <w:tcPr>
            <w:tcW w:type="dxa" w:w="620"/>
            <w:shd w:fill="FFFFFF" w:val="clear"/>
            <w:tcMar>
              <w:top w:type="dxa" w:w="60"/>
              <w:left w:type="dxa" w:w="0"/>
              <w:bottom w:type="dxa" w:w="60"/>
              <w:right w:type="dxa" w:w="190"/>
            </w:tcMar>
            <w:vAlign w:val="top"/>
          </w:tcPr>
          <w:p>
            <w:pPr>
              <w:spacing w:after="0" w:before="0" w:line="264"/>
            </w:pPr>
            <w:r>
              <w:rPr>
                <w:rFonts w:ascii="Cambria" w:cs="Cambria" w:eastAsia="Cambria" w:hAnsi="Cambria"/>
                <w:b/>
                <w:bCs/>
                <w:color w:val="7C6BC4"/>
                <w:sz w:val="30"/>
                <w:szCs w:val="30"/>
              </w:rPr>
              <w:t xml:space="preserve">1</w:t>
            </w:r>
          </w:p>
        </w:tc>
        <w:tc>
          <w:tcPr>
            <w:tcW w:type="dxa" w:w="14510"/>
            <w:shd w:fill="FFFFFF" w:val="clear"/>
            <w:tcMar>
              <w:top w:type="dxa" w:w="60"/>
              <w:left w:type="dxa" w:w="0"/>
              <w:bottom w:type="dxa" w:w="60"/>
              <w:right w:type="dxa" w:w="190"/>
            </w:tcMar>
            <w:vAlign w:val="top"/>
          </w:tcPr>
          <w:p>
            <w:pPr>
              <w:spacing w:after="60" w:before="0" w:line="264"/>
            </w:pPr>
            <w:r>
              <w:rPr>
                <w:rFonts w:ascii="Cambria" w:cs="Cambria" w:eastAsia="Cambria" w:hAnsi="Cambria"/>
                <w:b/>
                <w:bCs/>
                <w:color w:val="1B1733"/>
                <w:sz w:val="26"/>
                <w:szCs w:val="26"/>
              </w:rPr>
              <w:t xml:space="preserve">She never improvises.</w:t>
            </w:r>
          </w:p>
          <w:p>
            <w:pPr>
              <w:spacing w:after="0" w:before="0" w:line="264"/>
            </w:pPr>
            <w:r>
              <w:rPr>
                <w:rFonts w:ascii="Calibri" w:cs="Calibri" w:eastAsia="Calibri" w:hAnsi="Calibri"/>
                <w:color w:val="2A2447"/>
                <w:sz w:val="21"/>
                <w:szCs w:val="21"/>
              </w:rPr>
              <w:t xml:space="preserve">Every question you hear exists as an approved object with a version and an authority anchor behind it.</w:t>
            </w:r>
          </w:p>
        </w:tc>
      </w:tr>
    </w:tbl>
    <w:p>
      <w:pPr>
        <w:spacing w:after="15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620"/>
        <w:gridCol w:w="14510"/>
      </w:tblGrid>
      <w:tr>
        <w:tc>
          <w:tcPr>
            <w:tcW w:type="dxa" w:w="620"/>
            <w:shd w:fill="FFFFFF" w:val="clear"/>
            <w:tcMar>
              <w:top w:type="dxa" w:w="60"/>
              <w:left w:type="dxa" w:w="0"/>
              <w:bottom w:type="dxa" w:w="60"/>
              <w:right w:type="dxa" w:w="190"/>
            </w:tcMar>
            <w:vAlign w:val="top"/>
          </w:tcPr>
          <w:p>
            <w:pPr>
              <w:spacing w:after="0" w:before="0" w:line="264"/>
            </w:pPr>
            <w:r>
              <w:rPr>
                <w:rFonts w:ascii="Cambria" w:cs="Cambria" w:eastAsia="Cambria" w:hAnsi="Cambria"/>
                <w:b/>
                <w:bCs/>
                <w:color w:val="7C6BC4"/>
                <w:sz w:val="30"/>
                <w:szCs w:val="30"/>
              </w:rPr>
              <w:t xml:space="preserve">2</w:t>
            </w:r>
          </w:p>
        </w:tc>
        <w:tc>
          <w:tcPr>
            <w:tcW w:type="dxa" w:w="14510"/>
            <w:shd w:fill="FFFFFF" w:val="clear"/>
            <w:tcMar>
              <w:top w:type="dxa" w:w="60"/>
              <w:left w:type="dxa" w:w="0"/>
              <w:bottom w:type="dxa" w:w="60"/>
              <w:right w:type="dxa" w:w="190"/>
            </w:tcMar>
            <w:vAlign w:val="top"/>
          </w:tcPr>
          <w:p>
            <w:pPr>
              <w:spacing w:after="60" w:before="0" w:line="264"/>
            </w:pPr>
            <w:r>
              <w:rPr>
                <w:rFonts w:ascii="Cambria" w:cs="Cambria" w:eastAsia="Cambria" w:hAnsi="Cambria"/>
                <w:b/>
                <w:bCs/>
                <w:color w:val="1B1733"/>
                <w:sz w:val="26"/>
                <w:szCs w:val="26"/>
              </w:rPr>
              <w:t xml:space="preserve">The pressure is real, and it is bounded.</w:t>
            </w:r>
          </w:p>
          <w:p>
            <w:pPr>
              <w:spacing w:after="0" w:before="0" w:line="264"/>
            </w:pPr>
            <w:r>
              <w:rPr>
                <w:rFonts w:ascii="Calibri" w:cs="Calibri" w:eastAsia="Calibri" w:hAnsi="Calibri"/>
                <w:color w:val="2A2447"/>
                <w:sz w:val="21"/>
                <w:szCs w:val="21"/>
              </w:rPr>
              <w:t xml:space="preserve">The persona escalates on an approved ladder with a hard ceiling, and a distress exit that cannot be overridden.</w:t>
            </w:r>
          </w:p>
        </w:tc>
      </w:tr>
    </w:tbl>
    <w:p>
      <w:pPr>
        <w:spacing w:after="15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620"/>
        <w:gridCol w:w="14510"/>
      </w:tblGrid>
      <w:tr>
        <w:tc>
          <w:tcPr>
            <w:tcW w:type="dxa" w:w="620"/>
            <w:shd w:fill="FFFFFF" w:val="clear"/>
            <w:tcMar>
              <w:top w:type="dxa" w:w="60"/>
              <w:left w:type="dxa" w:w="0"/>
              <w:bottom w:type="dxa" w:w="60"/>
              <w:right w:type="dxa" w:w="190"/>
            </w:tcMar>
            <w:vAlign w:val="top"/>
          </w:tcPr>
          <w:p>
            <w:pPr>
              <w:spacing w:after="0" w:before="0" w:line="264"/>
            </w:pPr>
            <w:r>
              <w:rPr>
                <w:rFonts w:ascii="Cambria" w:cs="Cambria" w:eastAsia="Cambria" w:hAnsi="Cambria"/>
                <w:b/>
                <w:bCs/>
                <w:color w:val="7C6BC4"/>
                <w:sz w:val="30"/>
                <w:szCs w:val="30"/>
              </w:rPr>
              <w:t xml:space="preserve">3</w:t>
            </w:r>
          </w:p>
        </w:tc>
        <w:tc>
          <w:tcPr>
            <w:tcW w:type="dxa" w:w="14510"/>
            <w:shd w:fill="FFFFFF" w:val="clear"/>
            <w:tcMar>
              <w:top w:type="dxa" w:w="60"/>
              <w:left w:type="dxa" w:w="0"/>
              <w:bottom w:type="dxa" w:w="60"/>
              <w:right w:type="dxa" w:w="190"/>
            </w:tcMar>
            <w:vAlign w:val="top"/>
          </w:tcPr>
          <w:p>
            <w:pPr>
              <w:spacing w:after="60" w:before="0" w:line="264"/>
            </w:pPr>
            <w:r>
              <w:rPr>
                <w:rFonts w:ascii="Cambria" w:cs="Cambria" w:eastAsia="Cambria" w:hAnsi="Cambria"/>
                <w:b/>
                <w:bCs/>
                <w:color w:val="1B1733"/>
                <w:sz w:val="26"/>
                <w:szCs w:val="26"/>
              </w:rPr>
              <w:t xml:space="preserve">The verdict is never our prose.</w:t>
            </w:r>
          </w:p>
          <w:p>
            <w:pPr>
              <w:spacing w:after="0" w:before="0" w:line="264"/>
            </w:pPr>
            <w:r>
              <w:rPr>
                <w:rFonts w:ascii="Calibri" w:cs="Calibri" w:eastAsia="Calibri" w:hAnsi="Calibri"/>
                <w:color w:val="2A2447"/>
                <w:sz w:val="21"/>
                <w:szCs w:val="21"/>
              </w:rPr>
              <w:t xml:space="preserve">Each line on the scorecard is the investor's own sentence, beside the object that elicited it.</w:t>
            </w:r>
          </w:p>
        </w:tc>
      </w:tr>
    </w:tbl>
    <w:p>
      <w:pPr>
        <w:spacing w:after="150"/>
      </w:pPr>
    </w:p>
    <w:p>
      <w:pPr>
        <w:spacing w:after="220" w:before="0" w:line="264"/>
      </w:pPr>
      <w:r>
        <w:rPr>
          <w:rFonts w:ascii="Calibri" w:cs="Calibri" w:eastAsia="Calibri" w:hAnsi="Calibri"/>
          <w:i/>
          <w:iCs/>
          <w:color w:val="6B6880"/>
          <w:sz w:val="20"/>
          <w:szCs w:val="20"/>
        </w:rPr>
        <w:t xml:space="preserve">Voice only. There is no text input anywhere in the session — typing produces edited answers, and the interview needs unedited ones.</w:t>
      </w: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SHOW IT. DO NOT NARRATE IT. Two minutes is the largest single block in the slot and the judges remember it above everything else.</w:t>
            </w:r>
          </w:p>
          <w:p>
            <w:pPr>
              <w:spacing w:after="80" w:before="0" w:line="250"/>
            </w:pPr>
            <w:r>
              <w:rPr>
                <w:rFonts w:ascii="Calibri" w:cs="Calibri" w:eastAsia="Calibri" w:hAnsi="Calibri"/>
                <w:color w:val="6B6880"/>
                <w:sz w:val="18"/>
                <w:szCs w:val="18"/>
              </w:rPr>
              <w:t xml:space="preserve">RECOMMENDATION — present a RECORDED run and keep the live build open in a second window as backup. Two minutes of live speech recognition, on conference wi-fi, in a room with ambient noise, is the highest-variance 120 seconds of the whole presentation, and a failed live demo costs far more than a recorded one gains.</w:t>
            </w:r>
          </w:p>
          <w:p>
            <w:pPr>
              <w:spacing w:after="80" w:before="0" w:line="250"/>
            </w:pPr>
            <w:r>
              <w:rPr>
                <w:rFonts w:ascii="Calibri" w:cs="Calibri" w:eastAsia="Calibri" w:hAnsi="Calibri"/>
                <w:color w:val="6B6880"/>
                <w:sz w:val="18"/>
                <w:szCs w:val="18"/>
              </w:rPr>
              <w:t xml:space="preserve">If you do run live: headphones or a lapel mic, and decide in advance which single beat you cannot afford to lose — the coaching moment, where the investor's own sentence comes back to them.</w:t>
            </w:r>
          </w:p>
          <w:p>
            <w:pPr>
              <w:spacing w:after="0" w:before="0" w:line="250"/>
            </w:pPr>
            <w:r>
              <w:rPr>
                <w:rFonts w:ascii="Calibri" w:cs="Calibri" w:eastAsia="Calibri" w:hAnsi="Calibri"/>
                <w:color w:val="6B6880"/>
                <w:sz w:val="18"/>
                <w:szCs w:val="18"/>
              </w:rPr>
              <w:t xml:space="preserve">Show the language switch for about five seconds. Do not conduct the demo in a language that has not been natively reviewed.</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5  ·  EVALUATION</w:t>
      </w:r>
      <w:r>
        <w:rPr>
          <w:rFonts w:ascii="Calibri" w:cs="Calibri" w:eastAsia="Calibri" w:hAnsi="Calibri"/>
          <w:b/>
          <w:bCs/>
          <w:color w:val="7C6BC4"/>
          <w:spacing w:val="30"/>
          <w:sz w:val="17"/>
          <w:szCs w:val="17"/>
        </w:rPr>
        <w:t xml:space="preserve">	1 MINUTE 15 SECONDS</w:t>
      </w:r>
    </w:p>
    <w:p>
      <w:pPr>
        <w:spacing w:after="200"/>
      </w:pPr>
      <w:r>
        <w:rPr>
          <w:rFonts w:ascii="Cambria" w:cs="Cambria" w:eastAsia="Cambria" w:hAnsi="Cambria"/>
          <w:b/>
          <w:bCs/>
          <w:color w:val="1B1733"/>
          <w:sz w:val="46"/>
          <w:szCs w:val="46"/>
        </w:rPr>
        <w:t xml:space="preserve">What we set out to build, and what we have.</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7400"/>
        <w:gridCol w:w="7730"/>
      </w:tblGrid>
      <w:tr>
        <w:trPr>
          <w:tblHeader/>
        </w:trPr>
        <w:tc>
          <w:tcPr>
            <w:tcW w:type="dxa" w:w="7400"/>
            <w:shd w:fill="EDEAF7"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19"/>
                <w:szCs w:val="19"/>
              </w:rPr>
              <w:t xml:space="preserve">What we set out to build</w:t>
            </w:r>
          </w:p>
        </w:tc>
        <w:tc>
          <w:tcPr>
            <w:tcW w:type="dxa" w:w="7730"/>
            <w:shd w:fill="EDEAF7"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19"/>
                <w:szCs w:val="19"/>
              </w:rPr>
              <w:t xml:space="preserve">Where it actually stands</w:t>
            </w:r>
          </w:p>
        </w:tc>
      </w:tr>
      <w:tr>
        <w:tc>
          <w:tcPr>
            <w:tcW w:type="dxa" w:w="740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A voice-led interview producing behavioural evidence, not a quiz score</w:t>
            </w:r>
          </w:p>
        </w:tc>
        <w:tc>
          <w:tcPr>
            <w:tcW w:type="dxa" w:w="773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2E7D5B"/>
                <w:sz w:val="20"/>
                <w:szCs w:val="20"/>
              </w:rPr>
              <w:t xml:space="preserve">Achieved</w:t>
            </w:r>
          </w:p>
        </w:tc>
      </w:tr>
      <w:tr>
        <w:tc>
          <w:tcPr>
            <w:tcW w:type="dxa" w:w="740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A complete loop inside ten minutes</w:t>
            </w:r>
          </w:p>
        </w:tc>
        <w:tc>
          <w:tcPr>
            <w:tcW w:type="dxa" w:w="773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2E7D5B"/>
                <w:sz w:val="20"/>
                <w:szCs w:val="20"/>
              </w:rPr>
              <w:t xml:space="preserve">Achieved — 8 min 40 sec, measured</w:t>
            </w:r>
          </w:p>
        </w:tc>
      </w:tr>
      <w:tr>
        <w:tc>
          <w:tcPr>
            <w:tcW w:type="dxa" w:w="740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Every determination traceable to the investor's own words</w:t>
            </w:r>
          </w:p>
        </w:tc>
        <w:tc>
          <w:tcPr>
            <w:tcW w:type="dxa" w:w="773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2E7D5B"/>
                <w:sz w:val="20"/>
                <w:szCs w:val="20"/>
              </w:rPr>
              <w:t xml:space="preserve">Achieved — verbatim binding throughout</w:t>
            </w:r>
          </w:p>
        </w:tc>
      </w:tr>
      <w:tr>
        <w:tc>
          <w:tcPr>
            <w:tcW w:type="dxa" w:w="740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Delivery in more than one language, voice included</w:t>
            </w:r>
          </w:p>
        </w:tc>
        <w:tc>
          <w:tcPr>
            <w:tcW w:type="dxa" w:w="773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B5762A"/>
                <w:sz w:val="20"/>
                <w:szCs w:val="20"/>
              </w:rPr>
              <w:t xml:space="preserve">Four languages built. One cleared for deployment, three await native review</w:t>
            </w:r>
          </w:p>
        </w:tc>
      </w:tr>
      <w:tr>
        <w:tc>
          <w:tcPr>
            <w:tcW w:type="dxa" w:w="740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Governance we could put in front of a regulator</w:t>
            </w:r>
          </w:p>
        </w:tc>
        <w:tc>
          <w:tcPr>
            <w:tcW w:type="dxa" w:w="773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5A4A96"/>
                <w:sz w:val="20"/>
                <w:szCs w:val="20"/>
              </w:rPr>
              <w:t xml:space="preserve">Exceeded — we built the publish gate, and it blocked us</w:t>
            </w:r>
          </w:p>
        </w:tc>
      </w:tr>
      <w:tr>
        <w:tc>
          <w:tcPr>
            <w:tcW w:type="dxa" w:w="740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A durable behaviour-change claim</w:t>
            </w:r>
          </w:p>
        </w:tc>
        <w:tc>
          <w:tcPr>
            <w:tcW w:type="dxa" w:w="773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B5762A"/>
                <w:sz w:val="20"/>
                <w:szCs w:val="20"/>
              </w:rPr>
              <w:t xml:space="preserve">Not made. We measure within-session transfer only, and the record says so</w:t>
            </w:r>
          </w:p>
        </w:tc>
      </w:tr>
      <w:tr>
        <w:tc>
          <w:tcPr>
            <w:tcW w:type="dxa" w:w="740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20"/>
                <w:szCs w:val="20"/>
              </w:rPr>
              <w:t xml:space="preserve">A field trial with retail investors</w:t>
            </w:r>
          </w:p>
        </w:tc>
        <w:tc>
          <w:tcPr>
            <w:tcW w:type="dxa" w:w="773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B5762A"/>
                <w:sz w:val="20"/>
                <w:szCs w:val="20"/>
              </w:rPr>
              <w:t xml:space="preserve">Not yet run. This is the next milestone, not a footnote</w:t>
            </w:r>
          </w:p>
        </w:tc>
      </w:tr>
    </w:tbl>
    <w:p>
      <w:pPr>
        <w:spacing w:after="180"/>
      </w:pPr>
    </w:p>
    <w:p>
      <w:pPr>
        <w:spacing w:after="220" w:before="0" w:line="264"/>
      </w:pPr>
      <w:r>
        <w:rPr>
          <w:rFonts w:ascii="Calibri" w:cs="Calibri" w:eastAsia="Calibri" w:hAnsi="Calibri"/>
          <w:i/>
          <w:iCs/>
          <w:color w:val="6B6880"/>
          <w:sz w:val="20"/>
          <w:szCs w:val="20"/>
        </w:rPr>
        <w:t xml:space="preserve">The last two rows are on this slide deliberately. A team that only reports what worked has not finished evaluating.</w:t>
      </w: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Seventy-five seconds. Read the green rows fast — they are not where the credibility is.</w:t>
            </w:r>
          </w:p>
          <w:p>
            <w:pPr>
              <w:spacing w:after="80" w:before="0" w:line="250"/>
            </w:pPr>
            <w:r>
              <w:rPr>
                <w:rFonts w:ascii="Calibri" w:cs="Calibri" w:eastAsia="Calibri" w:hAnsi="Calibri"/>
                <w:color w:val="6B6880"/>
                <w:sz w:val="18"/>
                <w:szCs w:val="18"/>
              </w:rPr>
              <w:t xml:space="preserve">SLOW DOWN on the last three. Saying out loud that you do not claim durable behaviour change, and that three language variants are not cleared for deployment, is what makes everything else believable to a regulatory audience. The FCA guidance explicitly invites the journey and the challenges. Take the invitation.</w:t>
            </w:r>
          </w:p>
          <w:p>
            <w:pPr>
              <w:spacing w:after="0" w:before="0" w:line="250"/>
            </w:pPr>
            <w:r>
              <w:rPr>
                <w:rFonts w:ascii="Calibri" w:cs="Calibri" w:eastAsia="Calibri" w:hAnsi="Calibri"/>
                <w:color w:val="6B6880"/>
                <w:sz w:val="18"/>
                <w:szCs w:val="18"/>
              </w:rPr>
              <w:t xml:space="preserve">Bridge into the deep dive: 'and one we did not expect — our own gate blocked our own library.'</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6  ·  DEEP DIVE</w:t>
      </w:r>
      <w:r>
        <w:rPr>
          <w:rFonts w:ascii="Calibri" w:cs="Calibri" w:eastAsia="Calibri" w:hAnsi="Calibri"/>
          <w:b/>
          <w:bCs/>
          <w:color w:val="7C6BC4"/>
          <w:spacing w:val="30"/>
          <w:sz w:val="17"/>
          <w:szCs w:val="17"/>
        </w:rPr>
        <w:t xml:space="preserve">	1 MINUTE</w:t>
      </w:r>
    </w:p>
    <w:p>
      <w:pPr>
        <w:spacing w:after="200"/>
      </w:pPr>
      <w:r>
        <w:rPr>
          <w:rFonts w:ascii="Cambria" w:cs="Cambria" w:eastAsia="Cambria" w:hAnsi="Cambria"/>
          <w:b/>
          <w:bCs/>
          <w:color w:val="1B1733"/>
          <w:sz w:val="46"/>
          <w:szCs w:val="46"/>
        </w:rPr>
        <w:t xml:space="preserve">We built a gate that can block us. Then it did.</w:t>
      </w: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8800"/>
        <w:gridCol w:w="320"/>
        <w:gridCol w:w="6010"/>
      </w:tblGrid>
      <w:tr>
        <w:tc>
          <w:tcPr>
            <w:tcW w:type="dxa" w:w="8800"/>
            <w:shd w:fill="FFFFFF" w:val="clear"/>
            <w:tcMar>
              <w:top w:type="dxa" w:w="0"/>
              <w:left w:type="dxa" w:w="0"/>
              <w:bottom w:type="dxa" w:w="0"/>
              <w:right w:type="dxa" w:w="190"/>
            </w:tcMar>
            <w:vAlign w:val="top"/>
          </w:tcPr>
          <w:p>
            <w:pPr>
              <w:spacing w:after="170" w:before="0" w:line="264"/>
            </w:pPr>
            <w:r>
              <w:rPr>
                <w:rFonts w:ascii="Calibri" w:cs="Calibri" w:eastAsia="Calibri" w:hAnsi="Calibri"/>
                <w:color w:val="2A2447"/>
                <w:sz w:val="21"/>
                <w:szCs w:val="21"/>
              </w:rPr>
              <w:t xml:space="preserve">Nothing reaches an investor until a mechanical publish gate passes. Ten tests, seven of them blocking, no waive path — not for a client, and not for BYOND Asia.</w:t>
            </w:r>
          </w:p>
          <w:p>
            <w:pPr>
              <w:spacing w:after="90" w:before="0" w:line="264"/>
            </w:pPr>
            <w:r>
              <w:rPr>
                <w:rFonts w:ascii="Calibri" w:cs="Calibri" w:eastAsia="Calibri" w:hAnsi="Calibri"/>
                <w:b/>
                <w:bCs/>
                <w:color w:val="5A4A96"/>
                <w:sz w:val="22"/>
                <w:szCs w:val="22"/>
              </w:rPr>
              <w:t xml:space="preserve">1 · We ran the gate against our own live library.</w:t>
            </w:r>
          </w:p>
          <w:p>
            <w:pPr>
              <w:spacing w:after="130" w:before="0" w:line="264"/>
            </w:pPr>
            <w:r>
              <w:rPr>
                <w:rFonts w:ascii="Calibri" w:cs="Calibri" w:eastAsia="Calibri" w:hAnsi="Calibri"/>
                <w:color w:val="2A2447"/>
                <w:sz w:val="20"/>
                <w:szCs w:val="20"/>
              </w:rPr>
              <w:t xml:space="preserve">Not a fixture. The library running in the demo you just watched.</w:t>
            </w:r>
          </w:p>
          <w:p>
            <w:pPr>
              <w:spacing w:after="90" w:before="0" w:line="264"/>
            </w:pPr>
            <w:r>
              <w:rPr>
                <w:rFonts w:ascii="Calibri" w:cs="Calibri" w:eastAsia="Calibri" w:hAnsi="Calibri"/>
                <w:b/>
                <w:bCs/>
                <w:color w:val="5A4A96"/>
                <w:sz w:val="22"/>
                <w:szCs w:val="22"/>
              </w:rPr>
              <w:t xml:space="preserve">2 · Coverage failed.</w:t>
            </w:r>
          </w:p>
          <w:p>
            <w:pPr>
              <w:spacing w:after="130" w:before="0" w:line="264"/>
            </w:pPr>
            <w:r>
              <w:rPr>
                <w:rFonts w:ascii="Calibri" w:cs="Calibri" w:eastAsia="Calibri" w:hAnsi="Calibri"/>
                <w:color w:val="2A2447"/>
                <w:sz w:val="20"/>
                <w:szCs w:val="20"/>
              </w:rPr>
              <w:t xml:space="preserve">Four mandatory competency elements had no approved question that could elicit them. They could never be resolved in a session.</w:t>
            </w:r>
          </w:p>
          <w:p>
            <w:pPr>
              <w:spacing w:after="90" w:before="0" w:line="264"/>
            </w:pPr>
            <w:r>
              <w:rPr>
                <w:rFonts w:ascii="Calibri" w:cs="Calibri" w:eastAsia="Calibri" w:hAnsi="Calibri"/>
                <w:b/>
                <w:bCs/>
                <w:color w:val="5A4A96"/>
                <w:sz w:val="22"/>
                <w:szCs w:val="22"/>
              </w:rPr>
              <w:t xml:space="preserve">3 · Clearing it cascaded.</w:t>
            </w:r>
          </w:p>
          <w:p>
            <w:pPr>
              <w:spacing w:after="0" w:before="0" w:line="264"/>
            </w:pPr>
            <w:r>
              <w:rPr>
                <w:rFonts w:ascii="Calibri" w:cs="Calibri" w:eastAsia="Calibri" w:hAnsi="Calibri"/>
                <w:color w:val="2A2447"/>
                <w:sz w:val="20"/>
                <w:szCs w:val="20"/>
              </w:rPr>
              <w:t xml:space="preserve">Retiring those four broke version consistency — nine objects had to be withdrawn before the bundle would release.</w:t>
            </w:r>
          </w:p>
        </w:tc>
        <w:tc>
          <w:tcPr>
            <w:tcW w:type="dxa" w:w="32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6010"/>
            <w:shd w:fill="1B1733" w:val="clear"/>
            <w:tcMar>
              <w:top w:type="dxa" w:w="190"/>
              <w:left w:type="dxa" w:w="190"/>
              <w:bottom w:type="dxa" w:w="190"/>
              <w:right w:type="dxa" w:w="190"/>
            </w:tcMar>
            <w:vAlign w:val="top"/>
          </w:tcPr>
          <w:p>
            <w:pPr>
              <w:spacing w:after="130" w:before="0" w:line="264"/>
            </w:pPr>
            <w:r>
              <w:rPr>
                <w:rFonts w:ascii="Calibri" w:cs="Calibri" w:eastAsia="Calibri" w:hAnsi="Calibri"/>
                <w:b/>
                <w:bCs/>
                <w:color w:val="9A93BC"/>
                <w:spacing w:val="30"/>
                <w:sz w:val="16"/>
                <w:szCs w:val="16"/>
              </w:rPr>
              <w:t xml:space="preserve">AUREN  ·  RELEASE REPORT</w:t>
            </w:r>
          </w:p>
          <w:p>
            <w:pPr>
              <w:tabs>
                <w:tab w:val="right" w:pos="5600"/>
              </w:tabs>
              <w:spacing w:after="55"/>
            </w:pPr>
            <w:r>
              <w:rPr>
                <w:rFonts w:ascii="Calibri" w:cs="Calibri" w:eastAsia="Calibri" w:hAnsi="Calibri"/>
                <w:color w:val="D8D3EA"/>
                <w:sz w:val="18"/>
                <w:szCs w:val="18"/>
              </w:rPr>
              <w:t xml:space="preserve">Candidate set</w:t>
            </w:r>
            <w:r>
              <w:rPr>
                <w:rFonts w:ascii="Calibri" w:cs="Calibri" w:eastAsia="Calibri" w:hAnsi="Calibri"/>
                <w:b/>
                <w:bCs/>
                <w:color w:val="8FBF9F"/>
                <w:sz w:val="17"/>
                <w:szCs w:val="17"/>
              </w:rPr>
              <w:t xml:space="preserve">	pass</w:t>
            </w:r>
          </w:p>
          <w:p>
            <w:pPr>
              <w:tabs>
                <w:tab w:val="right" w:pos="5600"/>
              </w:tabs>
              <w:spacing w:after="55"/>
            </w:pPr>
            <w:r>
              <w:rPr>
                <w:rFonts w:ascii="Calibri" w:cs="Calibri" w:eastAsia="Calibri" w:hAnsi="Calibri"/>
                <w:color w:val="D8D3EA"/>
                <w:sz w:val="18"/>
                <w:szCs w:val="18"/>
              </w:rPr>
              <w:t xml:space="preserve">Coverage</w:t>
            </w:r>
            <w:r>
              <w:rPr>
                <w:rFonts w:ascii="Calibri" w:cs="Calibri" w:eastAsia="Calibri" w:hAnsi="Calibri"/>
                <w:b/>
                <w:bCs/>
                <w:color w:val="E8896B"/>
                <w:sz w:val="17"/>
                <w:szCs w:val="17"/>
              </w:rPr>
              <w:t xml:space="preserve">	BLOCKED</w:t>
            </w:r>
          </w:p>
          <w:p>
            <w:pPr>
              <w:tabs>
                <w:tab w:val="right" w:pos="5600"/>
              </w:tabs>
              <w:spacing w:after="55"/>
            </w:pPr>
            <w:r>
              <w:rPr>
                <w:rFonts w:ascii="Calibri" w:cs="Calibri" w:eastAsia="Calibri" w:hAnsi="Calibri"/>
                <w:color w:val="D8D3EA"/>
                <w:sz w:val="18"/>
                <w:szCs w:val="18"/>
              </w:rPr>
              <w:t xml:space="preserve">Anchor integrity</w:t>
            </w:r>
            <w:r>
              <w:rPr>
                <w:rFonts w:ascii="Calibri" w:cs="Calibri" w:eastAsia="Calibri" w:hAnsi="Calibri"/>
                <w:b/>
                <w:bCs/>
                <w:color w:val="8FBF9F"/>
                <w:sz w:val="17"/>
                <w:szCs w:val="17"/>
              </w:rPr>
              <w:t xml:space="preserve">	pass</w:t>
            </w:r>
          </w:p>
          <w:p>
            <w:pPr>
              <w:tabs>
                <w:tab w:val="right" w:pos="5600"/>
              </w:tabs>
              <w:spacing w:after="55"/>
            </w:pPr>
            <w:r>
              <w:rPr>
                <w:rFonts w:ascii="Calibri" w:cs="Calibri" w:eastAsia="Calibri" w:hAnsi="Calibri"/>
                <w:color w:val="D8D3EA"/>
                <w:sz w:val="18"/>
                <w:szCs w:val="18"/>
              </w:rPr>
              <w:t xml:space="preserve">Prohibited formulation</w:t>
            </w:r>
            <w:r>
              <w:rPr>
                <w:rFonts w:ascii="Calibri" w:cs="Calibri" w:eastAsia="Calibri" w:hAnsi="Calibri"/>
                <w:b/>
                <w:bCs/>
                <w:color w:val="8FBF9F"/>
                <w:sz w:val="17"/>
                <w:szCs w:val="17"/>
              </w:rPr>
              <w:t xml:space="preserve">	pass</w:t>
            </w:r>
          </w:p>
          <w:p>
            <w:pPr>
              <w:tabs>
                <w:tab w:val="right" w:pos="5600"/>
              </w:tabs>
              <w:spacing w:after="55"/>
            </w:pPr>
            <w:r>
              <w:rPr>
                <w:rFonts w:ascii="Calibri" w:cs="Calibri" w:eastAsia="Calibri" w:hAnsi="Calibri"/>
                <w:color w:val="D8D3EA"/>
                <w:sz w:val="18"/>
                <w:szCs w:val="18"/>
              </w:rPr>
              <w:t xml:space="preserve">Scope integrity</w:t>
            </w:r>
            <w:r>
              <w:rPr>
                <w:rFonts w:ascii="Calibri" w:cs="Calibri" w:eastAsia="Calibri" w:hAnsi="Calibri"/>
                <w:b/>
                <w:bCs/>
                <w:color w:val="8FBF9F"/>
                <w:sz w:val="17"/>
                <w:szCs w:val="17"/>
              </w:rPr>
              <w:t xml:space="preserve">	pass</w:t>
            </w:r>
          </w:p>
          <w:p>
            <w:pPr>
              <w:tabs>
                <w:tab w:val="right" w:pos="5600"/>
              </w:tabs>
              <w:spacing w:after="55"/>
            </w:pPr>
            <w:r>
              <w:rPr>
                <w:rFonts w:ascii="Calibri" w:cs="Calibri" w:eastAsia="Calibri" w:hAnsi="Calibri"/>
                <w:color w:val="D8D3EA"/>
                <w:sz w:val="18"/>
                <w:szCs w:val="18"/>
              </w:rPr>
              <w:t xml:space="preserve">Boundary refusal</w:t>
            </w:r>
            <w:r>
              <w:rPr>
                <w:rFonts w:ascii="Calibri" w:cs="Calibri" w:eastAsia="Calibri" w:hAnsi="Calibri"/>
                <w:b/>
                <w:bCs/>
                <w:color w:val="8FBF9F"/>
                <w:sz w:val="17"/>
                <w:szCs w:val="17"/>
              </w:rPr>
              <w:t xml:space="preserve">	pass</w:t>
            </w:r>
          </w:p>
          <w:p>
            <w:pPr>
              <w:tabs>
                <w:tab w:val="right" w:pos="5600"/>
              </w:tabs>
              <w:spacing w:after="55"/>
            </w:pPr>
            <w:r>
              <w:rPr>
                <w:rFonts w:ascii="Calibri" w:cs="Calibri" w:eastAsia="Calibri" w:hAnsi="Calibri"/>
                <w:color w:val="D8D3EA"/>
                <w:sz w:val="18"/>
                <w:szCs w:val="18"/>
              </w:rPr>
              <w:t xml:space="preserve">Version consistency</w:t>
            </w:r>
            <w:r>
              <w:rPr>
                <w:rFonts w:ascii="Calibri" w:cs="Calibri" w:eastAsia="Calibri" w:hAnsi="Calibri"/>
                <w:b/>
                <w:bCs/>
                <w:color w:val="8FBF9F"/>
                <w:sz w:val="17"/>
                <w:szCs w:val="17"/>
              </w:rPr>
              <w:t xml:space="preserve">	pass</w:t>
            </w:r>
          </w:p>
          <w:p>
            <w:pPr>
              <w:tabs>
                <w:tab w:val="right" w:pos="5600"/>
              </w:tabs>
              <w:spacing w:after="55"/>
            </w:pPr>
            <w:r>
              <w:rPr>
                <w:rFonts w:ascii="Calibri" w:cs="Calibri" w:eastAsia="Calibri" w:hAnsi="Calibri"/>
                <w:color w:val="D8D3EA"/>
                <w:sz w:val="18"/>
                <w:szCs w:val="18"/>
              </w:rPr>
              <w:t xml:space="preserve">Adversarial probe</w:t>
            </w:r>
            <w:r>
              <w:rPr>
                <w:rFonts w:ascii="Calibri" w:cs="Calibri" w:eastAsia="Calibri" w:hAnsi="Calibri"/>
                <w:b/>
                <w:bCs/>
                <w:color w:val="D8BE55"/>
                <w:sz w:val="17"/>
                <w:szCs w:val="17"/>
              </w:rPr>
              <w:t xml:space="preserve">	advisory</w:t>
            </w:r>
          </w:p>
          <w:p>
            <w:pPr>
              <w:tabs>
                <w:tab w:val="right" w:pos="5600"/>
              </w:tabs>
              <w:spacing w:after="55"/>
            </w:pPr>
            <w:r>
              <w:rPr>
                <w:rFonts w:ascii="Calibri" w:cs="Calibri" w:eastAsia="Calibri" w:hAnsi="Calibri"/>
                <w:color w:val="D8D3EA"/>
                <w:sz w:val="18"/>
                <w:szCs w:val="18"/>
              </w:rPr>
              <w:t xml:space="preserve">Translation fidelity</w:t>
            </w:r>
            <w:r>
              <w:rPr>
                <w:rFonts w:ascii="Calibri" w:cs="Calibri" w:eastAsia="Calibri" w:hAnsi="Calibri"/>
                <w:b/>
                <w:bCs/>
                <w:color w:val="D8BE55"/>
                <w:sz w:val="17"/>
                <w:szCs w:val="17"/>
              </w:rPr>
              <w:t xml:space="preserve">	advisory</w:t>
            </w:r>
          </w:p>
          <w:p>
            <w:pPr>
              <w:tabs>
                <w:tab w:val="right" w:pos="5600"/>
              </w:tabs>
              <w:spacing w:after="55"/>
            </w:pPr>
            <w:r>
              <w:rPr>
                <w:rFonts w:ascii="Calibri" w:cs="Calibri" w:eastAsia="Calibri" w:hAnsi="Calibri"/>
                <w:color w:val="D8D3EA"/>
                <w:sz w:val="18"/>
                <w:szCs w:val="18"/>
              </w:rPr>
              <w:t xml:space="preserve">Traceability</w:t>
            </w:r>
            <w:r>
              <w:rPr>
                <w:rFonts w:ascii="Calibri" w:cs="Calibri" w:eastAsia="Calibri" w:hAnsi="Calibri"/>
                <w:b/>
                <w:bCs/>
                <w:color w:val="D8BE55"/>
                <w:sz w:val="17"/>
                <w:szCs w:val="17"/>
              </w:rPr>
              <w:t xml:space="preserve">	advisory</w:t>
            </w:r>
          </w:p>
          <w:p>
            <w:pPr>
              <w:spacing w:after="0" w:before="0" w:line="264"/>
            </w:pPr>
            <w:r>
              <w:rPr>
                <w:rFonts w:ascii="Calibri" w:cs="Calibri" w:eastAsia="Calibri" w:hAnsi="Calibri"/>
                <w:b/>
                <w:bCs/>
                <w:color w:val="E8896B"/>
                <w:sz w:val="18"/>
                <w:szCs w:val="18"/>
              </w:rPr>
              <w:t xml:space="preserve">Release disabled — 1 hard failure</w:t>
            </w:r>
          </w:p>
        </w:tc>
      </w:tr>
    </w:tbl>
    <w:p>
      <w:pPr>
        <w:spacing w:after="20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15130"/>
      </w:tblGrid>
      <w:tr>
        <w:tc>
          <w:tcPr>
            <w:tcW w:type="dxa" w:w="15130"/>
            <w:shd w:fill="EDEAF7" w:val="clear"/>
            <w:tcMar>
              <w:top w:type="dxa" w:w="170"/>
              <w:left w:type="dxa" w:w="190"/>
              <w:bottom w:type="dxa" w:w="170"/>
              <w:right w:type="dxa" w:w="190"/>
            </w:tcMar>
            <w:vAlign w:val="top"/>
          </w:tcPr>
          <w:p>
            <w:pPr>
              <w:spacing w:after="0" w:before="0" w:line="264"/>
            </w:pPr>
            <w:r>
              <w:rPr>
                <w:rFonts w:ascii="Calibri" w:cs="Calibri" w:eastAsia="Calibri" w:hAnsi="Calibri"/>
                <w:b/>
                <w:bCs/>
                <w:color w:val="1B1733"/>
                <w:sz w:val="24"/>
                <w:szCs w:val="24"/>
              </w:rPr>
              <w:t xml:space="preserve">A gate that has never blocked anything is decoration. We would rather show you the one that stopped us.</w:t>
            </w:r>
          </w:p>
        </w:tc>
      </w:tr>
    </w:tbl>
    <w:p>
      <w:pPr>
        <w:spacing w:after="180"/>
      </w:pP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Sixty seconds, and it is the most persuasive minute you have with this audience. The point is not that the defect existed — it is that the machinery surfaced it, in public, before an investor ever met it.</w:t>
            </w:r>
          </w:p>
          <w:p>
            <w:pPr>
              <w:spacing w:after="0" w:before="0" w:line="250"/>
            </w:pPr>
            <w:r>
              <w:rPr>
                <w:rFonts w:ascii="Calibri" w:cs="Calibri" w:eastAsia="Calibri" w:hAnsi="Calibri"/>
                <w:color w:val="6B6880"/>
                <w:sz w:val="18"/>
                <w:szCs w:val="18"/>
              </w:rPr>
              <w:t xml:space="preserve">Expect the question: 'who decides what is approved?' Answer: a named human reviewer in a declared role, with the role recorded on the object and the individual's name recorded on the release event. Appendix D has the gate in full.</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SLIDE 7  ·  LOOKING TO THE FUTURE</w:t>
      </w:r>
      <w:r>
        <w:rPr>
          <w:rFonts w:ascii="Calibri" w:cs="Calibri" w:eastAsia="Calibri" w:hAnsi="Calibri"/>
          <w:b/>
          <w:bCs/>
          <w:color w:val="7C6BC4"/>
          <w:spacing w:val="30"/>
          <w:sz w:val="17"/>
          <w:szCs w:val="17"/>
        </w:rPr>
        <w:t xml:space="preserve">	45 SECONDS</w:t>
      </w:r>
    </w:p>
    <w:p>
      <w:pPr>
        <w:spacing w:after="200"/>
      </w:pPr>
      <w:r>
        <w:rPr>
          <w:rFonts w:ascii="Cambria" w:cs="Cambria" w:eastAsia="Cambria" w:hAnsi="Cambria"/>
          <w:b/>
          <w:bCs/>
          <w:color w:val="1B1733"/>
          <w:sz w:val="46"/>
          <w:szCs w:val="46"/>
        </w:rPr>
        <w:t xml:space="preserve">What happens after this room.</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1500"/>
        <w:gridCol w:w="5200"/>
        <w:gridCol w:w="8430"/>
      </w:tblGrid>
      <w:tr>
        <w:tc>
          <w:tcPr>
            <w:tcW w:type="dxa" w:w="15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7C6BC4"/>
                <w:spacing w:val="30"/>
                <w:sz w:val="17"/>
                <w:szCs w:val="17"/>
              </w:rPr>
              <w:t xml:space="preserve">NEXT</w:t>
            </w:r>
          </w:p>
        </w:tc>
        <w:tc>
          <w:tcPr>
            <w:tcW w:type="dxa" w:w="52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2"/>
                <w:szCs w:val="22"/>
              </w:rPr>
              <w:t xml:space="preserve">Clear the language variants</w:t>
            </w:r>
          </w:p>
        </w:tc>
        <w:tc>
          <w:tcPr>
            <w:tcW w:type="dxa" w:w="8430"/>
            <w:shd w:fill="F7F5FC"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Native review for the three variants still pending. We do not deploy an unreviewed variant — the gate will not let us.</w:t>
            </w:r>
          </w:p>
        </w:tc>
      </w:tr>
      <w:tr>
        <w:tc>
          <w:tcPr>
            <w:tcW w:type="dxa" w:w="15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7C6BC4"/>
                <w:spacing w:val="30"/>
                <w:sz w:val="17"/>
                <w:szCs w:val="17"/>
              </w:rPr>
              <w:t xml:space="preserve">THEN</w:t>
            </w:r>
          </w:p>
        </w:tc>
        <w:tc>
          <w:tcPr>
            <w:tcW w:type="dxa" w:w="52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2"/>
                <w:szCs w:val="22"/>
              </w:rPr>
              <w:t xml:space="preserve">Field trial with real retail investors</w:t>
            </w:r>
          </w:p>
        </w:tc>
        <w:tc>
          <w:tcPr>
            <w:tcW w:type="dxa" w:w="8430"/>
            <w:shd w:fill="FFFFFF"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Move from within-session transfer to a measured durable claim, or report honestly that it does not hold.</w:t>
            </w:r>
          </w:p>
        </w:tc>
      </w:tr>
      <w:tr>
        <w:tc>
          <w:tcPr>
            <w:tcW w:type="dxa" w:w="15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7C6BC4"/>
                <w:spacing w:val="30"/>
                <w:sz w:val="17"/>
                <w:szCs w:val="17"/>
              </w:rPr>
              <w:t xml:space="preserve">THEN</w:t>
            </w:r>
          </w:p>
        </w:tc>
        <w:tc>
          <w:tcPr>
            <w:tcW w:type="dxa" w:w="52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2"/>
                <w:szCs w:val="22"/>
              </w:rPr>
              <w:t xml:space="preserve">Anchor the element set with a regulator</w:t>
            </w:r>
          </w:p>
        </w:tc>
        <w:tc>
          <w:tcPr>
            <w:tcW w:type="dxa" w:w="8430"/>
            <w:shd w:fill="F7F5FC"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The competency elements are anchored to published investor-education principles today. The stronger version is anchored by the authority that publishes them.</w:t>
            </w:r>
          </w:p>
        </w:tc>
      </w:tr>
      <w:tr>
        <w:tc>
          <w:tcPr>
            <w:tcW w:type="dxa" w:w="15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7C6BC4"/>
                <w:spacing w:val="30"/>
                <w:sz w:val="17"/>
                <w:szCs w:val="17"/>
              </w:rPr>
              <w:t xml:space="preserve">BUILD</w:t>
            </w:r>
          </w:p>
        </w:tc>
        <w:tc>
          <w:tcPr>
            <w:tcW w:type="dxa" w:w="52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2"/>
                <w:szCs w:val="22"/>
              </w:rPr>
              <w:t xml:space="preserve">Ship governed knowledge as a signed bundle</w:t>
            </w:r>
          </w:p>
        </w:tc>
        <w:tc>
          <w:tcPr>
            <w:tcW w:type="dxa" w:w="8430"/>
            <w:shd w:fill="FFFFFF"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The approved content is versioned, exportable and carries no personal data — so it can be reviewed, and deployed, on the regulator's own terms.</w:t>
            </w:r>
          </w:p>
        </w:tc>
      </w:tr>
    </w:tbl>
    <w:p>
      <w:pPr>
        <w:spacing w:after="240"/>
      </w:pP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Forty-five seconds. Do not read all four. Say the first two properly, gesture at the last two, and stop early.</w:t>
            </w:r>
          </w:p>
          <w:p>
            <w:pPr>
              <w:spacing w:after="80" w:before="0" w:line="250"/>
            </w:pPr>
            <w:r>
              <w:rPr>
                <w:rFonts w:ascii="Calibri" w:cs="Calibri" w:eastAsia="Calibri" w:hAnsi="Calibri"/>
                <w:color w:val="6B6880"/>
                <w:sz w:val="18"/>
                <w:szCs w:val="18"/>
              </w:rPr>
              <w:t xml:space="preserve">Finishing at 6:45 reads as control. Running to 7:20 reads as a team that did not rehearse.</w:t>
            </w:r>
          </w:p>
          <w:p>
            <w:pPr>
              <w:spacing w:after="0" w:before="0" w:line="250"/>
            </w:pPr>
            <w:r>
              <w:rPr>
                <w:rFonts w:ascii="Calibri" w:cs="Calibri" w:eastAsia="Calibri" w:hAnsi="Calibri"/>
                <w:color w:val="6B6880"/>
                <w:sz w:val="18"/>
                <w:szCs w:val="18"/>
              </w:rPr>
              <w:t xml:space="preserve">End on the closing line, not on this list.</w:t>
            </w:r>
          </w:p>
        </w:tc>
      </w:tr>
    </w:tbl>
    <w:p>
      <w:pPr>
        <w:pageBreakBefore/>
        <w:spacing w:after="0"/>
      </w:pPr>
    </w:p>
    <w:p>
      <w:pPr>
        <w:spacing w:after="700"/>
      </w:pPr>
    </w:p>
    <w:p>
      <w:pPr>
        <w:spacing w:after="100" w:before="0" w:line="264"/>
      </w:pPr>
      <w:r>
        <w:rPr>
          <w:rFonts w:ascii="Cambria" w:cs="Cambria" w:eastAsia="Cambria" w:hAnsi="Cambria"/>
          <w:b/>
          <w:bCs/>
          <w:color w:val="1B1733"/>
          <w:sz w:val="46"/>
          <w:szCs w:val="46"/>
        </w:rPr>
        <w:t xml:space="preserve">We are not asking you to trust the model.</w:t>
      </w:r>
    </w:p>
    <w:p>
      <w:pPr>
        <w:spacing w:after="400" w:before="0" w:line="264"/>
      </w:pPr>
      <w:r>
        <w:rPr>
          <w:rFonts w:ascii="Cambria" w:cs="Cambria" w:eastAsia="Cambria" w:hAnsi="Cambria"/>
          <w:b/>
          <w:bCs/>
          <w:color w:val="5A4A96"/>
          <w:sz w:val="46"/>
          <w:szCs w:val="46"/>
        </w:rPr>
        <w:t xml:space="preserve">We are showing you the record it is allowed to produce.</w:t>
      </w:r>
    </w:p>
    <w:tbl>
      <w:tblPr>
        <w:tblW w:type="dxa" w:w="15130"/>
        <w:tblBorders>
          <w:top w:val="single" w:color="7C6BC4" w:sz="8"/>
          <w:left w:val="none" w:color="FFFFFF" w:sz="0"/>
          <w:bottom w:val="none" w:color="FFFFFF" w:sz="0"/>
          <w:right w:val="none" w:color="FFFFFF" w:sz="0"/>
          <w:insideH w:val="none" w:color="FFFFFF" w:sz="0"/>
          <w:insideV w:val="none" w:color="FFFFFF" w:sz="0"/>
        </w:tblBorders>
      </w:tblPr>
      <w:tblGrid>
        <w:gridCol w:w="15130"/>
      </w:tblGrid>
      <w:tr>
        <w:tc>
          <w:tcPr>
            <w:tcW w:type="dxa" w:w="15130"/>
            <w:shd w:fill="FFFFFF" w:val="clear"/>
            <w:tcMar>
              <w:top w:type="dxa" w:w="200"/>
              <w:left w:type="dxa" w:w="0"/>
              <w:bottom w:type="dxa" w:w="0"/>
              <w:right w:type="dxa" w:w="190"/>
            </w:tcMar>
            <w:vAlign w:val="top"/>
          </w:tcPr>
          <w:p>
            <w:pPr>
              <w:spacing w:after="110" w:before="0" w:line="264"/>
            </w:pPr>
            <w:r>
              <w:rPr>
                <w:rFonts w:ascii="Calibri" w:cs="Calibri" w:eastAsia="Calibri" w:hAnsi="Calibri"/>
                <w:b/>
                <w:bCs/>
                <w:color w:val="1B1733"/>
                <w:sz w:val="24"/>
                <w:szCs w:val="24"/>
              </w:rPr>
              <w:t xml:space="preserve">BYOND Asia</w:t>
            </w:r>
            <w:r>
              <w:rPr>
                <w:rFonts w:ascii="Calibri" w:cs="Calibri" w:eastAsia="Calibri" w:hAnsi="Calibri"/>
                <w:color w:val="6B6880"/>
                <w:sz w:val="24"/>
                <w:szCs w:val="24"/>
              </w:rPr>
              <w:t xml:space="preserve">     ·     AUREN powered by HoloMe     ·     IOSCO TechSprint 2026</w:t>
            </w:r>
          </w:p>
          <w:p>
            <w:pPr>
              <w:spacing w:after="0" w:before="0" w:line="264"/>
            </w:pPr>
            <w:r>
              <w:rPr>
                <w:rFonts w:ascii="Calibri" w:cs="Calibri" w:eastAsia="Calibri" w:hAnsi="Calibri"/>
                <w:b/>
                <w:bCs/>
                <w:color w:val="5A4A96"/>
                <w:sz w:val="22"/>
                <w:szCs w:val="22"/>
              </w:rPr>
              <w:t xml:space="preserve">Questions</w:t>
            </w:r>
          </w:p>
        </w:tc>
      </w:tr>
    </w:tbl>
    <w:p>
      <w:pPr>
        <w:spacing w:after="300"/>
      </w:pPr>
    </w:p>
    <w:tbl>
      <w:tblPr>
        <w:tblW w:type="dxa" w:w="15130"/>
        <w:tblBorders>
          <w:top w:val="none" w:color="FFFFFF" w:sz="0"/>
          <w:left w:val="single" w:color="7C6BC4" w:sz="18"/>
          <w:bottom w:val="none" w:color="FFFFFF" w:sz="0"/>
          <w:right w:val="none" w:color="FFFFFF" w:sz="0"/>
          <w:insideH w:val="none" w:color="FFFFFF" w:sz="0"/>
          <w:insideV w:val="none" w:color="FFFFFF" w:sz="0"/>
        </w:tblBorders>
      </w:tblPr>
      <w:tblGrid>
        <w:gridCol w:w="15130"/>
      </w:tblGrid>
      <w:tr>
        <w:tc>
          <w:tcPr>
            <w:tcW w:type="dxa" w:w="15130"/>
            <w:shd w:fill="F5F4F9" w:val="clear"/>
            <w:tcMar>
              <w:top w:type="dxa" w:w="150"/>
              <w:left w:type="dxa" w:w="190"/>
              <w:bottom w:type="dxa" w:w="150"/>
              <w:right w:type="dxa" w:w="190"/>
            </w:tcMar>
            <w:vAlign w:val="top"/>
          </w:tcPr>
          <w:p>
            <w:pPr>
              <w:spacing w:after="80" w:before="0" w:line="264"/>
            </w:pPr>
            <w:r>
              <w:rPr>
                <w:rFonts w:ascii="Calibri" w:cs="Calibri" w:eastAsia="Calibri" w:hAnsi="Calibri"/>
                <w:b/>
                <w:bCs/>
                <w:color w:val="5A4A96"/>
                <w:spacing w:val="30"/>
                <w:sz w:val="15"/>
                <w:szCs w:val="15"/>
              </w:rPr>
              <w:t xml:space="preserve">SPEAKER NOTES</w:t>
            </w:r>
          </w:p>
          <w:p>
            <w:pPr>
              <w:spacing w:after="80" w:before="0" w:line="250"/>
            </w:pPr>
            <w:r>
              <w:rPr>
                <w:rFonts w:ascii="Calibri" w:cs="Calibri" w:eastAsia="Calibri" w:hAnsi="Calibri"/>
                <w:color w:val="6B6880"/>
                <w:sz w:val="18"/>
                <w:szCs w:val="18"/>
              </w:rPr>
              <w:t xml:space="preserve">Say the two lines. Stop. Do not add a thank-you paragraph.</w:t>
            </w:r>
          </w:p>
          <w:p>
            <w:pPr>
              <w:spacing w:after="0" w:before="0" w:line="250"/>
            </w:pPr>
            <w:r>
              <w:rPr>
                <w:rFonts w:ascii="Calibri" w:cs="Calibri" w:eastAsia="Calibri" w:hAnsi="Calibri"/>
                <w:color w:val="6B6880"/>
                <w:sz w:val="18"/>
                <w:szCs w:val="18"/>
              </w:rPr>
              <w:t xml:space="preserve">Add presenter names and a contact address to this page before you send the deck anywhere.</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APPENDIX A  ·  HELD FOR Q&amp;A</w:t>
      </w:r>
      <w:r>
        <w:rPr>
          <w:rFonts w:ascii="Calibri" w:cs="Calibri" w:eastAsia="Calibri" w:hAnsi="Calibri"/>
          <w:b/>
          <w:bCs/>
          <w:color w:val="7C6BC4"/>
          <w:spacing w:val="30"/>
          <w:sz w:val="17"/>
          <w:szCs w:val="17"/>
        </w:rPr>
        <w:t xml:space="preserve">	NOT PRESENTED</w:t>
      </w:r>
    </w:p>
    <w:p>
      <w:pPr>
        <w:spacing w:after="200"/>
      </w:pPr>
      <w:r>
        <w:rPr>
          <w:rFonts w:ascii="Cambria" w:cs="Cambria" w:eastAsia="Cambria" w:hAnsi="Cambria"/>
          <w:b/>
          <w:bCs/>
          <w:color w:val="1B1733"/>
          <w:sz w:val="40"/>
          <w:szCs w:val="40"/>
        </w:rPr>
        <w:t xml:space="preserve">The competency elements, and what anchors them.</w:t>
      </w:r>
    </w:p>
    <w:p>
      <w:pPr>
        <w:spacing w:after="220" w:before="0" w:line="264"/>
      </w:pPr>
      <w:r>
        <w:rPr>
          <w:rFonts w:ascii="Calibri" w:cs="Calibri" w:eastAsia="Calibri" w:hAnsi="Calibri"/>
          <w:color w:val="2A2447"/>
          <w:sz w:val="21"/>
          <w:szCs w:val="21"/>
        </w:rPr>
        <w:t xml:space="preserve">Eight elements. Each one is what a determination turns on, and each carries a published anchor — no anchor, no deployment. A single session resolves four; the rest route to the investor's retraining queue, which is what brings them back.</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5900"/>
        <w:gridCol w:w="1600"/>
        <w:gridCol w:w="220"/>
        <w:gridCol w:w="5810"/>
        <w:gridCol w:w="1600"/>
      </w:tblGrid>
      <w:tr>
        <w:tc>
          <w:tcPr>
            <w:tcW w:type="dxa" w:w="5900"/>
            <w:shd w:fill="F7F5FC"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Resists manufactured urgency</w:t>
            </w:r>
          </w:p>
        </w:tc>
        <w:tc>
          <w:tcPr>
            <w:tcW w:type="dxa" w:w="1600"/>
            <w:shd w:fill="F7F5FC"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Pressure</w:t>
            </w:r>
          </w:p>
        </w:tc>
        <w:tc>
          <w:tcPr>
            <w:tcW w:type="dxa" w:w="22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5810"/>
            <w:shd w:fill="F7F5FC"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Checks the register before committing</w:t>
            </w:r>
          </w:p>
        </w:tc>
        <w:tc>
          <w:tcPr>
            <w:tcW w:type="dxa" w:w="1600"/>
            <w:shd w:fill="F7F5FC"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Verification</w:t>
            </w:r>
          </w:p>
        </w:tc>
      </w:tr>
      <w:tr>
        <w:tc>
          <w:tcPr>
            <w:tcW w:type="dxa" w:w="5900"/>
            <w:shd w:fill="FFFFFF"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Questions authority claims</w:t>
            </w:r>
          </w:p>
        </w:tc>
        <w:tc>
          <w:tcPr>
            <w:tcW w:type="dxa" w:w="1600"/>
            <w:shd w:fill="FFFFFF"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Pressure</w:t>
            </w:r>
          </w:p>
        </w:tc>
        <w:tc>
          <w:tcPr>
            <w:tcW w:type="dxa" w:w="22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5810"/>
            <w:shd w:fill="FFFFFF"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Separates return from risk</w:t>
            </w:r>
          </w:p>
        </w:tc>
        <w:tc>
          <w:tcPr>
            <w:tcW w:type="dxa" w:w="1600"/>
            <w:shd w:fill="FFFFFF"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Reasoning</w:t>
            </w:r>
          </w:p>
        </w:tc>
      </w:tr>
      <w:tr>
        <w:tc>
          <w:tcPr>
            <w:tcW w:type="dxa" w:w="5900"/>
            <w:shd w:fill="F7F5FC"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Discounts social proof</w:t>
            </w:r>
          </w:p>
        </w:tc>
        <w:tc>
          <w:tcPr>
            <w:tcW w:type="dxa" w:w="1600"/>
            <w:shd w:fill="F7F5FC"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Pressure</w:t>
            </w:r>
          </w:p>
        </w:tc>
        <w:tc>
          <w:tcPr>
            <w:tcW w:type="dxa" w:w="22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5810"/>
            <w:shd w:fill="F7F5FC"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Tests the exit before the entry</w:t>
            </w:r>
          </w:p>
        </w:tc>
        <w:tc>
          <w:tcPr>
            <w:tcW w:type="dxa" w:w="1600"/>
            <w:shd w:fill="F7F5FC"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Reasoning</w:t>
            </w:r>
          </w:p>
        </w:tc>
      </w:tr>
      <w:tr>
        <w:tc>
          <w:tcPr>
            <w:tcW w:type="dxa" w:w="5900"/>
            <w:shd w:fill="FFFFFF"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Scrutinises payment destination</w:t>
            </w:r>
          </w:p>
        </w:tc>
        <w:tc>
          <w:tcPr>
            <w:tcW w:type="dxa" w:w="1600"/>
            <w:shd w:fill="FFFFFF"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Mechanics</w:t>
            </w:r>
          </w:p>
        </w:tc>
        <w:tc>
          <w:tcPr>
            <w:tcW w:type="dxa" w:w="22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5810"/>
            <w:shd w:fill="FFFFFF" w:val="clear"/>
            <w:tcMar>
              <w:top w:type="dxa" w:w="120"/>
              <w:left w:type="dxa" w:w="190"/>
              <w:bottom w:type="dxa" w:w="120"/>
              <w:right w:type="dxa" w:w="190"/>
            </w:tcMar>
            <w:vAlign w:val="top"/>
          </w:tcPr>
          <w:p>
            <w:pPr>
              <w:spacing w:after="0" w:before="0" w:line="264"/>
            </w:pPr>
            <w:r>
              <w:rPr>
                <w:rFonts w:ascii="Calibri" w:cs="Calibri" w:eastAsia="Calibri" w:hAnsi="Calibri"/>
                <w:b/>
                <w:bCs/>
                <w:color w:val="1B1733"/>
                <w:sz w:val="21"/>
                <w:szCs w:val="21"/>
              </w:rPr>
              <w:t xml:space="preserve">Names who bears the loss</w:t>
            </w:r>
          </w:p>
        </w:tc>
        <w:tc>
          <w:tcPr>
            <w:tcW w:type="dxa" w:w="1600"/>
            <w:shd w:fill="FFFFFF" w:val="clear"/>
            <w:tcMar>
              <w:top w:type="dxa" w:w="120"/>
              <w:left w:type="dxa" w:w="190"/>
              <w:bottom w:type="dxa" w:w="120"/>
              <w:right w:type="dxa" w:w="190"/>
            </w:tcMar>
            <w:vAlign w:val="top"/>
          </w:tcPr>
          <w:p>
            <w:pPr>
              <w:spacing w:after="0" w:before="0" w:line="264"/>
            </w:pPr>
            <w:r>
              <w:rPr>
                <w:rFonts w:ascii="Calibri" w:cs="Calibri" w:eastAsia="Calibri" w:hAnsi="Calibri"/>
                <w:color w:val="5A4A96"/>
                <w:sz w:val="18"/>
                <w:szCs w:val="18"/>
              </w:rPr>
              <w:t xml:space="preserve">Reasoning</w:t>
            </w:r>
          </w:p>
        </w:tc>
      </w:tr>
    </w:tbl>
    <w:p>
      <w:pPr>
        <w:spacing w:after="220"/>
      </w:pPr>
    </w:p>
    <w:p>
      <w:pPr>
        <w:spacing w:after="0" w:before="0" w:line="264"/>
      </w:pPr>
      <w:r>
        <w:rPr>
          <w:rFonts w:ascii="Calibri" w:cs="Calibri" w:eastAsia="Calibri" w:hAnsi="Calibri"/>
          <w:i/>
          <w:iCs/>
          <w:color w:val="6B6880"/>
          <w:sz w:val="20"/>
          <w:szCs w:val="20"/>
        </w:rPr>
        <w:t xml:space="preserve">Anchored to published investor-education principles and an international competence framework. The anchor is a field on the object, checked mechanically before release — not a claim made in a slide.</w:t>
      </w:r>
    </w:p>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APPENDIX B  ·  HELD FOR Q&amp;A</w:t>
      </w:r>
      <w:r>
        <w:rPr>
          <w:rFonts w:ascii="Calibri" w:cs="Calibri" w:eastAsia="Calibri" w:hAnsi="Calibri"/>
          <w:b/>
          <w:bCs/>
          <w:color w:val="7C6BC4"/>
          <w:spacing w:val="30"/>
          <w:sz w:val="17"/>
          <w:szCs w:val="17"/>
        </w:rPr>
        <w:t xml:space="preserve">	NOT PRESENTED</w:t>
      </w:r>
    </w:p>
    <w:p>
      <w:pPr>
        <w:spacing w:after="200"/>
      </w:pPr>
      <w:r>
        <w:rPr>
          <w:rFonts w:ascii="Cambria" w:cs="Cambria" w:eastAsia="Cambria" w:hAnsi="Cambria"/>
          <w:b/>
          <w:bCs/>
          <w:color w:val="1B1733"/>
          <w:sz w:val="40"/>
          <w:szCs w:val="40"/>
        </w:rPr>
        <w:t xml:space="preserve">How a finding is bound to what was actually said.</w:t>
      </w:r>
    </w:p>
    <w:p>
      <w:pPr>
        <w:spacing w:after="220" w:before="0" w:line="264"/>
      </w:pPr>
      <w:r>
        <w:rPr>
          <w:rFonts w:ascii="Calibri" w:cs="Calibri" w:eastAsia="Calibri" w:hAnsi="Calibri"/>
          <w:color w:val="2A2447"/>
          <w:sz w:val="21"/>
          <w:szCs w:val="21"/>
        </w:rPr>
        <w:t xml:space="preserve">Nothing on the record is generated prose. Every row resolves to four things, and the investor can see all four.</w:t>
      </w: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3640"/>
        <w:gridCol w:w="190"/>
        <w:gridCol w:w="3640"/>
        <w:gridCol w:w="190"/>
        <w:gridCol w:w="3640"/>
        <w:gridCol w:w="190"/>
        <w:gridCol w:w="3640"/>
      </w:tblGrid>
      <w:tr>
        <w:tc>
          <w:tcPr>
            <w:tcW w:type="dxa" w:w="3640"/>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1 · Element</w:t>
            </w:r>
          </w:p>
          <w:p>
            <w:pPr>
              <w:spacing w:after="0" w:before="0" w:line="264"/>
            </w:pPr>
            <w:r>
              <w:rPr>
                <w:rFonts w:ascii="Calibri" w:cs="Calibri" w:eastAsia="Calibri" w:hAnsi="Calibri"/>
                <w:color w:val="2A2447"/>
                <w:sz w:val="19"/>
                <w:szCs w:val="19"/>
              </w:rPr>
              <w:t xml:space="preserve">What the determination turns on, with its authority anchor.</w:t>
            </w:r>
          </w:p>
        </w:tc>
        <w:tc>
          <w:tcPr>
            <w:tcW w:type="dxa" w:w="19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3640"/>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2 · Object</w:t>
            </w:r>
          </w:p>
          <w:p>
            <w:pPr>
              <w:spacing w:after="0" w:before="0" w:line="264"/>
            </w:pPr>
            <w:r>
              <w:rPr>
                <w:rFonts w:ascii="Calibri" w:cs="Calibri" w:eastAsia="Calibri" w:hAnsi="Calibri"/>
                <w:color w:val="2A2447"/>
                <w:sz w:val="19"/>
                <w:szCs w:val="19"/>
              </w:rPr>
              <w:t xml:space="preserve">The approved question or challenge that elicited it, with its version.</w:t>
            </w:r>
          </w:p>
        </w:tc>
        <w:tc>
          <w:tcPr>
            <w:tcW w:type="dxa" w:w="19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3640"/>
            <w:shd w:fill="1B1733" w:val="clear"/>
            <w:tcMar>
              <w:top w:type="dxa" w:w="200"/>
              <w:left w:type="dxa" w:w="190"/>
              <w:bottom w:type="dxa" w:w="200"/>
              <w:right w:type="dxa" w:w="190"/>
            </w:tcMar>
            <w:vAlign w:val="top"/>
          </w:tcPr>
          <w:p>
            <w:pPr>
              <w:spacing w:after="90" w:before="0" w:line="264"/>
            </w:pPr>
            <w:r>
              <w:rPr>
                <w:rFonts w:ascii="Calibri" w:cs="Calibri" w:eastAsia="Calibri" w:hAnsi="Calibri"/>
                <w:b/>
                <w:bCs/>
                <w:color w:val="7C6BC4"/>
                <w:sz w:val="22"/>
                <w:szCs w:val="22"/>
              </w:rPr>
              <w:t xml:space="preserve">3 · Verbatim</w:t>
            </w:r>
          </w:p>
          <w:p>
            <w:pPr>
              <w:spacing w:after="0" w:before="0" w:line="264"/>
            </w:pPr>
            <w:r>
              <w:rPr>
                <w:rFonts w:ascii="Calibri" w:cs="Calibri" w:eastAsia="Calibri" w:hAnsi="Calibri"/>
                <w:color w:val="D8D3EA"/>
                <w:sz w:val="19"/>
                <w:szCs w:val="19"/>
              </w:rPr>
              <w:t xml:space="preserve">The investor's own sentence. Not a summary of it.</w:t>
            </w:r>
          </w:p>
        </w:tc>
        <w:tc>
          <w:tcPr>
            <w:tcW w:type="dxa" w:w="19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3640"/>
            <w:shd w:fill="F7F5FC" w:val="clear"/>
            <w:tcMar>
              <w:top w:type="dxa" w:w="200"/>
              <w:left w:type="dxa" w:w="190"/>
              <w:bottom w:type="dxa" w:w="200"/>
              <w:right w:type="dxa" w:w="190"/>
            </w:tcMar>
            <w:vAlign w:val="top"/>
          </w:tcPr>
          <w:p>
            <w:pPr>
              <w:spacing w:after="90" w:before="0" w:line="264"/>
            </w:pPr>
            <w:r>
              <w:rPr>
                <w:rFonts w:ascii="Calibri" w:cs="Calibri" w:eastAsia="Calibri" w:hAnsi="Calibri"/>
                <w:b/>
                <w:bCs/>
                <w:color w:val="5A4A96"/>
                <w:sz w:val="22"/>
                <w:szCs w:val="22"/>
              </w:rPr>
              <w:t xml:space="preserve">4 · Outcome</w:t>
            </w:r>
          </w:p>
          <w:p>
            <w:pPr>
              <w:spacing w:after="0" w:before="0" w:line="264"/>
            </w:pPr>
            <w:r>
              <w:rPr>
                <w:rFonts w:ascii="Calibri" w:cs="Calibri" w:eastAsia="Calibri" w:hAnsi="Calibri"/>
                <w:color w:val="2A2447"/>
                <w:sz w:val="19"/>
                <w:szCs w:val="19"/>
              </w:rPr>
              <w:t xml:space="preserve">Demonstrated, failed, or not testable this session — never inflated.</w:t>
            </w:r>
          </w:p>
        </w:tc>
      </w:tr>
    </w:tbl>
    <w:p>
      <w:pPr>
        <w:spacing w:after="240"/>
      </w:pP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15130"/>
      </w:tblGrid>
      <w:tr>
        <w:tc>
          <w:tcPr>
            <w:tcW w:type="dxa" w:w="15130"/>
            <w:shd w:fill="EDEAF7" w:val="clear"/>
            <w:tcMar>
              <w:top w:type="dxa" w:w="190"/>
              <w:left w:type="dxa" w:w="190"/>
              <w:bottom w:type="dxa" w:w="190"/>
              <w:right w:type="dxa" w:w="190"/>
            </w:tcMar>
            <w:vAlign w:val="top"/>
          </w:tcPr>
          <w:p>
            <w:pPr>
              <w:spacing w:after="90" w:before="0" w:line="264"/>
            </w:pPr>
            <w:r>
              <w:rPr>
                <w:rFonts w:ascii="Calibri" w:cs="Calibri" w:eastAsia="Calibri" w:hAnsi="Calibri"/>
                <w:b/>
                <w:bCs/>
                <w:color w:val="5A4A96"/>
                <w:sz w:val="22"/>
                <w:szCs w:val="22"/>
              </w:rPr>
              <w:t xml:space="preserve">Two restraints we hold on purpose</w:t>
            </w:r>
          </w:p>
          <w:p>
            <w:pPr>
              <w:pStyle w:val="ListParagraph"/>
              <w:numPr>
                <w:ilvl w:val="0"/>
                <w:numId w:val="2"/>
              </w:numPr>
              <w:spacing w:after="60" w:line="258"/>
            </w:pPr>
            <w:r>
              <w:rPr>
                <w:rFonts w:ascii="Calibri" w:cs="Calibri" w:eastAsia="Calibri" w:hAnsi="Calibri"/>
                <w:color w:val="2A2447"/>
                <w:sz w:val="20"/>
                <w:szCs w:val="20"/>
              </w:rPr>
              <w:t xml:space="preserve">The record claims within-session transfer only. It prints the rule version and states plainly that durable behaviour change is not claimed.</w:t>
            </w:r>
          </w:p>
          <w:p>
            <w:pPr>
              <w:pStyle w:val="ListParagraph"/>
              <w:numPr>
                <w:ilvl w:val="0"/>
                <w:numId w:val="2"/>
              </w:numPr>
              <w:spacing w:after="0" w:line="258"/>
            </w:pPr>
            <w:r>
              <w:rPr>
                <w:rFonts w:ascii="Calibri" w:cs="Calibri" w:eastAsia="Calibri" w:hAnsi="Calibri"/>
                <w:color w:val="2A2447"/>
                <w:sz w:val="20"/>
                <w:szCs w:val="20"/>
              </w:rPr>
              <w:t xml:space="preserve">An element the coach never explained is never credited as coached. Crediting it would overstate the record, and the record is the product.</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APPENDIX C  ·  HELD FOR Q&amp;A</w:t>
      </w:r>
      <w:r>
        <w:rPr>
          <w:rFonts w:ascii="Calibri" w:cs="Calibri" w:eastAsia="Calibri" w:hAnsi="Calibri"/>
          <w:b/>
          <w:bCs/>
          <w:color w:val="7C6BC4"/>
          <w:spacing w:val="30"/>
          <w:sz w:val="17"/>
          <w:szCs w:val="17"/>
        </w:rPr>
        <w:t xml:space="preserve">	NOT PRESENTED</w:t>
      </w:r>
    </w:p>
    <w:p>
      <w:pPr>
        <w:spacing w:after="200"/>
      </w:pPr>
      <w:r>
        <w:rPr>
          <w:rFonts w:ascii="Cambria" w:cs="Cambria" w:eastAsia="Cambria" w:hAnsi="Cambria"/>
          <w:b/>
          <w:bCs/>
          <w:color w:val="1B1733"/>
          <w:sz w:val="40"/>
          <w:szCs w:val="40"/>
        </w:rPr>
        <w:t xml:space="preserve">Safety, and the limits that cannot be overridden.</w:t>
      </w:r>
    </w:p>
    <w:p>
      <w:pPr>
        <w:spacing w:after="220" w:before="0" w:line="264"/>
      </w:pPr>
      <w:r>
        <w:rPr>
          <w:rFonts w:ascii="Calibri" w:cs="Calibri" w:eastAsia="Calibri" w:hAnsi="Calibri"/>
          <w:color w:val="2A2447"/>
          <w:sz w:val="21"/>
          <w:szCs w:val="21"/>
        </w:rPr>
        <w:t xml:space="preserve">Pressure is the product. Uncontrolled pressure is a liability. Each of these is enforced in code at a named place, so a later change cannot quietly undo it.</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4600"/>
        <w:gridCol w:w="10530"/>
      </w:tblGrid>
      <w:tr>
        <w:tc>
          <w:tcPr>
            <w:tcW w:type="dxa" w:w="46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1"/>
                <w:szCs w:val="21"/>
              </w:rPr>
              <w:t xml:space="preserve">Approved ladder, hard ceiling</w:t>
            </w:r>
          </w:p>
        </w:tc>
        <w:tc>
          <w:tcPr>
            <w:tcW w:type="dxa" w:w="10530"/>
            <w:shd w:fill="F7F5FC"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The persona escalates only through approved steps, and never past the declared ceiling.</w:t>
            </w:r>
          </w:p>
        </w:tc>
      </w:tr>
      <w:tr>
        <w:tc>
          <w:tcPr>
            <w:tcW w:type="dxa" w:w="46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1"/>
                <w:szCs w:val="21"/>
              </w:rPr>
              <w:t xml:space="preserve">Distress exit</w:t>
            </w:r>
          </w:p>
        </w:tc>
        <w:tc>
          <w:tcPr>
            <w:tcW w:type="dxa" w:w="10530"/>
            <w:shd w:fill="FFFFFF"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Non-negotiable wherever pressure is applied. The persona breaks character immediately.</w:t>
            </w:r>
          </w:p>
        </w:tc>
      </w:tr>
      <w:tr>
        <w:tc>
          <w:tcPr>
            <w:tcW w:type="dxa" w:w="46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1"/>
                <w:szCs w:val="21"/>
              </w:rPr>
              <w:t xml:space="preserve">No mid-scenario correction</w:t>
            </w:r>
          </w:p>
        </w:tc>
        <w:tc>
          <w:tcPr>
            <w:tcW w:type="dxa" w:w="10530"/>
            <w:shd w:fill="F7F5FC"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The investor is allowed to make the mistake. That is where the behavioural evidence comes from.</w:t>
            </w:r>
          </w:p>
        </w:tc>
      </w:tr>
      <w:tr>
        <w:tc>
          <w:tcPr>
            <w:tcW w:type="dxa" w:w="46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1"/>
                <w:szCs w:val="21"/>
              </w:rPr>
              <w:t xml:space="preserve">The freeze rule</w:t>
            </w:r>
          </w:p>
        </w:tc>
        <w:tc>
          <w:tcPr>
            <w:tcW w:type="dxa" w:w="10530"/>
            <w:shd w:fill="FFFFFF"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The reasoning display stops updating during pressure. A failing element never flips live in front of them.</w:t>
            </w:r>
          </w:p>
        </w:tc>
      </w:tr>
      <w:tr>
        <w:tc>
          <w:tcPr>
            <w:tcW w:type="dxa" w:w="4600"/>
            <w:shd w:fill="F7F5FC"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1"/>
                <w:szCs w:val="21"/>
              </w:rPr>
              <w:t xml:space="preserve">Consent before pressure</w:t>
            </w:r>
          </w:p>
        </w:tc>
        <w:tc>
          <w:tcPr>
            <w:tcW w:type="dxa" w:w="10530"/>
            <w:shd w:fill="F7F5FC"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Entry carries an explicit act of consent to be pressured — not a menu selection buried in settings.</w:t>
            </w:r>
          </w:p>
        </w:tc>
      </w:tr>
      <w:tr>
        <w:tc>
          <w:tcPr>
            <w:tcW w:type="dxa" w:w="4600"/>
            <w:shd w:fill="FFFFFF" w:val="clear"/>
            <w:tcMar>
              <w:top w:type="dxa" w:w="130"/>
              <w:left w:type="dxa" w:w="190"/>
              <w:bottom w:type="dxa" w:w="130"/>
              <w:right w:type="dxa" w:w="190"/>
            </w:tcMar>
            <w:vAlign w:val="top"/>
          </w:tcPr>
          <w:p>
            <w:pPr>
              <w:spacing w:after="0" w:before="0" w:line="264"/>
            </w:pPr>
            <w:r>
              <w:rPr>
                <w:rFonts w:ascii="Calibri" w:cs="Calibri" w:eastAsia="Calibri" w:hAnsi="Calibri"/>
                <w:b/>
                <w:bCs/>
                <w:color w:val="5A4A96"/>
                <w:sz w:val="21"/>
                <w:szCs w:val="21"/>
              </w:rPr>
              <w:t xml:space="preserve">No adversarial content elsewhere</w:t>
            </w:r>
          </w:p>
        </w:tc>
        <w:tc>
          <w:tcPr>
            <w:tcW w:type="dxa" w:w="10530"/>
            <w:shd w:fill="FFFFFF" w:val="clear"/>
            <w:tcMar>
              <w:top w:type="dxa" w:w="130"/>
              <w:left w:type="dxa" w:w="190"/>
              <w:bottom w:type="dxa" w:w="130"/>
              <w:right w:type="dxa" w:w="190"/>
            </w:tcMar>
            <w:vAlign w:val="top"/>
          </w:tcPr>
          <w:p>
            <w:pPr>
              <w:spacing w:after="0" w:before="0" w:line="264"/>
            </w:pPr>
            <w:r>
              <w:rPr>
                <w:rFonts w:ascii="Calibri" w:cs="Calibri" w:eastAsia="Calibri" w:hAnsi="Calibri"/>
                <w:color w:val="2A2447"/>
                <w:sz w:val="20"/>
                <w:szCs w:val="20"/>
              </w:rPr>
              <w:t xml:space="preserve">Challenge objects are gated at the object level and cannot fire in any other mode.</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APPENDIX D  ·  HELD FOR Q&amp;A</w:t>
      </w:r>
      <w:r>
        <w:rPr>
          <w:rFonts w:ascii="Calibri" w:cs="Calibri" w:eastAsia="Calibri" w:hAnsi="Calibri"/>
          <w:b/>
          <w:bCs/>
          <w:color w:val="7C6BC4"/>
          <w:spacing w:val="30"/>
          <w:sz w:val="17"/>
          <w:szCs w:val="17"/>
        </w:rPr>
        <w:t xml:space="preserve">	NOT PRESENTED</w:t>
      </w:r>
    </w:p>
    <w:p>
      <w:pPr>
        <w:spacing w:after="200"/>
      </w:pPr>
      <w:r>
        <w:rPr>
          <w:rFonts w:ascii="Cambria" w:cs="Cambria" w:eastAsia="Cambria" w:hAnsi="Cambria"/>
          <w:b/>
          <w:bCs/>
          <w:color w:val="1B1733"/>
          <w:sz w:val="40"/>
          <w:szCs w:val="40"/>
        </w:rPr>
        <w:t xml:space="preserve">Four languages — and why three are not deployed.</w:t>
      </w:r>
    </w:p>
    <w:p>
      <w:pPr>
        <w:spacing w:after="220" w:before="0" w:line="264"/>
      </w:pPr>
      <w:r>
        <w:rPr>
          <w:rFonts w:ascii="Calibri" w:cs="Calibri" w:eastAsia="Calibri" w:hAnsi="Calibri"/>
          <w:color w:val="2A2447"/>
          <w:sz w:val="21"/>
          <w:szCs w:val="21"/>
        </w:rPr>
        <w:t xml:space="preserve">Language is a property of every scored determination, not a display setting. The localisation reaches into the engine: the evidence that an answer satisfied an element is itself language-specific.</w:t>
      </w:r>
    </w:p>
    <w:tbl>
      <w:tblPr>
        <w:tblW w:type="dxa" w:w="15130"/>
        <w:tblBorders>
          <w:top w:val="none" w:color="FFFFFF" w:sz="0"/>
          <w:left w:val="none" w:color="FFFFFF" w:sz="0"/>
          <w:bottom w:val="none" w:color="FFFFFF" w:sz="0"/>
          <w:right w:val="none" w:color="FFFFFF" w:sz="0"/>
          <w:insideH w:val="none" w:color="FFFFFF" w:sz="0"/>
          <w:insideV w:val="none" w:color="FFFFFF" w:sz="0"/>
        </w:tblBorders>
      </w:tblPr>
      <w:tblGrid>
        <w:gridCol w:w="3000"/>
        <w:gridCol w:w="4200"/>
        <w:gridCol w:w="320"/>
        <w:gridCol w:w="7610"/>
      </w:tblGrid>
      <w:tr>
        <w:tc>
          <w:tcPr>
            <w:tcW w:type="dxa" w:w="3000"/>
            <w:shd w:fill="F7F5FC" w:val="clear"/>
            <w:tcMar>
              <w:top w:type="dxa" w:w="190"/>
              <w:left w:type="dxa" w:w="190"/>
              <w:bottom w:type="dxa" w:w="190"/>
              <w:right w:type="dxa" w:w="190"/>
            </w:tcMar>
            <w:vAlign w:val="top"/>
          </w:tcPr>
          <w:p>
            <w:pPr>
              <w:spacing w:after="155" w:before="0" w:line="264"/>
            </w:pPr>
            <w:r>
              <w:rPr>
                <w:rFonts w:ascii="Calibri" w:cs="Calibri" w:eastAsia="Calibri" w:hAnsi="Calibri"/>
                <w:b/>
                <w:bCs/>
                <w:color w:val="1B1733"/>
                <w:sz w:val="22"/>
                <w:szCs w:val="22"/>
              </w:rPr>
              <w:t xml:space="preserve">English</w:t>
            </w:r>
          </w:p>
          <w:p>
            <w:pPr>
              <w:spacing w:after="155" w:before="0" w:line="264"/>
            </w:pPr>
            <w:r>
              <w:rPr>
                <w:rFonts w:ascii="Calibri" w:cs="Calibri" w:eastAsia="Calibri" w:hAnsi="Calibri"/>
                <w:b/>
                <w:bCs/>
                <w:color w:val="1B1733"/>
                <w:sz w:val="22"/>
                <w:szCs w:val="22"/>
              </w:rPr>
              <w:t xml:space="preserve">Spanish</w:t>
            </w:r>
          </w:p>
          <w:p>
            <w:pPr>
              <w:spacing w:after="155" w:before="0" w:line="264"/>
            </w:pPr>
            <w:r>
              <w:rPr>
                <w:rFonts w:ascii="Calibri" w:cs="Calibri" w:eastAsia="Calibri" w:hAnsi="Calibri"/>
                <w:b/>
                <w:bCs/>
                <w:color w:val="1B1733"/>
                <w:sz w:val="22"/>
                <w:szCs w:val="22"/>
              </w:rPr>
              <w:t xml:space="preserve">Chinese</w:t>
            </w:r>
          </w:p>
          <w:p>
            <w:pPr>
              <w:spacing w:after="0" w:before="0" w:line="264"/>
            </w:pPr>
            <w:r>
              <w:rPr>
                <w:rFonts w:ascii="Calibri" w:cs="Calibri" w:eastAsia="Calibri" w:hAnsi="Calibri"/>
                <w:b/>
                <w:bCs/>
                <w:color w:val="1B1733"/>
                <w:sz w:val="22"/>
                <w:szCs w:val="22"/>
              </w:rPr>
              <w:t xml:space="preserve">Arabic</w:t>
            </w:r>
          </w:p>
        </w:tc>
        <w:tc>
          <w:tcPr>
            <w:tcW w:type="dxa" w:w="4200"/>
            <w:shd w:fill="F7F5FC" w:val="clear"/>
            <w:tcMar>
              <w:top w:type="dxa" w:w="190"/>
              <w:left w:type="dxa" w:w="0"/>
              <w:bottom w:type="dxa" w:w="190"/>
              <w:right w:type="dxa" w:w="190"/>
            </w:tcMar>
            <w:vAlign w:val="top"/>
          </w:tcPr>
          <w:p>
            <w:pPr>
              <w:spacing w:after="155" w:before="0" w:line="264"/>
            </w:pPr>
            <w:r>
              <w:rPr>
                <w:rFonts w:ascii="Calibri" w:cs="Calibri" w:eastAsia="Calibri" w:hAnsi="Calibri"/>
                <w:b/>
                <w:bCs/>
                <w:color w:val="2E7D5B"/>
                <w:sz w:val="20"/>
                <w:szCs w:val="20"/>
              </w:rPr>
              <w:t xml:space="preserve">Cleared for deployment</w:t>
            </w:r>
          </w:p>
          <w:p>
            <w:pPr>
              <w:spacing w:after="155" w:before="0" w:line="264"/>
            </w:pPr>
            <w:r>
              <w:rPr>
                <w:rFonts w:ascii="Calibri" w:cs="Calibri" w:eastAsia="Calibri" w:hAnsi="Calibri"/>
                <w:b/>
                <w:bCs/>
                <w:color w:val="B5762A"/>
                <w:sz w:val="20"/>
                <w:szCs w:val="20"/>
              </w:rPr>
              <w:t xml:space="preserve">Complete · awaiting native review</w:t>
            </w:r>
          </w:p>
          <w:p>
            <w:pPr>
              <w:spacing w:after="155" w:before="0" w:line="264"/>
            </w:pPr>
            <w:r>
              <w:rPr>
                <w:rFonts w:ascii="Calibri" w:cs="Calibri" w:eastAsia="Calibri" w:hAnsi="Calibri"/>
                <w:b/>
                <w:bCs/>
                <w:color w:val="B5762A"/>
                <w:sz w:val="20"/>
                <w:szCs w:val="20"/>
              </w:rPr>
              <w:t xml:space="preserve">Complete · awaiting native review</w:t>
            </w:r>
          </w:p>
          <w:p>
            <w:pPr>
              <w:spacing w:after="0" w:before="0" w:line="264"/>
            </w:pPr>
            <w:r>
              <w:rPr>
                <w:rFonts w:ascii="Calibri" w:cs="Calibri" w:eastAsia="Calibri" w:hAnsi="Calibri"/>
                <w:b/>
                <w:bCs/>
                <w:color w:val="B5762A"/>
                <w:sz w:val="20"/>
                <w:szCs w:val="20"/>
              </w:rPr>
              <w:t xml:space="preserve">Complete · awaiting native review</w:t>
            </w:r>
          </w:p>
        </w:tc>
        <w:tc>
          <w:tcPr>
            <w:tcW w:type="dxa" w:w="320"/>
            <w:shd w:fill="FFFFFF" w:val="clear"/>
            <w:tcMar>
              <w:top w:type="dxa" w:w="150"/>
              <w:left w:type="dxa" w:w="0"/>
              <w:bottom w:type="dxa" w:w="150"/>
              <w:right w:type="dxa" w:w="190"/>
            </w:tcMar>
            <w:vAlign w:val="top"/>
          </w:tcPr>
          <w:p>
            <w:pPr>
              <w:spacing w:after="0" w:before="0" w:line="264"/>
            </w:pPr>
            <w:r>
              <w:rPr>
                <w:rFonts w:ascii="Calibri" w:cs="Calibri" w:eastAsia="Calibri" w:hAnsi="Calibri"/>
                <w:color w:val="2A2447"/>
                <w:sz w:val="21"/>
                <w:szCs w:val="21"/>
              </w:rPr>
              <w:t xml:space="preserve"/>
            </w:r>
          </w:p>
        </w:tc>
        <w:tc>
          <w:tcPr>
            <w:tcW w:type="dxa" w:w="7610"/>
            <w:shd w:fill="1B1733" w:val="clear"/>
            <w:tcMar>
              <w:top w:type="dxa" w:w="190"/>
              <w:left w:type="dxa" w:w="190"/>
              <w:bottom w:type="dxa" w:w="190"/>
              <w:right w:type="dxa" w:w="190"/>
            </w:tcMar>
            <w:vAlign w:val="top"/>
          </w:tcPr>
          <w:p>
            <w:pPr>
              <w:spacing w:after="90" w:before="0" w:line="264"/>
            </w:pPr>
            <w:r>
              <w:rPr>
                <w:rFonts w:ascii="Calibri" w:cs="Calibri" w:eastAsia="Calibri" w:hAnsi="Calibri"/>
                <w:b/>
                <w:bCs/>
                <w:color w:val="7C6BC4"/>
                <w:sz w:val="22"/>
                <w:szCs w:val="22"/>
              </w:rPr>
              <w:t xml:space="preserve">The failure this prevents</w:t>
            </w:r>
          </w:p>
          <w:p>
            <w:pPr>
              <w:spacing w:after="130" w:before="0" w:line="264"/>
            </w:pPr>
            <w:r>
              <w:rPr>
                <w:rFonts w:ascii="Calibri" w:cs="Calibri" w:eastAsia="Calibri" w:hAnsi="Calibri"/>
                <w:color w:val="D8D3EA"/>
                <w:sz w:val="20"/>
                <w:szCs w:val="20"/>
              </w:rPr>
              <w:t xml:space="preserve">Translate the interface but not the evidence rules, and every element silently fails for every investor in that language — while the screen looks perfectly localised. It is invisible in testing, and it scores a competent person as incompetent.</w:t>
            </w:r>
          </w:p>
          <w:p>
            <w:pPr>
              <w:spacing w:after="0" w:before="0" w:line="264"/>
            </w:pPr>
            <w:r>
              <w:rPr>
                <w:rFonts w:ascii="Calibri" w:cs="Calibri" w:eastAsia="Calibri" w:hAnsi="Calibri"/>
                <w:i/>
                <w:iCs/>
                <w:color w:val="9A93BC"/>
                <w:sz w:val="20"/>
                <w:szCs w:val="20"/>
              </w:rPr>
              <w:t xml:space="preserve">A variant that has not passed native review is not deployable, and the gate reports it.</w:t>
            </w:r>
          </w:p>
        </w:tc>
      </w:tr>
    </w:tbl>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APPENDIX E  ·  HELD FOR Q&amp;A</w:t>
      </w:r>
      <w:r>
        <w:rPr>
          <w:rFonts w:ascii="Calibri" w:cs="Calibri" w:eastAsia="Calibri" w:hAnsi="Calibri"/>
          <w:b/>
          <w:bCs/>
          <w:color w:val="7C6BC4"/>
          <w:spacing w:val="30"/>
          <w:sz w:val="17"/>
          <w:szCs w:val="17"/>
        </w:rPr>
        <w:t xml:space="preserve">	NOT PRESENTED</w:t>
      </w:r>
    </w:p>
    <w:p>
      <w:pPr>
        <w:spacing w:after="200"/>
      </w:pPr>
      <w:r>
        <w:rPr>
          <w:rFonts w:ascii="Cambria" w:cs="Cambria" w:eastAsia="Cambria" w:hAnsi="Cambria"/>
          <w:b/>
          <w:bCs/>
          <w:color w:val="1B1733"/>
          <w:sz w:val="40"/>
          <w:szCs w:val="40"/>
        </w:rPr>
        <w:t xml:space="preserve">The publish gate in full — ten tests, seven blocking.</w:t>
      </w:r>
    </w:p>
    <w:p>
      <w:pPr>
        <w:spacing w:after="200" w:before="0" w:line="264"/>
      </w:pPr>
      <w:r>
        <w:rPr>
          <w:rFonts w:ascii="Calibri" w:cs="Calibri" w:eastAsia="Calibri" w:hAnsi="Calibri"/>
          <w:color w:val="2A2447"/>
          <w:sz w:val="21"/>
          <w:szCs w:val="21"/>
        </w:rPr>
        <w:t xml:space="preserve">The gate is not a report generated after release. It is the condition of release, and there is no waive path.</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4000"/>
        <w:gridCol w:w="1900"/>
        <w:gridCol w:w="9230"/>
      </w:tblGrid>
      <w:tr>
        <w:trPr>
          <w:tblHeader/>
        </w:trPr>
        <w:tc>
          <w:tcPr>
            <w:tcW w:type="dxa" w:w="4000"/>
            <w:shd w:fill="EDEAF7"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18"/>
                <w:szCs w:val="18"/>
              </w:rPr>
              <w:t xml:space="preserve">Test</w:t>
            </w:r>
          </w:p>
        </w:tc>
        <w:tc>
          <w:tcPr>
            <w:tcW w:type="dxa" w:w="1900"/>
            <w:shd w:fill="EDEAF7"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18"/>
                <w:szCs w:val="18"/>
              </w:rPr>
              <w:t xml:space="preserve">Severity</w:t>
            </w:r>
          </w:p>
        </w:tc>
        <w:tc>
          <w:tcPr>
            <w:tcW w:type="dxa" w:w="9230"/>
            <w:shd w:fill="EDEAF7"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18"/>
                <w:szCs w:val="18"/>
              </w:rPr>
              <w:t xml:space="preserve">Asserts</w:t>
            </w:r>
          </w:p>
        </w:tc>
      </w:tr>
      <w:tr>
        <w:tc>
          <w:tcPr>
            <w:tcW w:type="dxa" w:w="40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Candidate set</w:t>
            </w:r>
          </w:p>
        </w:tc>
        <w:tc>
          <w:tcPr>
            <w:tcW w:type="dxa" w:w="19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7F5FC"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At least one object has actually reached approved-and-effective.</w:t>
            </w:r>
          </w:p>
        </w:tc>
      </w:tr>
      <w:tr>
        <w:tc>
          <w:tcPr>
            <w:tcW w:type="dxa" w:w="40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Coverage</w:t>
            </w:r>
          </w:p>
        </w:tc>
        <w:tc>
          <w:tcPr>
            <w:tcW w:type="dxa" w:w="19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FFFFF"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Every mandatory element has a question that can elicit it.</w:t>
            </w:r>
          </w:p>
        </w:tc>
      </w:tr>
      <w:tr>
        <w:tc>
          <w:tcPr>
            <w:tcW w:type="dxa" w:w="40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Anchor integrity</w:t>
            </w:r>
          </w:p>
        </w:tc>
        <w:tc>
          <w:tcPr>
            <w:tcW w:type="dxa" w:w="19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7F5FC"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Every element binds to a clause in the anchor authority.</w:t>
            </w:r>
          </w:p>
        </w:tc>
      </w:tr>
      <w:tr>
        <w:tc>
          <w:tcPr>
            <w:tcW w:type="dxa" w:w="40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Prohibited formulation</w:t>
            </w:r>
          </w:p>
        </w:tc>
        <w:tc>
          <w:tcPr>
            <w:tcW w:type="dxa" w:w="19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FFFFF"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No unrationalised leading question, no ladder above its ceiling.</w:t>
            </w:r>
          </w:p>
        </w:tc>
      </w:tr>
      <w:tr>
        <w:tc>
          <w:tcPr>
            <w:tcW w:type="dxa" w:w="40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Scope integrity</w:t>
            </w:r>
          </w:p>
        </w:tc>
        <w:tc>
          <w:tcPr>
            <w:tcW w:type="dxa" w:w="19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7F5FC"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No object reachable outside its declared mode, market or doctrine.</w:t>
            </w:r>
          </w:p>
        </w:tc>
      </w:tr>
      <w:tr>
        <w:tc>
          <w:tcPr>
            <w:tcW w:type="dxa" w:w="40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Boundary refusal</w:t>
            </w:r>
          </w:p>
        </w:tc>
        <w:tc>
          <w:tcPr>
            <w:tcW w:type="dxa" w:w="19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FFFFF"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The hard refusal is declared and proven in every deployed language.</w:t>
            </w:r>
          </w:p>
        </w:tc>
      </w:tr>
      <w:tr>
        <w:tc>
          <w:tcPr>
            <w:tcW w:type="dxa" w:w="40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Version consistency</w:t>
            </w:r>
          </w:p>
        </w:tc>
        <w:tc>
          <w:tcPr>
            <w:tcW w:type="dxa" w:w="19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A33B3B"/>
                <w:sz w:val="18"/>
                <w:szCs w:val="18"/>
              </w:rPr>
              <w:t xml:space="preserve">blocking</w:t>
            </w:r>
          </w:p>
        </w:tc>
        <w:tc>
          <w:tcPr>
            <w:tcW w:type="dxa" w:w="9230"/>
            <w:shd w:fill="F7F5FC"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Every reference resolves inside the same released bundle.</w:t>
            </w:r>
          </w:p>
        </w:tc>
      </w:tr>
      <w:tr>
        <w:tc>
          <w:tcPr>
            <w:tcW w:type="dxa" w:w="40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Adversarial probe</w:t>
            </w:r>
          </w:p>
        </w:tc>
        <w:tc>
          <w:tcPr>
            <w:tcW w:type="dxa" w:w="19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B5762A"/>
                <w:sz w:val="18"/>
                <w:szCs w:val="18"/>
              </w:rPr>
              <w:t xml:space="preserve">advisory</w:t>
            </w:r>
          </w:p>
        </w:tc>
        <w:tc>
          <w:tcPr>
            <w:tcW w:type="dxa" w:w="9230"/>
            <w:shd w:fill="FFFFFF"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The released set holds under hostile and leading questioning.</w:t>
            </w:r>
          </w:p>
        </w:tc>
      </w:tr>
      <w:tr>
        <w:tc>
          <w:tcPr>
            <w:tcW w:type="dxa" w:w="40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Translation fidelity</w:t>
            </w:r>
          </w:p>
        </w:tc>
        <w:tc>
          <w:tcPr>
            <w:tcW w:type="dxa" w:w="1900"/>
            <w:shd w:fill="F7F5FC" w:val="clear"/>
            <w:tcMar>
              <w:top w:type="dxa" w:w="100"/>
              <w:left w:type="dxa" w:w="190"/>
              <w:bottom w:type="dxa" w:w="100"/>
              <w:right w:type="dxa" w:w="190"/>
            </w:tcMar>
            <w:vAlign w:val="top"/>
          </w:tcPr>
          <w:p>
            <w:pPr>
              <w:spacing w:after="0" w:before="0" w:line="264"/>
            </w:pPr>
            <w:r>
              <w:rPr>
                <w:rFonts w:ascii="Calibri" w:cs="Calibri" w:eastAsia="Calibri" w:hAnsi="Calibri"/>
                <w:b/>
                <w:bCs/>
                <w:color w:val="B5762A"/>
                <w:sz w:val="18"/>
                <w:szCs w:val="18"/>
              </w:rPr>
              <w:t xml:space="preserve">advisory</w:t>
            </w:r>
          </w:p>
        </w:tc>
        <w:tc>
          <w:tcPr>
            <w:tcW w:type="dxa" w:w="9230"/>
            <w:shd w:fill="F7F5FC"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Every deployable variant has passed native review.</w:t>
            </w:r>
          </w:p>
        </w:tc>
      </w:tr>
      <w:tr>
        <w:tc>
          <w:tcPr>
            <w:tcW w:type="dxa" w:w="40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1B1733"/>
                <w:sz w:val="20"/>
                <w:szCs w:val="20"/>
              </w:rPr>
              <w:t xml:space="preserve">Traceability</w:t>
            </w:r>
          </w:p>
        </w:tc>
        <w:tc>
          <w:tcPr>
            <w:tcW w:type="dxa" w:w="1900"/>
            <w:shd w:fill="FFFFFF" w:val="clear"/>
            <w:tcMar>
              <w:top w:type="dxa" w:w="100"/>
              <w:left w:type="dxa" w:w="190"/>
              <w:bottom w:type="dxa" w:w="100"/>
              <w:right w:type="dxa" w:w="190"/>
            </w:tcMar>
            <w:vAlign w:val="top"/>
          </w:tcPr>
          <w:p>
            <w:pPr>
              <w:spacing w:after="0" w:before="0" w:line="264"/>
            </w:pPr>
            <w:r>
              <w:rPr>
                <w:rFonts w:ascii="Calibri" w:cs="Calibri" w:eastAsia="Calibri" w:hAnsi="Calibri"/>
                <w:b/>
                <w:bCs/>
                <w:color w:val="B5762A"/>
                <w:sz w:val="18"/>
                <w:szCs w:val="18"/>
              </w:rPr>
              <w:t xml:space="preserve">advisory</w:t>
            </w:r>
          </w:p>
        </w:tc>
        <w:tc>
          <w:tcPr>
            <w:tcW w:type="dxa" w:w="9230"/>
            <w:shd w:fill="FFFFFF" w:val="clear"/>
            <w:tcMar>
              <w:top w:type="dxa" w:w="100"/>
              <w:left w:type="dxa" w:w="190"/>
              <w:bottom w:type="dxa" w:w="100"/>
              <w:right w:type="dxa" w:w="190"/>
            </w:tcMar>
            <w:vAlign w:val="top"/>
          </w:tcPr>
          <w:p>
            <w:pPr>
              <w:spacing w:after="0" w:before="0" w:line="264"/>
            </w:pPr>
            <w:r>
              <w:rPr>
                <w:rFonts w:ascii="Calibri" w:cs="Calibri" w:eastAsia="Calibri" w:hAnsi="Calibri"/>
                <w:color w:val="2A2447"/>
                <w:sz w:val="20"/>
                <w:szCs w:val="20"/>
              </w:rPr>
              <w:t xml:space="preserve">Every determination resolves to object, version and verbatim span.</w:t>
            </w:r>
          </w:p>
        </w:tc>
      </w:tr>
    </w:tbl>
    <w:p>
      <w:pPr>
        <w:spacing w:after="180"/>
      </w:pPr>
    </w:p>
    <w:p>
      <w:pPr>
        <w:spacing w:after="0" w:before="0" w:line="264"/>
      </w:pPr>
      <w:r>
        <w:rPr>
          <w:rFonts w:ascii="Calibri" w:cs="Calibri" w:eastAsia="Calibri" w:hAnsi="Calibri"/>
          <w:i/>
          <w:iCs/>
          <w:color w:val="6B6880"/>
          <w:sz w:val="20"/>
          <w:szCs w:val="20"/>
        </w:rPr>
        <w:t xml:space="preserve">An unassessed test renders as not-applicable, never as a pass. A green tick on an empty set is the exact form of false assurance the gate exists to prevent — and it is a mistake we made once, inside the gate itself, before we caught it.</w:t>
      </w:r>
    </w:p>
    <w:p>
      <w:pPr>
        <w:pageBreakBefore/>
        <w:spacing w:after="0"/>
      </w:pPr>
    </w:p>
    <w:p>
      <w:pPr>
        <w:tabs>
          <w:tab w:val="right" w:pos="15130"/>
        </w:tabs>
        <w:spacing w:after="90"/>
      </w:pPr>
      <w:r>
        <w:rPr>
          <w:rFonts w:ascii="Calibri" w:cs="Calibri" w:eastAsia="Calibri" w:hAnsi="Calibri"/>
          <w:b/>
          <w:bCs/>
          <w:color w:val="5A4A96"/>
          <w:spacing w:val="30"/>
          <w:sz w:val="17"/>
          <w:szCs w:val="17"/>
        </w:rPr>
        <w:t xml:space="preserve">DELIVERY CHECKLIST</w:t>
      </w:r>
      <w:r>
        <w:rPr>
          <w:rFonts w:ascii="Calibri" w:cs="Calibri" w:eastAsia="Calibri" w:hAnsi="Calibri"/>
          <w:b/>
          <w:bCs/>
          <w:color w:val="7C6BC4"/>
          <w:spacing w:val="30"/>
          <w:sz w:val="17"/>
          <w:szCs w:val="17"/>
        </w:rPr>
        <w:t xml:space="preserve">	BEFORE DEMO DAY</w:t>
      </w:r>
    </w:p>
    <w:p>
      <w:pPr>
        <w:spacing w:after="200"/>
      </w:pPr>
      <w:r>
        <w:rPr>
          <w:rFonts w:ascii="Cambria" w:cs="Cambria" w:eastAsia="Cambria" w:hAnsi="Cambria"/>
          <w:b/>
          <w:bCs/>
          <w:color w:val="1B1733"/>
          <w:sz w:val="40"/>
          <w:szCs w:val="40"/>
        </w:rPr>
        <w:t xml:space="preserve">Nine things to settle before you walk in.</w:t>
      </w:r>
    </w:p>
    <w:tbl>
      <w:tblPr>
        <w:tblW w:type="dxa" w:w="15130"/>
        <w:tblBorders>
          <w:top w:val="single" w:color="D5D1E4" w:sz="3"/>
          <w:left w:val="none" w:color="FFFFFF" w:sz="0"/>
          <w:bottom w:val="single" w:color="D5D1E4" w:sz="3"/>
          <w:right w:val="none" w:color="FFFFFF" w:sz="0"/>
          <w:insideH w:val="single" w:color="D5D1E4" w:sz="2"/>
          <w:insideV w:val="none" w:color="FFFFFF" w:sz="0"/>
        </w:tblBorders>
      </w:tblPr>
      <w:tblGrid>
        <w:gridCol w:w="700"/>
        <w:gridCol w:w="6100"/>
        <w:gridCol w:w="8330"/>
      </w:tblGrid>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1</w:t>
            </w:r>
          </w:p>
        </w:tc>
        <w:tc>
          <w:tcPr>
            <w:tcW w:type="dxa" w:w="61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Decide live demo or recorded</w:t>
            </w:r>
          </w:p>
        </w:tc>
        <w:tc>
          <w:tcPr>
            <w:tcW w:type="dxa" w:w="83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Recommendation: recorded, with the live build open in a second window. Two minutes of live speech recognition on conference wi-fi is the highest-variance block in the slot.</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2</w:t>
            </w:r>
          </w:p>
        </w:tc>
        <w:tc>
          <w:tcPr>
            <w:tcW w:type="dxa" w:w="61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Get Spanish natively reviewed</w:t>
            </w:r>
          </w:p>
        </w:tc>
        <w:tc>
          <w:tcPr>
            <w:tcW w:type="dxa" w:w="83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It is the host language. A native speaker in the room will hear stiffness in the persona's pressure lines, and those lines have to sound like a real salesperson.</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3</w:t>
            </w:r>
          </w:p>
        </w:tc>
        <w:tc>
          <w:tcPr>
            <w:tcW w:type="dxa" w:w="61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Add your loss statistic, or leave it out</w:t>
            </w:r>
          </w:p>
        </w:tc>
        <w:tc>
          <w:tcPr>
            <w:tcW w:type="dxa" w:w="83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Only with a citation. An unattributed number in front of regulators costs more than it buys.</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4</w:t>
            </w:r>
          </w:p>
        </w:tc>
        <w:tc>
          <w:tcPr>
            <w:tcW w:type="dxa" w:w="61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Write the programme-engagement line</w:t>
            </w:r>
          </w:p>
        </w:tc>
        <w:tc>
          <w:tcPr>
            <w:tcW w:type="dxa" w:w="83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The FCA asks you to explain what you drew from the TechSprint programme — data, tools, support — without assuming prior knowledge. One sentence, on slide 2 or 3.</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5</w:t>
            </w:r>
          </w:p>
        </w:tc>
        <w:tc>
          <w:tcPr>
            <w:tcW w:type="dxa" w:w="61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Add presenter names and contact</w:t>
            </w:r>
          </w:p>
        </w:tc>
        <w:tc>
          <w:tcPr>
            <w:tcW w:type="dxa" w:w="83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Closing page. Confirm how BYOND Asia and HoloMe are named against your own brand rules before it leaves the building.</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6</w:t>
            </w:r>
          </w:p>
        </w:tc>
        <w:tc>
          <w:tcPr>
            <w:tcW w:type="dxa" w:w="61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Rehearse to 6:45, not 7:00</w:t>
            </w:r>
          </w:p>
        </w:tc>
        <w:tc>
          <w:tcPr>
            <w:tcW w:type="dxa" w:w="83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Finishing early reads as control. Overrunning reads as a team that did not rehearse, and they will cut you off.</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7</w:t>
            </w:r>
          </w:p>
        </w:tc>
        <w:tc>
          <w:tcPr>
            <w:tcW w:type="dxa" w:w="61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Rehearse the demo separately, five times</w:t>
            </w:r>
          </w:p>
        </w:tc>
        <w:tc>
          <w:tcPr>
            <w:tcW w:type="dxa" w:w="83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It is 29% of your total time. Everything else can be recovered from; a broken demo cannot.</w:t>
            </w:r>
          </w:p>
        </w:tc>
      </w:tr>
      <w:tr>
        <w:tc>
          <w:tcPr>
            <w:tcW w:type="dxa" w:w="7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8</w:t>
            </w:r>
          </w:p>
        </w:tc>
        <w:tc>
          <w:tcPr>
            <w:tcW w:type="dxa" w:w="6100"/>
            <w:shd w:fill="FFFFFF"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Prepare the two hard questions</w:t>
            </w:r>
          </w:p>
        </w:tc>
        <w:tc>
          <w:tcPr>
            <w:tcW w:type="dxa" w:w="8330"/>
            <w:shd w:fill="FFFFFF"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'Who decides what is approved?' and 'How do you know it works?' The honest answer to the second is on the evaluation slide — do not improve it under pressure.</w:t>
            </w:r>
          </w:p>
        </w:tc>
      </w:tr>
      <w:tr>
        <w:tc>
          <w:tcPr>
            <w:tcW w:type="dxa" w:w="7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7C6BC4"/>
                <w:sz w:val="20"/>
                <w:szCs w:val="20"/>
              </w:rPr>
              <w:t xml:space="preserve">9</w:t>
            </w:r>
          </w:p>
        </w:tc>
        <w:tc>
          <w:tcPr>
            <w:tcW w:type="dxa" w:w="6100"/>
            <w:shd w:fill="F7F5FC" w:val="clear"/>
            <w:tcMar>
              <w:top w:type="dxa" w:w="110"/>
              <w:left w:type="dxa" w:w="190"/>
              <w:bottom w:type="dxa" w:w="110"/>
              <w:right w:type="dxa" w:w="190"/>
            </w:tcMar>
            <w:vAlign w:val="top"/>
          </w:tcPr>
          <w:p>
            <w:pPr>
              <w:spacing w:after="0" w:before="0" w:line="264"/>
            </w:pPr>
            <w:r>
              <w:rPr>
                <w:rFonts w:ascii="Calibri" w:cs="Calibri" w:eastAsia="Calibri" w:hAnsi="Calibri"/>
                <w:b/>
                <w:bCs/>
                <w:color w:val="1B1733"/>
                <w:sz w:val="20"/>
                <w:szCs w:val="20"/>
              </w:rPr>
              <w:t xml:space="preserve">Book the FCA support session</w:t>
            </w:r>
          </w:p>
        </w:tc>
        <w:tc>
          <w:tcPr>
            <w:tcW w:type="dxa" w:w="8330"/>
            <w:shd w:fill="F7F5FC" w:val="clear"/>
            <w:tcMar>
              <w:top w:type="dxa" w:w="110"/>
              <w:left w:type="dxa" w:w="190"/>
              <w:bottom w:type="dxa" w:w="110"/>
              <w:right w:type="dxa" w:w="190"/>
            </w:tcMar>
            <w:vAlign w:val="top"/>
          </w:tcPr>
          <w:p>
            <w:pPr>
              <w:spacing w:after="0" w:before="0" w:line="264"/>
            </w:pPr>
            <w:r>
              <w:rPr>
                <w:rFonts w:ascii="Calibri" w:cs="Calibri" w:eastAsia="Calibri" w:hAnsi="Calibri"/>
                <w:color w:val="2A2447"/>
                <w:sz w:val="19"/>
                <w:szCs w:val="19"/>
              </w:rPr>
              <w:t xml:space="preserve">Sessions run 14–25 September on Teams. Take the run-through with the presenters who will actually present.</w:t>
            </w:r>
          </w:p>
        </w:tc>
      </w:tr>
    </w:tbl>
    <w:sectPr>
      <w:headerReference w:type="first" r:id="rId7"/>
      <w:footerReference w:type="default" r:id="rId8"/>
      <w:footerReference w:type="first" r:id="rId9"/>
      <w:pgSz w:w="16838" w:h="11906" w:orient="landscape"/>
      <w:pgMar w:top="760" w:right="850" w:bottom="700" w:left="850" w:header="420" w:footer="3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E4" w:sz="3" w:space="6"/>
      </w:pBdr>
      <w:tabs>
        <w:tab w:val="right" w:pos="15130"/>
      </w:tabs>
      <w:spacing w:after="0" w:before="0"/>
    </w:pPr>
    <w:r>
      <w:rPr>
        <w:rFonts w:ascii="Calibri" w:cs="Calibri" w:eastAsia="Calibri" w:hAnsi="Calibri"/>
        <w:b/>
        <w:bCs/>
        <w:color w:val="5A4A96"/>
        <w:sz w:val="15"/>
        <w:szCs w:val="15"/>
      </w:rPr>
      <w:t xml:space="preserve">BYOND Asia</w:t>
    </w:r>
    <w:r>
      <w:rPr>
        <w:rFonts w:ascii="Calibri" w:cs="Calibri" w:eastAsia="Calibri" w:hAnsi="Calibri"/>
        <w:color w:val="6B6880"/>
        <w:sz w:val="15"/>
        <w:szCs w:val="15"/>
      </w:rPr>
      <w:t xml:space="preserve">  ·  AUREN powered by HoloMe  ·  IOSCO TechSprint 2026</w:t>
    </w:r>
    <w:r>
      <w:rPr>
        <w:sz w:val="15"/>
        <w:szCs w:val="15"/>
      </w:rPr>
      <w:t xml:space="preserve">	</w:t>
    </w:r>
    <w:r>
      <w:rPr>
        <w:rFonts w:ascii="Calibri" w:cs="Calibri" w:eastAsia="Calibri" w:hAnsi="Calibri"/>
        <w:color w:val="6B68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447"/>
        <w:sz w:val="21"/>
        <w:szCs w:val="21"/>
      </w:rPr>
    </w:rPrDefault>
    <w:pPrDefault>
      <w:pPr>
        <w:spacing w:after="11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AUREN — IOSCO TechSprint Demo Day presentation</dc:title>
  <dc:creator>BYOND Asia</dc:creator>
  <dc:description>Presented by BYOND Asia. AUREN is powered by HoloMe.</dc:description>
  <cp:lastModifiedBy>Un-named</cp:lastModifiedBy>
  <cp:revision>1</cp:revision>
  <dcterms:created xsi:type="dcterms:W3CDTF">2026-09-05T05:58:41.663Z</dcterms:created>
  <dcterms:modified xsi:type="dcterms:W3CDTF">2026-09-05T05:58:41.686Z</dcterms:modified>
</cp:coreProperties>
</file>

<file path=docProps/custom.xml><?xml version="1.0" encoding="utf-8"?>
<Properties xmlns="http://schemas.openxmlformats.org/officeDocument/2006/custom-properties" xmlns:vt="http://schemas.openxmlformats.org/officeDocument/2006/docPropsVTypes"/>
</file>