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b/>
          <w:bCs/>
          <w:color w:val="6B5BB5"/>
          <w:spacing w:val="40"/>
          <w:sz w:val="18"/>
          <w:szCs w:val="18"/>
        </w:rPr>
        <w:t xml:space="preserve">BYOND ASIA  ·  SOLUTION PAPER  ·  v1.0</w:t>
      </w:r>
    </w:p>
    <w:p>
      <w:pPr>
        <w:spacing w:after="140"/>
      </w:pPr>
      <w:r>
        <w:rPr>
          <w:b/>
          <w:bCs/>
          <w:color w:val="16233A"/>
          <w:sz w:val="56"/>
          <w:szCs w:val="56"/>
        </w:rPr>
        <w:t xml:space="preserve">The Governed Interview Engine</w:t>
      </w:r>
    </w:p>
    <w:p>
      <w:pPr>
        <w:spacing w:after="60"/>
      </w:pPr>
      <w:r>
        <w:rPr>
          <w:color w:val="44546A"/>
          <w:sz w:val="28"/>
          <w:szCs w:val="28"/>
        </w:rPr>
        <w:t xml:space="preserve">One primitive, two layers, three verticals.</w:t>
      </w:r>
    </w:p>
    <w:p>
      <w:pPr>
        <w:spacing w:after="700"/>
      </w:pPr>
      <w:r>
        <w:rPr>
          <w:color w:val="44546A"/>
          <w:sz w:val="24"/>
          <w:szCs w:val="24"/>
        </w:rPr>
        <w:t xml:space="preserve">AUREN  ·  Project Pioneer (PDRM)  ·  Beauty Intelligence</w:t>
      </w:r>
    </w:p>
    <w:p>
      <w:pPr>
        <w:pBdr>
          <w:bottom w:val="single" w:color="C9CEDA" w:sz="6" w:space="4"/>
        </w:pBdr>
        <w:spacing w:after="200" w:before="60"/>
      </w:pPr>
    </w:p>
    <w:p>
      <w:pPr>
        <w:spacing w:after="300" w:before="0" w:line="276"/>
      </w:pPr>
      <w:r>
        <w:rPr>
          <w:sz w:val="21"/>
          <w:szCs w:val="21"/>
        </w:rPr>
        <w:t xml:space="preserve">What this is, what was built, how to use it, what it is worth, and what has to be decided next. </w:t>
      </w:r>
      <w:r>
        <w:rPr>
          <w:b/>
          <w:bCs/>
          <w:sz w:val="21"/>
          <w:szCs w:val="21"/>
        </w:rPr>
        <w:t xml:space="preserve">This paper describes running code, not a proposal. Every claim in Parts II–IV is demonstrable in a browser today.</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200"/>
        <w:gridCol w:w="6820"/>
      </w:tblGrid>
      <w:tr>
        <w:trPr>
          <w:tblHeader/>
        </w:trPr>
        <w:tc>
          <w:tcPr>
            <w:tcW w:type="dxa" w:w="2200"/>
            <w:shd w:fill="EDEFF4" w:val="clear"/>
            <w:tcMar>
              <w:top w:type="dxa" w:w="70"/>
              <w:left w:type="dxa" w:w="110"/>
              <w:bottom w:type="dxa" w:w="70"/>
              <w:right w:type="dxa" w:w="110"/>
            </w:tcMar>
            <w:vAlign w:val="top"/>
          </w:tcPr>
          <w:p>
            <w:pPr>
              <w:spacing w:after="0" w:line="250"/>
            </w:pPr>
            <w:r>
              <w:rPr>
                <w:b/>
                <w:bCs/>
                <w:color w:val="16233A"/>
                <w:sz w:val="18"/>
                <w:szCs w:val="18"/>
              </w:rPr>
              <w:t xml:space="preserve"/>
            </w:r>
          </w:p>
        </w:tc>
        <w:tc>
          <w:tcPr>
            <w:tcW w:type="dxa" w:w="6820"/>
            <w:shd w:fill="EDEFF4" w:val="clear"/>
            <w:tcMar>
              <w:top w:type="dxa" w:w="70"/>
              <w:left w:type="dxa" w:w="110"/>
              <w:bottom w:type="dxa" w:w="70"/>
              <w:right w:type="dxa" w:w="110"/>
            </w:tcMar>
            <w:vAlign w:val="top"/>
          </w:tcPr>
          <w:p>
            <w:pPr>
              <w:spacing w:after="0" w:line="250"/>
            </w:pPr>
            <w:r>
              <w:rPr>
                <w:b/>
                <w:bCs/>
                <w:color w:val="16233A"/>
                <w:sz w:val="18"/>
                <w:szCs w:val="18"/>
              </w:rPr>
              <w:t xml:space="preserve"/>
            </w:r>
          </w:p>
        </w:tc>
      </w:tr>
      <w:tr>
        <w:tc>
          <w:tcPr>
            <w:tcW w:type="dxa" w:w="2200"/>
            <w:shd w:fill="FFFFFF" w:val="clear"/>
            <w:tcMar>
              <w:top w:type="dxa" w:w="70"/>
              <w:left w:type="dxa" w:w="110"/>
              <w:bottom w:type="dxa" w:w="70"/>
              <w:right w:type="dxa" w:w="110"/>
            </w:tcMar>
            <w:vAlign w:val="top"/>
          </w:tcPr>
          <w:p>
            <w:pPr>
              <w:spacing w:after="0" w:line="250"/>
            </w:pPr>
            <w:r>
              <w:rPr>
                <w:b/>
                <w:bCs/>
                <w:color w:val="1F2430"/>
                <w:sz w:val="19"/>
                <w:szCs w:val="19"/>
              </w:rPr>
              <w:t xml:space="preserve">Document</w:t>
            </w:r>
          </w:p>
        </w:tc>
        <w:tc>
          <w:tcPr>
            <w:tcW w:type="dxa" w:w="6820"/>
            <w:shd w:fill="FFFFFF" w:val="clear"/>
            <w:tcMar>
              <w:top w:type="dxa" w:w="70"/>
              <w:left w:type="dxa" w:w="110"/>
              <w:bottom w:type="dxa" w:w="70"/>
              <w:right w:type="dxa" w:w="110"/>
            </w:tcMar>
            <w:vAlign w:val="top"/>
          </w:tcPr>
          <w:p>
            <w:pPr>
              <w:spacing w:after="0" w:line="250"/>
            </w:pPr>
            <w:r>
              <w:rPr>
                <w:color w:val="1F2430"/>
                <w:sz w:val="19"/>
                <w:szCs w:val="19"/>
              </w:rPr>
              <w:t xml:space="preserve">The Governed Interview Engine — solution paper v1.0</w:t>
            </w:r>
          </w:p>
        </w:tc>
      </w:tr>
      <w:tr>
        <w:tc>
          <w:tcPr>
            <w:tcW w:type="dxa" w:w="2200"/>
            <w:shd w:fill="F7F8FB" w:val="clear"/>
            <w:tcMar>
              <w:top w:type="dxa" w:w="70"/>
              <w:left w:type="dxa" w:w="110"/>
              <w:bottom w:type="dxa" w:w="70"/>
              <w:right w:type="dxa" w:w="110"/>
            </w:tcMar>
            <w:vAlign w:val="top"/>
          </w:tcPr>
          <w:p>
            <w:pPr>
              <w:spacing w:after="0" w:line="250"/>
            </w:pPr>
            <w:r>
              <w:rPr>
                <w:b/>
                <w:bCs/>
                <w:color w:val="1F2430"/>
                <w:sz w:val="19"/>
                <w:szCs w:val="19"/>
              </w:rPr>
              <w:t xml:space="preserve">Prepared for</w:t>
            </w:r>
          </w:p>
        </w:tc>
        <w:tc>
          <w:tcPr>
            <w:tcW w:type="dxa" w:w="6820"/>
            <w:shd w:fill="F7F8FB" w:val="clear"/>
            <w:tcMar>
              <w:top w:type="dxa" w:w="70"/>
              <w:left w:type="dxa" w:w="110"/>
              <w:bottom w:type="dxa" w:w="70"/>
              <w:right w:type="dxa" w:w="110"/>
            </w:tcMar>
            <w:vAlign w:val="top"/>
          </w:tcPr>
          <w:p>
            <w:pPr>
              <w:spacing w:after="0" w:line="250"/>
            </w:pPr>
            <w:r>
              <w:rPr>
                <w:color w:val="1F2430"/>
                <w:sz w:val="19"/>
                <w:szCs w:val="19"/>
              </w:rPr>
              <w:t xml:space="preserve">Fred Chong · BYOND Asia</w:t>
            </w:r>
          </w:p>
        </w:tc>
      </w:tr>
      <w:tr>
        <w:tc>
          <w:tcPr>
            <w:tcW w:type="dxa" w:w="2200"/>
            <w:shd w:fill="FFFFFF" w:val="clear"/>
            <w:tcMar>
              <w:top w:type="dxa" w:w="70"/>
              <w:left w:type="dxa" w:w="110"/>
              <w:bottom w:type="dxa" w:w="70"/>
              <w:right w:type="dxa" w:w="110"/>
            </w:tcMar>
            <w:vAlign w:val="top"/>
          </w:tcPr>
          <w:p>
            <w:pPr>
              <w:spacing w:after="0" w:line="250"/>
            </w:pPr>
            <w:r>
              <w:rPr>
                <w:b/>
                <w:bCs/>
                <w:color w:val="1F2430"/>
                <w:sz w:val="19"/>
                <w:szCs w:val="19"/>
              </w:rPr>
              <w:t xml:space="preserve">Date</w:t>
            </w:r>
          </w:p>
        </w:tc>
        <w:tc>
          <w:tcPr>
            <w:tcW w:type="dxa" w:w="6820"/>
            <w:shd w:fill="FFFFFF" w:val="clear"/>
            <w:tcMar>
              <w:top w:type="dxa" w:w="70"/>
              <w:left w:type="dxa" w:w="110"/>
              <w:bottom w:type="dxa" w:w="70"/>
              <w:right w:type="dxa" w:w="110"/>
            </w:tcMar>
            <w:vAlign w:val="top"/>
          </w:tcPr>
          <w:p>
            <w:pPr>
              <w:spacing w:after="0" w:line="250"/>
            </w:pPr>
            <w:r>
              <w:rPr>
                <w:color w:val="1F2430"/>
                <w:sz w:val="19"/>
                <w:szCs w:val="19"/>
              </w:rPr>
              <w:t xml:space="preserve">29 August 2026</w:t>
            </w:r>
          </w:p>
        </w:tc>
      </w:tr>
      <w:tr>
        <w:tc>
          <w:tcPr>
            <w:tcW w:type="dxa" w:w="2200"/>
            <w:shd w:fill="F7F8FB" w:val="clear"/>
            <w:tcMar>
              <w:top w:type="dxa" w:w="70"/>
              <w:left w:type="dxa" w:w="110"/>
              <w:bottom w:type="dxa" w:w="70"/>
              <w:right w:type="dxa" w:w="110"/>
            </w:tcMar>
            <w:vAlign w:val="top"/>
          </w:tcPr>
          <w:p>
            <w:pPr>
              <w:spacing w:after="0" w:line="250"/>
            </w:pPr>
            <w:r>
              <w:rPr>
                <w:b/>
                <w:bCs/>
                <w:color w:val="1F2430"/>
                <w:sz w:val="19"/>
                <w:szCs w:val="19"/>
              </w:rPr>
              <w:t xml:space="preserve">Status</w:t>
            </w:r>
          </w:p>
        </w:tc>
        <w:tc>
          <w:tcPr>
            <w:tcW w:type="dxa" w:w="6820"/>
            <w:shd w:fill="F7F8FB" w:val="clear"/>
            <w:tcMar>
              <w:top w:type="dxa" w:w="70"/>
              <w:left w:type="dxa" w:w="110"/>
              <w:bottom w:type="dxa" w:w="70"/>
              <w:right w:type="dxa" w:w="110"/>
            </w:tcMar>
            <w:vAlign w:val="top"/>
          </w:tcPr>
          <w:p>
            <w:pPr>
              <w:spacing w:after="0" w:line="250"/>
            </w:pPr>
            <w:r>
              <w:rPr>
                <w:color w:val="1F2430"/>
                <w:sz w:val="19"/>
                <w:szCs w:val="19"/>
              </w:rPr>
              <w:t xml:space="preserve">Built and pushed. Two working prototypes, two application routes.</w:t>
            </w:r>
          </w:p>
        </w:tc>
      </w:tr>
      <w:tr>
        <w:tc>
          <w:tcPr>
            <w:tcW w:type="dxa" w:w="2200"/>
            <w:shd w:fill="FFFFFF" w:val="clear"/>
            <w:tcMar>
              <w:top w:type="dxa" w:w="70"/>
              <w:left w:type="dxa" w:w="110"/>
              <w:bottom w:type="dxa" w:w="70"/>
              <w:right w:type="dxa" w:w="110"/>
            </w:tcMar>
            <w:vAlign w:val="top"/>
          </w:tcPr>
          <w:p>
            <w:pPr>
              <w:spacing w:after="0" w:line="250"/>
            </w:pPr>
            <w:r>
              <w:rPr>
                <w:b/>
                <w:bCs/>
                <w:color w:val="1F2430"/>
                <w:sz w:val="19"/>
                <w:szCs w:val="19"/>
              </w:rPr>
              <w:t xml:space="preserve">Repository</w:t>
            </w:r>
          </w:p>
        </w:tc>
        <w:tc>
          <w:tcPr>
            <w:tcW w:type="dxa" w:w="6820"/>
            <w:shd w:fill="FFFFFF"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dengar · branch claude/ui-ux-ordering-study-e4phmm</w:t>
            </w:r>
          </w:p>
        </w:tc>
      </w:tr>
      <w:tr>
        <w:tc>
          <w:tcPr>
            <w:tcW w:type="dxa" w:w="2200"/>
            <w:shd w:fill="F7F8FB" w:val="clear"/>
            <w:tcMar>
              <w:top w:type="dxa" w:w="70"/>
              <w:left w:type="dxa" w:w="110"/>
              <w:bottom w:type="dxa" w:w="70"/>
              <w:right w:type="dxa" w:w="110"/>
            </w:tcMar>
            <w:vAlign w:val="top"/>
          </w:tcPr>
          <w:p>
            <w:pPr>
              <w:spacing w:after="0" w:line="250"/>
            </w:pPr>
            <w:r>
              <w:rPr>
                <w:b/>
                <w:bCs/>
                <w:color w:val="1F2430"/>
                <w:sz w:val="19"/>
                <w:szCs w:val="19"/>
              </w:rPr>
              <w:t xml:space="preserve">Source papers</w:t>
            </w:r>
          </w:p>
        </w:tc>
        <w:tc>
          <w:tcPr>
            <w:tcW w:type="dxa" w:w="6820"/>
            <w:shd w:fill="F7F8FB" w:val="clear"/>
            <w:tcMar>
              <w:top w:type="dxa" w:w="70"/>
              <w:left w:type="dxa" w:w="110"/>
              <w:bottom w:type="dxa" w:w="70"/>
              <w:right w:type="dxa" w:w="110"/>
            </w:tcMar>
            <w:vAlign w:val="top"/>
          </w:tcPr>
          <w:p>
            <w:pPr>
              <w:spacing w:after="0" w:line="250"/>
            </w:pPr>
            <w:r>
              <w:rPr>
                <w:color w:val="1F2430"/>
                <w:sz w:val="19"/>
                <w:szCs w:val="19"/>
              </w:rPr>
              <w:t xml:space="preserve">AUREN Paper III v1.1 · AUREN Paper IV v1.0 · Pioneer Paper III v1.0 · Pioneer Paper IV v1.0 (KB Spec) · Beauty Intelligence solution paper</w:t>
            </w:r>
          </w:p>
        </w:tc>
      </w:tr>
      <w:tr>
        <w:tc>
          <w:tcPr>
            <w:tcW w:type="dxa" w:w="2200"/>
            <w:shd w:fill="FFFFFF" w:val="clear"/>
            <w:tcMar>
              <w:top w:type="dxa" w:w="70"/>
              <w:left w:type="dxa" w:w="110"/>
              <w:bottom w:type="dxa" w:w="70"/>
              <w:right w:type="dxa" w:w="110"/>
            </w:tcMar>
            <w:vAlign w:val="top"/>
          </w:tcPr>
          <w:p>
            <w:pPr>
              <w:spacing w:after="0" w:line="250"/>
            </w:pPr>
            <w:r>
              <w:rPr>
                <w:b/>
                <w:bCs/>
                <w:color w:val="1F2430"/>
                <w:sz w:val="19"/>
                <w:szCs w:val="19"/>
              </w:rPr>
              <w:t xml:space="preserve">Precedence</w:t>
            </w:r>
          </w:p>
        </w:tc>
        <w:tc>
          <w:tcPr>
            <w:tcW w:type="dxa" w:w="6820"/>
            <w:shd w:fill="FFFFFF" w:val="clear"/>
            <w:tcMar>
              <w:top w:type="dxa" w:w="70"/>
              <w:left w:type="dxa" w:w="110"/>
              <w:bottom w:type="dxa" w:w="70"/>
              <w:right w:type="dxa" w:w="110"/>
            </w:tcMar>
            <w:vAlign w:val="top"/>
          </w:tcPr>
          <w:p>
            <w:pPr>
              <w:spacing w:after="0" w:line="250"/>
            </w:pPr>
            <w:r>
              <w:rPr>
                <w:color w:val="1F2430"/>
                <w:sz w:val="19"/>
                <w:szCs w:val="19"/>
              </w:rPr>
              <w:t xml:space="preserve">Where this paper and a source paper conflict, the source paper prevails.</w:t>
            </w:r>
          </w:p>
        </w:tc>
      </w:tr>
      <w:tr>
        <w:tc>
          <w:tcPr>
            <w:tcW w:type="dxa" w:w="2200"/>
            <w:shd w:fill="F7F8FB" w:val="clear"/>
            <w:tcMar>
              <w:top w:type="dxa" w:w="70"/>
              <w:left w:type="dxa" w:w="110"/>
              <w:bottom w:type="dxa" w:w="70"/>
              <w:right w:type="dxa" w:w="110"/>
            </w:tcMar>
            <w:vAlign w:val="top"/>
          </w:tcPr>
          <w:p>
            <w:pPr>
              <w:spacing w:after="0" w:line="250"/>
            </w:pPr>
            <w:r>
              <w:rPr>
                <w:b/>
                <w:bCs/>
                <w:color w:val="1F2430"/>
                <w:sz w:val="19"/>
                <w:szCs w:val="19"/>
              </w:rPr>
              <w:t xml:space="preserve">Classification</w:t>
            </w:r>
          </w:p>
        </w:tc>
        <w:tc>
          <w:tcPr>
            <w:tcW w:type="dxa" w:w="6820"/>
            <w:shd w:fill="F7F8FB" w:val="clear"/>
            <w:tcMar>
              <w:top w:type="dxa" w:w="70"/>
              <w:left w:type="dxa" w:w="110"/>
              <w:bottom w:type="dxa" w:w="70"/>
              <w:right w:type="dxa" w:w="110"/>
            </w:tcMar>
            <w:vAlign w:val="top"/>
          </w:tcPr>
          <w:p>
            <w:pPr>
              <w:spacing w:after="0" w:line="250"/>
            </w:pPr>
            <w:r>
              <w:rPr>
                <w:color w:val="1F2430"/>
                <w:sz w:val="19"/>
                <w:szCs w:val="19"/>
              </w:rPr>
              <w:t xml:space="preserve">Internal · commercially sensitive</w:t>
            </w:r>
          </w:p>
        </w:tc>
      </w:tr>
    </w:tbl>
    <w:p>
      <w:pPr>
        <w:pageBreakBefore/>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Executive summary</w:t>
      </w:r>
    </w:p>
    <w:p>
      <w:pPr>
        <w:spacing w:after="140" w:before="0" w:line="276"/>
      </w:pPr>
      <w:r>
        <w:rPr>
          <w:b/>
          <w:bCs/>
          <w:color w:val="16233A"/>
          <w:sz w:val="21"/>
          <w:szCs w:val="21"/>
        </w:rPr>
        <w:t xml:space="preserve">The insight. </w:t>
      </w:r>
      <w:r>
        <w:rPr>
          <w:sz w:val="21"/>
          <w:szCs w:val="21"/>
        </w:rPr>
        <w:t xml:space="preserve">Three programmes written by three different teams for three unrelated industries — scam resistance for retail investors, police report-taking for PDRM, and beauty advisory for a global cosmetics group — independently arrived at the same architecture. Not a similar one. The same one: a governed interview that runs free narrative first, loops until a declared set of elements is complete, sweeps systematically for what was not volunteered, binds every determination to the subject's own words, and hands a human the decision. The three papers use different vocabulary for identical objects. That is not a coincidence to admire; it is a platform sitting in plain sight.</w:t>
      </w:r>
    </w:p>
    <w:p>
      <w:pPr>
        <w:spacing w:after="140" w:before="0" w:line="276"/>
      </w:pPr>
      <w:r>
        <w:rPr>
          <w:b/>
          <w:bCs/>
          <w:color w:val="16233A"/>
          <w:sz w:val="21"/>
          <w:szCs w:val="21"/>
        </w:rPr>
        <w:t xml:space="preserve">The implication. </w:t>
      </w:r>
      <w:r>
        <w:rPr>
          <w:sz w:val="21"/>
          <w:szCs w:val="21"/>
        </w:rPr>
        <w:t xml:space="preserve">BYOND is not building three products. It is building one engine and three knowledge packs. That converts the hardest question in the business — “can we deliver a second vertical without a second engineering team?” — from an invention problem into a reconciliation problem. Reconciliation is bounded work. It has been done, and it is in this repository.</w:t>
      </w:r>
    </w:p>
    <w:p>
      <w:pPr>
        <w:spacing w:after="140" w:before="0" w:line="276"/>
      </w:pPr>
      <w:r>
        <w:rPr>
          <w:b/>
          <w:bCs/>
          <w:color w:val="16233A"/>
          <w:sz w:val="21"/>
          <w:szCs w:val="21"/>
        </w:rPr>
        <w:t xml:space="preserve">The action. </w:t>
      </w:r>
      <w:r>
        <w:rPr>
          <w:sz w:val="21"/>
          <w:szCs w:val="21"/>
        </w:rPr>
        <w:t xml:space="preserve">Two things were built. A learner-facing runtime (AUREN, in four languages, voice-first, avatar-led) that proves the engine in front of a regulator. And a governance console (Knowledge Authority) that proves the engine is controllable — the screen that turns a demo into a procurement conversation. What remains before this is a product line rather than a demonstration is the object editor and an ingestion path. Both are specified in Part VII; neither is speculative.</w:t>
      </w:r>
    </w:p>
    <w:p>
      <w:pPr>
        <w:pStyle w:val="Heading2"/>
      </w:pPr>
      <w:r>
        <w:t xml:space="preserve">What exists right now</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100"/>
        <w:gridCol w:w="4900"/>
        <w:gridCol w:w="2020"/>
      </w:tblGrid>
      <w:tr>
        <w:trPr>
          <w:tblHeader/>
        </w:trPr>
        <w:tc>
          <w:tcPr>
            <w:tcW w:type="dxa" w:w="2100"/>
            <w:shd w:fill="EDEFF4" w:val="clear"/>
            <w:tcMar>
              <w:top w:type="dxa" w:w="70"/>
              <w:left w:type="dxa" w:w="110"/>
              <w:bottom w:type="dxa" w:w="70"/>
              <w:right w:type="dxa" w:w="110"/>
            </w:tcMar>
            <w:vAlign w:val="top"/>
          </w:tcPr>
          <w:p>
            <w:pPr>
              <w:spacing w:after="0" w:line="250"/>
            </w:pPr>
            <w:r>
              <w:rPr>
                <w:b/>
                <w:bCs/>
                <w:color w:val="16233A"/>
                <w:sz w:val="18"/>
                <w:szCs w:val="18"/>
              </w:rPr>
              <w:t xml:space="preserve">Artefact</w:t>
            </w:r>
          </w:p>
        </w:tc>
        <w:tc>
          <w:tcPr>
            <w:tcW w:type="dxa" w:w="4900"/>
            <w:shd w:fill="EDEFF4" w:val="clear"/>
            <w:tcMar>
              <w:top w:type="dxa" w:w="70"/>
              <w:left w:type="dxa" w:w="110"/>
              <w:bottom w:type="dxa" w:w="70"/>
              <w:right w:type="dxa" w:w="110"/>
            </w:tcMar>
            <w:vAlign w:val="top"/>
          </w:tcPr>
          <w:p>
            <w:pPr>
              <w:spacing w:after="0" w:line="250"/>
            </w:pPr>
            <w:r>
              <w:rPr>
                <w:b/>
                <w:bCs/>
                <w:color w:val="16233A"/>
                <w:sz w:val="18"/>
                <w:szCs w:val="18"/>
              </w:rPr>
              <w:t xml:space="preserve">What it is</w:t>
            </w:r>
          </w:p>
        </w:tc>
        <w:tc>
          <w:tcPr>
            <w:tcW w:type="dxa" w:w="2020"/>
            <w:shd w:fill="EDEFF4" w:val="clear"/>
            <w:tcMar>
              <w:top w:type="dxa" w:w="70"/>
              <w:left w:type="dxa" w:w="110"/>
              <w:bottom w:type="dxa" w:w="70"/>
              <w:right w:type="dxa" w:w="110"/>
            </w:tcMar>
            <w:vAlign w:val="top"/>
          </w:tcPr>
          <w:p>
            <w:pPr>
              <w:spacing w:after="0" w:line="250"/>
            </w:pPr>
            <w:r>
              <w:rPr>
                <w:b/>
                <w:bCs/>
                <w:color w:val="16233A"/>
                <w:sz w:val="18"/>
                <w:szCs w:val="18"/>
              </w:rPr>
              <w:t xml:space="preserve">Where</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AUREN rehearsal prototype</w:t>
            </w:r>
          </w:p>
        </w:tc>
        <w:tc>
          <w:tcPr>
            <w:tcW w:type="dxa" w:w="4900"/>
            <w:shd w:fill="FFFFFF" w:val="clear"/>
            <w:tcMar>
              <w:top w:type="dxa" w:w="70"/>
              <w:left w:type="dxa" w:w="110"/>
              <w:bottom w:type="dxa" w:w="70"/>
              <w:right w:type="dxa" w:w="110"/>
            </w:tcMar>
            <w:vAlign w:val="top"/>
          </w:tcPr>
          <w:p>
            <w:pPr>
              <w:spacing w:after="0" w:line="250"/>
            </w:pPr>
            <w:r>
              <w:rPr>
                <w:color w:val="1F2430"/>
                <w:sz w:val="19"/>
                <w:szCs w:val="19"/>
              </w:rPr>
              <w:t xml:space="preserve">The complete learner loop. Voice in, voice out, digital-human stage, live engine panel. Four languages including voice. No key, no server, opens on a phone.</w:t>
            </w:r>
          </w:p>
        </w:tc>
        <w:tc>
          <w:tcPr>
            <w:tcW w:type="dxa" w:w="2020"/>
            <w:shd w:fill="FFFFFF"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/prototypes/auren-rehearsal.html</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Knowledge Authority prototype</w:t>
            </w:r>
          </w:p>
        </w:tc>
        <w:tc>
          <w:tcPr>
            <w:tcW w:type="dxa" w:w="4900"/>
            <w:shd w:fill="F7F8FB" w:val="clear"/>
            <w:tcMar>
              <w:top w:type="dxa" w:w="70"/>
              <w:left w:type="dxa" w:w="110"/>
              <w:bottom w:type="dxa" w:w="70"/>
              <w:right w:type="dxa" w:w="110"/>
            </w:tcMar>
            <w:vAlign w:val="top"/>
          </w:tcPr>
          <w:p>
            <w:pPr>
              <w:spacing w:after="0" w:line="250"/>
            </w:pPr>
            <w:r>
              <w:rPr>
                <w:color w:val="1F2430"/>
                <w:sz w:val="19"/>
                <w:szCs w:val="19"/>
              </w:rPr>
              <w:t xml:space="preserve">The governance console. Sign in, vertical, object library, lifecycle, publish gate, release ledger, rollback. Runs the real libraries.</w:t>
            </w:r>
          </w:p>
        </w:tc>
        <w:tc>
          <w:tcPr>
            <w:tcW w:type="dxa" w:w="2020"/>
            <w:shd w:fill="F7F8FB"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/prototypes/knowledge-authority.html</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AUREN application route</w:t>
            </w:r>
          </w:p>
        </w:tc>
        <w:tc>
          <w:tcPr>
            <w:tcW w:type="dxa" w:w="4900"/>
            <w:shd w:fill="FFFFFF" w:val="clear"/>
            <w:tcMar>
              <w:top w:type="dxa" w:w="70"/>
              <w:left w:type="dxa" w:w="110"/>
              <w:bottom w:type="dxa" w:w="70"/>
              <w:right w:type="dxa" w:w="110"/>
            </w:tcMar>
            <w:vAlign w:val="top"/>
          </w:tcPr>
          <w:p>
            <w:pPr>
              <w:spacing w:after="0" w:line="250"/>
            </w:pPr>
            <w:r>
              <w:rPr>
                <w:color w:val="1F2430"/>
                <w:sz w:val="19"/>
                <w:szCs w:val="19"/>
              </w:rPr>
              <w:t xml:space="preserve">The React build inside the product, on the corrected ordering, over the existing Klleon avatar runtime.</w:t>
            </w:r>
          </w:p>
        </w:tc>
        <w:tc>
          <w:tcPr>
            <w:tcW w:type="dxa" w:w="2020"/>
            <w:shd w:fill="FFFFFF"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/auren</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Console application route</w:t>
            </w:r>
          </w:p>
        </w:tc>
        <w:tc>
          <w:tcPr>
            <w:tcW w:type="dxa" w:w="4900"/>
            <w:shd w:fill="F7F8FB" w:val="clear"/>
            <w:tcMar>
              <w:top w:type="dxa" w:w="70"/>
              <w:left w:type="dxa" w:w="110"/>
              <w:bottom w:type="dxa" w:w="70"/>
              <w:right w:type="dxa" w:w="110"/>
            </w:tcMar>
            <w:vAlign w:val="top"/>
          </w:tcPr>
          <w:p>
            <w:pPr>
              <w:spacing w:after="0" w:line="250"/>
            </w:pPr>
            <w:r>
              <w:rPr>
                <w:color w:val="1F2430"/>
                <w:sz w:val="19"/>
                <w:szCs w:val="19"/>
              </w:rPr>
              <w:t xml:space="preserve">The React build of the console, sharing one compiled engine with the prototype.</w:t>
            </w:r>
          </w:p>
        </w:tc>
        <w:tc>
          <w:tcPr>
            <w:tcW w:type="dxa" w:w="2020"/>
            <w:shd w:fill="F7F8FB"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/console</w:t>
            </w:r>
          </w:p>
        </w:tc>
      </w:tr>
    </w:tbl>
    <w:p>
      <w:pPr>
        <w:spacing w:after="60"/>
      </w:pPr>
    </w:p>
    <w:p>
      <w:pPr>
        <w:spacing w:after="140" w:before="0" w:line="276"/>
      </w:pPr>
      <w:r>
        <w:rPr>
          <w:color w:val="44546A"/>
          <w:sz w:val="19"/>
          <w:szCs w:val="19"/>
        </w:rPr>
        <w:t xml:space="preserve">Open in a browser:  </w:t>
      </w:r>
      <w:hyperlink w:history="1" r:id="rIdh6uwqhsvtwpc39wtp3ho2">
        <w:r>
          <w:rPr>
            <w:color w:val="3B5BA5"/>
            <w:sz w:val="19"/>
            <w:szCs w:val="19"/>
            <w:u w:val="single"/>
          </w:rPr>
          <w:t xml:space="preserve">AUREN rehearsal prototype</w:t>
        </w:r>
      </w:hyperlink>
      <w:r>
        <w:rPr>
          <w:color w:val="44546A"/>
          <w:sz w:val="19"/>
          <w:szCs w:val="19"/>
        </w:rPr>
        <w:t xml:space="preserve">   ·   </w:t>
      </w:r>
      <w:hyperlink w:history="1" r:id="rIdt4w_ew0z8tpny1wzzqewx">
        <w:r>
          <w:rPr>
            <w:color w:val="3B5BA5"/>
            <w:sz w:val="19"/>
            <w:szCs w:val="19"/>
            <w:u w:val="single"/>
          </w:rPr>
          <w:t xml:space="preserve">Knowledge Authority console</w:t>
        </w:r>
      </w:hyperlink>
    </w:p>
    <w:p>
      <w:pPr>
        <w:pStyle w:val="Heading2"/>
      </w:pPr>
      <w:r>
        <w:t xml:space="preserve">The five claims this paper makes</w:t>
      </w:r>
    </w:p>
    <w:p>
      <w:pPr>
        <w:pStyle w:val="ListParagraph"/>
        <w:numPr>
          <w:ilvl w:val="0"/>
          <w:numId w:val="2"/>
        </w:numPr>
        <w:spacing w:after="90" w:line="268"/>
      </w:pPr>
      <w:r>
        <w:rPr>
          <w:color w:val="1F2430"/>
          <w:sz w:val="21"/>
          <w:szCs w:val="21"/>
        </w:rPr>
        <w:t xml:space="preserve">One engine serves a police force, a bank's investor-education programme and a beauty brand, because the primitive is identical and only the knowledge pack differs.</w:t>
      </w:r>
    </w:p>
    <w:p>
      <w:pPr>
        <w:pStyle w:val="ListParagraph"/>
        <w:numPr>
          <w:ilvl w:val="0"/>
          <w:numId w:val="2"/>
        </w:numPr>
        <w:spacing w:after="90" w:line="268"/>
      </w:pPr>
      <w:r>
        <w:rPr>
          <w:color w:val="1F2430"/>
          <w:sz w:val="21"/>
          <w:szCs w:val="21"/>
        </w:rPr>
        <w:t xml:space="preserve">The model never authors governed content at runtime. It orchestrates approved objects. This is the single design decision that makes the platform sellable into regulated procurement.</w:t>
      </w:r>
    </w:p>
    <w:p>
      <w:pPr>
        <w:pStyle w:val="ListParagraph"/>
        <w:numPr>
          <w:ilvl w:val="0"/>
          <w:numId w:val="2"/>
        </w:numPr>
        <w:spacing w:after="90" w:line="268"/>
      </w:pPr>
      <w:r>
        <w:rPr>
          <w:color w:val="1F2430"/>
          <w:sz w:val="21"/>
          <w:szCs w:val="21"/>
        </w:rPr>
        <w:t xml:space="preserve">Publication is gated by ten mechanical tests, seven of which block release outright, with no waive path — not for the client and not for BYOND.</w:t>
      </w:r>
    </w:p>
    <w:p>
      <w:pPr>
        <w:pStyle w:val="ListParagraph"/>
        <w:numPr>
          <w:ilvl w:val="0"/>
          <w:numId w:val="2"/>
        </w:numPr>
        <w:spacing w:after="90" w:line="268"/>
      </w:pPr>
      <w:r>
        <w:rPr>
          <w:color w:val="1F2430"/>
          <w:sz w:val="21"/>
          <w:szCs w:val="21"/>
        </w:rPr>
        <w:t xml:space="preserve">The gate was run against the AUREN library already running in a demo and it blocked it, on a real defect that nothing else had surfaced. A gate that has never blocked anything is decoration.</w:t>
      </w:r>
    </w:p>
    <w:p>
      <w:pPr>
        <w:pStyle w:val="ListParagraph"/>
        <w:numPr>
          <w:ilvl w:val="0"/>
          <w:numId w:val="2"/>
        </w:numPr>
        <w:spacing w:after="90" w:line="268"/>
      </w:pPr>
      <w:r>
        <w:rPr>
          <w:color w:val="1F2430"/>
          <w:sz w:val="21"/>
          <w:szCs w:val="21"/>
        </w:rPr>
        <w:t xml:space="preserve">A shared platform serving PDRM and L'Oréal shares no data estate. It shares a bundle of versioned text objects — the same class of artefact as a standard form.</w:t>
      </w:r>
    </w:p>
    <w:p>
      <w:pPr>
        <w:pBdr>
          <w:left w:val="single" w:color="6B5BB5" w:sz="18" w:space="8"/>
        </w:pBdr>
        <w:shd w:fill="F2EFFA" w:val="clear"/>
        <w:spacing w:after="180" w:before="160" w:line="276"/>
        <w:ind w:left="170" w:right="170"/>
      </w:pPr>
      <w:r>
        <w:rPr>
          <w:b/>
          <w:bCs/>
          <w:color w:val="6B5BB5"/>
          <w:sz w:val="16"/>
          <w:szCs w:val="16"/>
        </w:rPr>
        <w:t xml:space="preserve">POSITION  </w:t>
      </w:r>
      <w:r>
        <w:rPr>
          <w:i w:val="false"/>
          <w:iCs w:val="false"/>
          <w:color w:val="2A2140"/>
          <w:sz w:val="21"/>
          <w:szCs w:val="21"/>
        </w:rPr>
        <w:t xml:space="preserve">A dashboard cannot make expert legal work cheap. It can make it auditable and repeatable. Any pitch that implies otherwise will not survive the first delivery.</w:t>
      </w:r>
    </w:p>
    <w:p>
      <w:pPr>
        <w:pStyle w:val="Heading1"/>
        <w:pageBreakBefore/>
      </w:pPr>
      <w:r>
        <w:t xml:space="preserve">Part I — What this is</w:t>
      </w:r>
    </w:p>
    <w:p>
      <w:pPr>
        <w:pStyle w:val="Heading2"/>
      </w:pPr>
      <w:r>
        <w:t xml:space="preserve">1.1  The primitive</w:t>
      </w:r>
    </w:p>
    <w:p>
      <w:pPr>
        <w:spacing w:after="140" w:before="0" w:line="276"/>
      </w:pPr>
      <w:r>
        <w:rPr>
          <w:color w:val="1F2430"/>
          <w:sz w:val="21"/>
          <w:szCs w:val="21"/>
        </w:rPr>
        <w:t xml:space="preserve">Strip the branding from the three source papers and the same eight-step method is left standing in all of them.</w:t>
      </w:r>
    </w:p>
    <w:p>
      <w:pPr>
        <w:pStyle w:val="ListParagraph"/>
        <w:numPr>
          <w:ilvl w:val="0"/>
          <w:numId w:val="2"/>
        </w:numPr>
        <w:spacing w:after="90" w:line="268"/>
      </w:pPr>
      <w:r>
        <w:rPr>
          <w:color w:val="1F2430"/>
          <w:sz w:val="21"/>
          <w:szCs w:val="21"/>
        </w:rPr>
        <w:t xml:space="preserve">Open with free narrative. The subject speaks without structure, because structure imposed early destroys the evidence you came for.</w:t>
      </w:r>
    </w:p>
    <w:p>
      <w:pPr>
        <w:pStyle w:val="ListParagraph"/>
        <w:numPr>
          <w:ilvl w:val="0"/>
          <w:numId w:val="2"/>
        </w:numPr>
        <w:spacing w:after="90" w:line="268"/>
      </w:pPr>
      <w:r>
        <w:rPr>
          <w:color w:val="1F2430"/>
          <w:sz w:val="21"/>
          <w:szCs w:val="21"/>
        </w:rPr>
        <w:t xml:space="preserve">Extract against a declared element set. What the determination turns on is fixed in advance, by a human, and written down.</w:t>
      </w:r>
    </w:p>
    <w:p>
      <w:pPr>
        <w:pStyle w:val="ListParagraph"/>
        <w:numPr>
          <w:ilvl w:val="0"/>
          <w:numId w:val="2"/>
        </w:numPr>
        <w:spacing w:after="90" w:line="268"/>
      </w:pPr>
      <w:r>
        <w:rPr>
          <w:color w:val="1F2430"/>
          <w:sz w:val="21"/>
          <w:szCs w:val="21"/>
        </w:rPr>
        <w:t xml:space="preserve">Loop until complete. Ask only for what is still missing, in a governed form of words.</w:t>
      </w:r>
    </w:p>
    <w:p>
      <w:pPr>
        <w:pStyle w:val="ListParagraph"/>
        <w:numPr>
          <w:ilvl w:val="0"/>
          <w:numId w:val="2"/>
        </w:numPr>
        <w:spacing w:after="90" w:line="268"/>
      </w:pPr>
      <w:r>
        <w:rPr>
          <w:color w:val="1F2430"/>
          <w:sz w:val="21"/>
          <w:szCs w:val="21"/>
        </w:rPr>
        <w:t xml:space="preserve">Sweep systematically. The last pass covers what the subject never thought to volunteer — this is where most of the value is.</w:t>
      </w:r>
    </w:p>
    <w:p>
      <w:pPr>
        <w:pStyle w:val="ListParagraph"/>
        <w:numPr>
          <w:ilvl w:val="0"/>
          <w:numId w:val="2"/>
        </w:numPr>
        <w:spacing w:after="90" w:line="268"/>
      </w:pPr>
      <w:r>
        <w:rPr>
          <w:color w:val="1F2430"/>
          <w:sz w:val="21"/>
          <w:szCs w:val="21"/>
        </w:rPr>
        <w:t xml:space="preserve">Apply pressure only where doctrine allows it, and never improvised.</w:t>
      </w:r>
    </w:p>
    <w:p>
      <w:pPr>
        <w:pStyle w:val="ListParagraph"/>
        <w:numPr>
          <w:ilvl w:val="0"/>
          <w:numId w:val="2"/>
        </w:numPr>
        <w:spacing w:after="90" w:line="268"/>
      </w:pPr>
      <w:r>
        <w:rPr>
          <w:color w:val="1F2430"/>
          <w:sz w:val="21"/>
          <w:szCs w:val="21"/>
        </w:rPr>
        <w:t xml:space="preserve">Bind every determination verbatim to what the subject actually said.</w:t>
      </w:r>
    </w:p>
    <w:p>
      <w:pPr>
        <w:pStyle w:val="ListParagraph"/>
        <w:numPr>
          <w:ilvl w:val="0"/>
          <w:numId w:val="2"/>
        </w:numPr>
        <w:spacing w:after="90" w:line="268"/>
      </w:pPr>
      <w:r>
        <w:rPr>
          <w:color w:val="1F2430"/>
          <w:sz w:val="21"/>
          <w:szCs w:val="21"/>
        </w:rPr>
        <w:t xml:space="preserve">Produce a structured record, versioned against the exact knowledge state that produced it.</w:t>
      </w:r>
    </w:p>
    <w:p>
      <w:pPr>
        <w:pStyle w:val="ListParagraph"/>
        <w:numPr>
          <w:ilvl w:val="0"/>
          <w:numId w:val="2"/>
        </w:numPr>
        <w:spacing w:after="90" w:line="268"/>
      </w:pPr>
      <w:r>
        <w:rPr>
          <w:color w:val="1F2430"/>
          <w:sz w:val="21"/>
          <w:szCs w:val="21"/>
        </w:rPr>
        <w:t xml:space="preserve">Hand the decision to a human. The system recommends; it never certifies.</w:t>
      </w:r>
    </w:p>
    <w:p>
      <w:pPr>
        <w:spacing w:after="40"/>
      </w:pPr>
    </w:p>
    <w:p>
      <w:pPr>
        <w:spacing w:after="140" w:before="0" w:line="276"/>
      </w:pPr>
      <w:r>
        <w:rPr>
          <w:color w:val="1F2430"/>
          <w:sz w:val="21"/>
          <w:szCs w:val="21"/>
        </w:rPr>
        <w:t xml:space="preserve">The three programmes then name the same objects differently:</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900"/>
        <w:gridCol w:w="2500"/>
        <w:gridCol w:w="2400"/>
        <w:gridCol w:w="2220"/>
      </w:tblGrid>
      <w:tr>
        <w:trPr>
          <w:tblHeader/>
        </w:trPr>
        <w:tc>
          <w:tcPr>
            <w:tcW w:type="dxa" w:w="1900"/>
            <w:shd w:fill="EDEFF4" w:val="clear"/>
            <w:tcMar>
              <w:top w:type="dxa" w:w="70"/>
              <w:left w:type="dxa" w:w="110"/>
              <w:bottom w:type="dxa" w:w="70"/>
              <w:right w:type="dxa" w:w="110"/>
            </w:tcMar>
            <w:vAlign w:val="top"/>
          </w:tcPr>
          <w:p>
            <w:pPr>
              <w:spacing w:after="0" w:line="250"/>
            </w:pPr>
            <w:r>
              <w:rPr>
                <w:b/>
                <w:bCs/>
                <w:color w:val="16233A"/>
                <w:sz w:val="18"/>
                <w:szCs w:val="18"/>
              </w:rPr>
              <w:t xml:space="preserve">Platform object</w:t>
            </w:r>
          </w:p>
        </w:tc>
        <w:tc>
          <w:tcPr>
            <w:tcW w:type="dxa" w:w="2500"/>
            <w:shd w:fill="EDEFF4" w:val="clear"/>
            <w:tcMar>
              <w:top w:type="dxa" w:w="70"/>
              <w:left w:type="dxa" w:w="110"/>
              <w:bottom w:type="dxa" w:w="70"/>
              <w:right w:type="dxa" w:w="110"/>
            </w:tcMar>
            <w:vAlign w:val="top"/>
          </w:tcPr>
          <w:p>
            <w:pPr>
              <w:spacing w:after="0" w:line="250"/>
            </w:pPr>
            <w:r>
              <w:rPr>
                <w:b/>
                <w:bCs/>
                <w:color w:val="16233A"/>
                <w:sz w:val="18"/>
                <w:szCs w:val="18"/>
              </w:rPr>
              <w:t xml:space="preserve">AUREN calls it</w:t>
            </w:r>
          </w:p>
        </w:tc>
        <w:tc>
          <w:tcPr>
            <w:tcW w:type="dxa" w:w="2400"/>
            <w:shd w:fill="EDEFF4" w:val="clear"/>
            <w:tcMar>
              <w:top w:type="dxa" w:w="70"/>
              <w:left w:type="dxa" w:w="110"/>
              <w:bottom w:type="dxa" w:w="70"/>
              <w:right w:type="dxa" w:w="110"/>
            </w:tcMar>
            <w:vAlign w:val="top"/>
          </w:tcPr>
          <w:p>
            <w:pPr>
              <w:spacing w:after="0" w:line="250"/>
            </w:pPr>
            <w:r>
              <w:rPr>
                <w:b/>
                <w:bCs/>
                <w:color w:val="16233A"/>
                <w:sz w:val="18"/>
                <w:szCs w:val="18"/>
              </w:rPr>
              <w:t xml:space="preserve">Pioneer calls it</w:t>
            </w:r>
          </w:p>
        </w:tc>
        <w:tc>
          <w:tcPr>
            <w:tcW w:type="dxa" w:w="2220"/>
            <w:shd w:fill="EDEFF4" w:val="clear"/>
            <w:tcMar>
              <w:top w:type="dxa" w:w="70"/>
              <w:left w:type="dxa" w:w="110"/>
              <w:bottom w:type="dxa" w:w="70"/>
              <w:right w:type="dxa" w:w="110"/>
            </w:tcMar>
            <w:vAlign w:val="top"/>
          </w:tcPr>
          <w:p>
            <w:pPr>
              <w:spacing w:after="0" w:line="250"/>
            </w:pPr>
            <w:r>
              <w:rPr>
                <w:b/>
                <w:bCs/>
                <w:color w:val="16233A"/>
                <w:sz w:val="18"/>
                <w:szCs w:val="18"/>
              </w:rPr>
              <w:t xml:space="preserve">Beauty calls it</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Element</w:t>
            </w:r>
          </w:p>
        </w:tc>
        <w:tc>
          <w:tcPr>
            <w:tcW w:type="dxa" w:w="2500"/>
            <w:shd w:fill="FFFFFF" w:val="clear"/>
            <w:tcMar>
              <w:top w:type="dxa" w:w="70"/>
              <w:left w:type="dxa" w:w="110"/>
              <w:bottom w:type="dxa" w:w="70"/>
              <w:right w:type="dxa" w:w="110"/>
            </w:tcMar>
            <w:vAlign w:val="top"/>
          </w:tcPr>
          <w:p>
            <w:pPr>
              <w:spacing w:after="0" w:line="250"/>
            </w:pPr>
            <w:r>
              <w:rPr>
                <w:color w:val="1F2430"/>
                <w:sz w:val="19"/>
                <w:szCs w:val="19"/>
              </w:rPr>
              <w:t xml:space="preserve">Competency element</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Statutory element</w:t>
            </w:r>
          </w:p>
        </w:tc>
        <w:tc>
          <w:tcPr>
            <w:tcW w:type="dxa" w:w="2220"/>
            <w:shd w:fill="FFFFFF" w:val="clear"/>
            <w:tcMar>
              <w:top w:type="dxa" w:w="70"/>
              <w:left w:type="dxa" w:w="110"/>
              <w:bottom w:type="dxa" w:w="70"/>
              <w:right w:type="dxa" w:w="110"/>
            </w:tcMar>
            <w:vAlign w:val="top"/>
          </w:tcPr>
          <w:p>
            <w:pPr>
              <w:spacing w:after="0" w:line="250"/>
            </w:pPr>
            <w:r>
              <w:rPr>
                <w:color w:val="1F2430"/>
                <w:sz w:val="19"/>
                <w:szCs w:val="19"/>
              </w:rPr>
              <w:t xml:space="preserve">Claim attribute</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Question</w:t>
            </w:r>
          </w:p>
        </w:tc>
        <w:tc>
          <w:tcPr>
            <w:tcW w:type="dxa" w:w="2500"/>
            <w:shd w:fill="F7F8FB" w:val="clear"/>
            <w:tcMar>
              <w:top w:type="dxa" w:w="70"/>
              <w:left w:type="dxa" w:w="110"/>
              <w:bottom w:type="dxa" w:w="70"/>
              <w:right w:type="dxa" w:w="110"/>
            </w:tcMar>
            <w:vAlign w:val="top"/>
          </w:tcPr>
          <w:p>
            <w:pPr>
              <w:spacing w:after="0" w:line="250"/>
            </w:pPr>
            <w:r>
              <w:rPr>
                <w:color w:val="1F2430"/>
                <w:sz w:val="19"/>
                <w:szCs w:val="19"/>
              </w:rPr>
              <w:t xml:space="preserve">Question object</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Governed elicitation string</w:t>
            </w:r>
          </w:p>
        </w:tc>
        <w:tc>
          <w:tcPr>
            <w:tcW w:type="dxa" w:w="2220"/>
            <w:shd w:fill="F7F8FB" w:val="clear"/>
            <w:tcMar>
              <w:top w:type="dxa" w:w="70"/>
              <w:left w:type="dxa" w:w="110"/>
              <w:bottom w:type="dxa" w:w="70"/>
              <w:right w:type="dxa" w:w="110"/>
            </w:tcMar>
            <w:vAlign w:val="top"/>
          </w:tcPr>
          <w:p>
            <w:pPr>
              <w:spacing w:after="0" w:line="250"/>
            </w:pPr>
            <w:r>
              <w:rPr>
                <w:color w:val="1F2430"/>
                <w:sz w:val="19"/>
                <w:szCs w:val="19"/>
              </w:rPr>
              <w:t xml:space="preserve">Approved question</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Challenge</w:t>
            </w:r>
          </w:p>
        </w:tc>
        <w:tc>
          <w:tcPr>
            <w:tcW w:type="dxa" w:w="2500"/>
            <w:shd w:fill="FFFFFF" w:val="clear"/>
            <w:tcMar>
              <w:top w:type="dxa" w:w="70"/>
              <w:left w:type="dxa" w:w="110"/>
              <w:bottom w:type="dxa" w:w="70"/>
              <w:right w:type="dxa" w:w="110"/>
            </w:tcMar>
            <w:vAlign w:val="top"/>
          </w:tcPr>
          <w:p>
            <w:pPr>
              <w:spacing w:after="0" w:line="250"/>
            </w:pPr>
            <w:r>
              <w:rPr>
                <w:color w:val="1F2430"/>
                <w:sz w:val="19"/>
                <w:szCs w:val="19"/>
              </w:rPr>
              <w:t xml:space="preserve">Challenge object / escalation ladder</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Prohibited by doctrine</w:t>
            </w:r>
          </w:p>
        </w:tc>
        <w:tc>
          <w:tcPr>
            <w:tcW w:type="dxa" w:w="2220"/>
            <w:shd w:fill="FFFFFF" w:val="clear"/>
            <w:tcMar>
              <w:top w:type="dxa" w:w="70"/>
              <w:left w:type="dxa" w:w="110"/>
              <w:bottom w:type="dxa" w:w="70"/>
              <w:right w:type="dxa" w:w="110"/>
            </w:tcMar>
            <w:vAlign w:val="top"/>
          </w:tcPr>
          <w:p>
            <w:pPr>
              <w:spacing w:after="0" w:line="250"/>
            </w:pPr>
            <w:r>
              <w:rPr>
                <w:color w:val="1F2430"/>
                <w:sz w:val="19"/>
                <w:szCs w:val="19"/>
              </w:rPr>
              <w:t xml:space="preserve">Governed persona (staff only)</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Signature</w:t>
            </w:r>
          </w:p>
        </w:tc>
        <w:tc>
          <w:tcPr>
            <w:tcW w:type="dxa" w:w="2500"/>
            <w:shd w:fill="F7F8FB" w:val="clear"/>
            <w:tcMar>
              <w:top w:type="dxa" w:w="70"/>
              <w:left w:type="dxa" w:w="110"/>
              <w:bottom w:type="dxa" w:w="70"/>
              <w:right w:type="dxa" w:w="110"/>
            </w:tcMar>
            <w:vAlign w:val="top"/>
          </w:tcPr>
          <w:p>
            <w:pPr>
              <w:spacing w:after="0" w:line="250"/>
            </w:pPr>
            <w:r>
              <w:rPr>
                <w:color w:val="1F2430"/>
                <w:sz w:val="19"/>
                <w:szCs w:val="19"/>
              </w:rPr>
              <w:t xml:space="preserve">Failure signature</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w:t>
            </w:r>
          </w:p>
        </w:tc>
        <w:tc>
          <w:tcPr>
            <w:tcW w:type="dxa" w:w="2220"/>
            <w:shd w:fill="F7F8FB" w:val="clear"/>
            <w:tcMar>
              <w:top w:type="dxa" w:w="70"/>
              <w:left w:type="dxa" w:w="110"/>
              <w:bottom w:type="dxa" w:w="70"/>
              <w:right w:type="dxa" w:w="110"/>
            </w:tcMar>
            <w:vAlign w:val="top"/>
          </w:tcPr>
          <w:p>
            <w:pPr>
              <w:spacing w:after="0" w:line="250"/>
            </w:pPr>
            <w:r>
              <w:rPr>
                <w:color w:val="1F2430"/>
                <w:sz w:val="19"/>
                <w:szCs w:val="19"/>
              </w:rPr>
              <w:t xml:space="preserve">Forbidden phrasing</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Action</w:t>
            </w:r>
          </w:p>
        </w:tc>
        <w:tc>
          <w:tcPr>
            <w:tcW w:type="dxa" w:w="2500"/>
            <w:shd w:fill="FFFFFF" w:val="clear"/>
            <w:tcMar>
              <w:top w:type="dxa" w:w="70"/>
              <w:left w:type="dxa" w:w="110"/>
              <w:bottom w:type="dxa" w:w="70"/>
              <w:right w:type="dxa" w:w="110"/>
            </w:tcMar>
            <w:vAlign w:val="top"/>
          </w:tcPr>
          <w:p>
            <w:pPr>
              <w:spacing w:after="0" w:line="250"/>
            </w:pPr>
            <w:r>
              <w:rPr>
                <w:color w:val="1F2430"/>
                <w:sz w:val="19"/>
                <w:szCs w:val="19"/>
              </w:rPr>
              <w:t xml:space="preserve">Verification action</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Preservation / handover action</w:t>
            </w:r>
          </w:p>
        </w:tc>
        <w:tc>
          <w:tcPr>
            <w:tcW w:type="dxa" w:w="2220"/>
            <w:shd w:fill="FFFFFF" w:val="clear"/>
            <w:tcMar>
              <w:top w:type="dxa" w:w="70"/>
              <w:left w:type="dxa" w:w="110"/>
              <w:bottom w:type="dxa" w:w="70"/>
              <w:right w:type="dxa" w:w="110"/>
            </w:tcMar>
            <w:vAlign w:val="top"/>
          </w:tcPr>
          <w:p>
            <w:pPr>
              <w:spacing w:after="0" w:line="250"/>
            </w:pPr>
            <w:r>
              <w:rPr>
                <w:color w:val="1F2430"/>
                <w:sz w:val="19"/>
                <w:szCs w:val="19"/>
              </w:rPr>
              <w:t xml:space="preserve">Handover to advisor</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Boundary</w:t>
            </w:r>
          </w:p>
        </w:tc>
        <w:tc>
          <w:tcPr>
            <w:tcW w:type="dxa" w:w="2500"/>
            <w:shd w:fill="F7F8FB" w:val="clear"/>
            <w:tcMar>
              <w:top w:type="dxa" w:w="70"/>
              <w:left w:type="dxa" w:w="110"/>
              <w:bottom w:type="dxa" w:w="70"/>
              <w:right w:type="dxa" w:w="110"/>
            </w:tcMar>
            <w:vAlign w:val="top"/>
          </w:tcPr>
          <w:p>
            <w:pPr>
              <w:spacing w:after="0" w:line="250"/>
            </w:pPr>
            <w:r>
              <w:rPr>
                <w:color w:val="1F2430"/>
                <w:sz w:val="19"/>
                <w:szCs w:val="19"/>
              </w:rPr>
              <w:t xml:space="preserve">PROTECT marker</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No-legal-advice boundary</w:t>
            </w:r>
          </w:p>
        </w:tc>
        <w:tc>
          <w:tcPr>
            <w:tcW w:type="dxa" w:w="2220"/>
            <w:shd w:fill="F7F8FB" w:val="clear"/>
            <w:tcMar>
              <w:top w:type="dxa" w:w="70"/>
              <w:left w:type="dxa" w:w="110"/>
              <w:bottom w:type="dxa" w:w="70"/>
              <w:right w:type="dxa" w:w="110"/>
            </w:tcMar>
            <w:vAlign w:val="top"/>
          </w:tcPr>
          <w:p>
            <w:pPr>
              <w:spacing w:after="0" w:line="250"/>
            </w:pPr>
            <w:r>
              <w:rPr>
                <w:color w:val="1F2430"/>
                <w:sz w:val="19"/>
                <w:szCs w:val="19"/>
              </w:rPr>
              <w:t xml:space="preserve">No-medical-claim boundary</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Output</w:t>
            </w:r>
          </w:p>
        </w:tc>
        <w:tc>
          <w:tcPr>
            <w:tcW w:type="dxa" w:w="2500"/>
            <w:shd w:fill="FFFFFF" w:val="clear"/>
            <w:tcMar>
              <w:top w:type="dxa" w:w="70"/>
              <w:left w:type="dxa" w:w="110"/>
              <w:bottom w:type="dxa" w:w="70"/>
              <w:right w:type="dxa" w:w="110"/>
            </w:tcMar>
            <w:vAlign w:val="top"/>
          </w:tcPr>
          <w:p>
            <w:pPr>
              <w:spacing w:after="0" w:line="250"/>
            </w:pPr>
            <w:r>
              <w:rPr>
                <w:color w:val="1F2430"/>
                <w:sz w:val="19"/>
                <w:szCs w:val="19"/>
              </w:rPr>
              <w:t xml:space="preserve">Investor Readiness Record</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Element Coverage Record</w:t>
            </w:r>
          </w:p>
        </w:tc>
        <w:tc>
          <w:tcPr>
            <w:tcW w:type="dxa" w:w="2220"/>
            <w:shd w:fill="FFFFFF" w:val="clear"/>
            <w:tcMar>
              <w:top w:type="dxa" w:w="70"/>
              <w:left w:type="dxa" w:w="110"/>
              <w:bottom w:type="dxa" w:w="70"/>
              <w:right w:type="dxa" w:w="110"/>
            </w:tcMar>
            <w:vAlign w:val="top"/>
          </w:tcPr>
          <w:p>
            <w:pPr>
              <w:spacing w:after="0" w:line="250"/>
            </w:pPr>
            <w:r>
              <w:rPr>
                <w:color w:val="1F2430"/>
                <w:sz w:val="19"/>
                <w:szCs w:val="19"/>
              </w:rPr>
              <w:t xml:space="preserve">Certification record</w:t>
            </w:r>
          </w:p>
        </w:tc>
      </w:tr>
    </w:tbl>
    <w:p>
      <w:pPr>
        <w:spacing w:after="140" w:before="0" w:line="276"/>
      </w:pPr>
      <w:r>
        <w:rPr>
          <w:i/>
          <w:iCs/>
          <w:color w:val="44546A"/>
          <w:sz w:val="21"/>
          <w:szCs w:val="21"/>
        </w:rPr>
        <w:t xml:space="preserve">Six object kinds cover all three. That table is the whole platform thesis in one page.</w:t>
      </w:r>
    </w:p>
    <w:p>
      <w:pPr>
        <w:pStyle w:val="Heading2"/>
      </w:pPr>
      <w:r>
        <w:t xml:space="preserve">1.2  Two layers, one engine</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700"/>
        <w:gridCol w:w="3900"/>
        <w:gridCol w:w="2300"/>
        <w:gridCol w:w="1120"/>
      </w:tblGrid>
      <w:tr>
        <w:trPr>
          <w:tblHeader/>
        </w:trPr>
        <w:tc>
          <w:tcPr>
            <w:tcW w:type="dxa" w:w="1700"/>
            <w:shd w:fill="EDEFF4" w:val="clear"/>
            <w:tcMar>
              <w:top w:type="dxa" w:w="70"/>
              <w:left w:type="dxa" w:w="110"/>
              <w:bottom w:type="dxa" w:w="70"/>
              <w:right w:type="dxa" w:w="110"/>
            </w:tcMar>
            <w:vAlign w:val="top"/>
          </w:tcPr>
          <w:p>
            <w:pPr>
              <w:spacing w:after="0" w:line="250"/>
            </w:pPr>
            <w:r>
              <w:rPr>
                <w:b/>
                <w:bCs/>
                <w:color w:val="16233A"/>
                <w:sz w:val="18"/>
                <w:szCs w:val="18"/>
              </w:rPr>
              <w:t xml:space="preserve">Layer</w:t>
            </w:r>
          </w:p>
        </w:tc>
        <w:tc>
          <w:tcPr>
            <w:tcW w:type="dxa" w:w="3900"/>
            <w:shd w:fill="EDEFF4" w:val="clear"/>
            <w:tcMar>
              <w:top w:type="dxa" w:w="70"/>
              <w:left w:type="dxa" w:w="110"/>
              <w:bottom w:type="dxa" w:w="70"/>
              <w:right w:type="dxa" w:w="110"/>
            </w:tcMar>
            <w:vAlign w:val="top"/>
          </w:tcPr>
          <w:p>
            <w:pPr>
              <w:spacing w:after="0" w:line="250"/>
            </w:pPr>
            <w:r>
              <w:rPr>
                <w:b/>
                <w:bCs/>
                <w:color w:val="16233A"/>
                <w:sz w:val="18"/>
                <w:szCs w:val="18"/>
              </w:rPr>
              <w:t xml:space="preserve">What it does</w:t>
            </w:r>
          </w:p>
        </w:tc>
        <w:tc>
          <w:tcPr>
            <w:tcW w:type="dxa" w:w="2300"/>
            <w:shd w:fill="EDEFF4" w:val="clear"/>
            <w:tcMar>
              <w:top w:type="dxa" w:w="70"/>
              <w:left w:type="dxa" w:w="110"/>
              <w:bottom w:type="dxa" w:w="70"/>
              <w:right w:type="dxa" w:w="110"/>
            </w:tcMar>
            <w:vAlign w:val="top"/>
          </w:tcPr>
          <w:p>
            <w:pPr>
              <w:spacing w:after="0" w:line="250"/>
            </w:pPr>
            <w:r>
              <w:rPr>
                <w:b/>
                <w:bCs/>
                <w:color w:val="16233A"/>
                <w:sz w:val="18"/>
                <w:szCs w:val="18"/>
              </w:rPr>
              <w:t xml:space="preserve">Who touches it</w:t>
            </w:r>
          </w:p>
        </w:tc>
        <w:tc>
          <w:tcPr>
            <w:tcW w:type="dxa" w:w="1120"/>
            <w:shd w:fill="EDEFF4" w:val="clear"/>
            <w:tcMar>
              <w:top w:type="dxa" w:w="70"/>
              <w:left w:type="dxa" w:w="110"/>
              <w:bottom w:type="dxa" w:w="70"/>
              <w:right w:type="dxa" w:w="110"/>
            </w:tcMar>
            <w:vAlign w:val="top"/>
          </w:tcPr>
          <w:p>
            <w:pPr>
              <w:spacing w:after="0" w:line="250"/>
            </w:pPr>
            <w:r>
              <w:rPr>
                <w:b/>
                <w:bCs/>
                <w:color w:val="16233A"/>
                <w:sz w:val="18"/>
                <w:szCs w:val="18"/>
              </w:rPr>
              <w:t xml:space="preserve">Built?</w:t>
            </w:r>
          </w:p>
        </w:tc>
      </w:tr>
      <w:tr>
        <w:tc>
          <w:tcPr>
            <w:tcW w:type="dxa" w:w="1700"/>
            <w:shd w:fill="FFFFFF" w:val="clear"/>
            <w:tcMar>
              <w:top w:type="dxa" w:w="70"/>
              <w:left w:type="dxa" w:w="110"/>
              <w:bottom w:type="dxa" w:w="70"/>
              <w:right w:type="dxa" w:w="110"/>
            </w:tcMar>
            <w:vAlign w:val="top"/>
          </w:tcPr>
          <w:p>
            <w:pPr>
              <w:spacing w:after="0" w:line="250"/>
            </w:pPr>
            <w:r>
              <w:rPr>
                <w:b/>
                <w:bCs/>
                <w:color w:val="1F2430"/>
                <w:sz w:val="19"/>
                <w:szCs w:val="19"/>
              </w:rPr>
              <w:t xml:space="preserve">Layer 2 — Runtime</w:t>
            </w:r>
          </w:p>
        </w:tc>
        <w:tc>
          <w:tcPr>
            <w:tcW w:type="dxa" w:w="3900"/>
            <w:shd w:fill="FFFFFF" w:val="clear"/>
            <w:tcMar>
              <w:top w:type="dxa" w:w="70"/>
              <w:left w:type="dxa" w:w="110"/>
              <w:bottom w:type="dxa" w:w="70"/>
              <w:right w:type="dxa" w:w="110"/>
            </w:tcMar>
            <w:vAlign w:val="top"/>
          </w:tcPr>
          <w:p>
            <w:pPr>
              <w:spacing w:after="0" w:line="250"/>
            </w:pPr>
            <w:r>
              <w:rPr>
                <w:color w:val="1F2430"/>
                <w:sz w:val="19"/>
                <w:szCs w:val="19"/>
              </w:rPr>
              <w:t xml:space="preserve">The digital human that conducts the interview. Voice in, voice out, avatar, evidence capture, record generation. AUREN is the reference implementation.</w:t>
            </w:r>
          </w:p>
        </w:tc>
        <w:tc>
          <w:tcPr>
            <w:tcW w:type="dxa" w:w="2300"/>
            <w:shd w:fill="FFFFFF" w:val="clear"/>
            <w:tcMar>
              <w:top w:type="dxa" w:w="70"/>
              <w:left w:type="dxa" w:w="110"/>
              <w:bottom w:type="dxa" w:w="70"/>
              <w:right w:type="dxa" w:w="110"/>
            </w:tcMar>
            <w:vAlign w:val="top"/>
          </w:tcPr>
          <w:p>
            <w:pPr>
              <w:spacing w:after="0" w:line="250"/>
            </w:pPr>
            <w:r>
              <w:rPr>
                <w:color w:val="1F2430"/>
                <w:sz w:val="19"/>
                <w:szCs w:val="19"/>
              </w:rPr>
              <w:t xml:space="preserve">The end user — learner, complainant, advisor, customer</w:t>
            </w:r>
          </w:p>
        </w:tc>
        <w:tc>
          <w:tcPr>
            <w:tcW w:type="dxa" w:w="1120"/>
            <w:shd w:fill="FFFFFF" w:val="clear"/>
            <w:tcMar>
              <w:top w:type="dxa" w:w="70"/>
              <w:left w:type="dxa" w:w="110"/>
              <w:bottom w:type="dxa" w:w="70"/>
              <w:right w:type="dxa" w:w="110"/>
            </w:tcMar>
            <w:vAlign w:val="top"/>
          </w:tcPr>
          <w:p>
            <w:pPr>
              <w:spacing w:after="0" w:line="250"/>
            </w:pPr>
            <w:r>
              <w:rPr>
                <w:b/>
                <w:bCs/>
                <w:color w:val="2E6B3E"/>
                <w:sz w:val="19"/>
                <w:szCs w:val="19"/>
              </w:rPr>
              <w:t xml:space="preserve">Yes</w:t>
            </w:r>
          </w:p>
        </w:tc>
      </w:tr>
      <w:tr>
        <w:tc>
          <w:tcPr>
            <w:tcW w:type="dxa" w:w="1700"/>
            <w:shd w:fill="F7F8FB" w:val="clear"/>
            <w:tcMar>
              <w:top w:type="dxa" w:w="70"/>
              <w:left w:type="dxa" w:w="110"/>
              <w:bottom w:type="dxa" w:w="70"/>
              <w:right w:type="dxa" w:w="110"/>
            </w:tcMar>
            <w:vAlign w:val="top"/>
          </w:tcPr>
          <w:p>
            <w:pPr>
              <w:spacing w:after="0" w:line="250"/>
            </w:pPr>
            <w:r>
              <w:rPr>
                <w:b/>
                <w:bCs/>
                <w:color w:val="1F2430"/>
                <w:sz w:val="19"/>
                <w:szCs w:val="19"/>
              </w:rPr>
              <w:t xml:space="preserve">Layer 1 — Authority</w:t>
            </w:r>
          </w:p>
        </w:tc>
        <w:tc>
          <w:tcPr>
            <w:tcW w:type="dxa" w:w="3900"/>
            <w:shd w:fill="F7F8FB" w:val="clear"/>
            <w:tcMar>
              <w:top w:type="dxa" w:w="70"/>
              <w:left w:type="dxa" w:w="110"/>
              <w:bottom w:type="dxa" w:w="70"/>
              <w:right w:type="dxa" w:w="110"/>
            </w:tcMar>
            <w:vAlign w:val="top"/>
          </w:tcPr>
          <w:p>
            <w:pPr>
              <w:spacing w:after="0" w:line="250"/>
            </w:pPr>
            <w:r>
              <w:rPr>
                <w:color w:val="1F2430"/>
                <w:sz w:val="19"/>
                <w:szCs w:val="19"/>
              </w:rPr>
              <w:t xml:space="preserve">Where the knowledge objects live, get reviewed, get approved, get gated and get released. Knowledge Authority is that layer.</w:t>
            </w:r>
          </w:p>
        </w:tc>
        <w:tc>
          <w:tcPr>
            <w:tcW w:type="dxa" w:w="2300"/>
            <w:shd w:fill="F7F8FB" w:val="clear"/>
            <w:tcMar>
              <w:top w:type="dxa" w:w="70"/>
              <w:left w:type="dxa" w:w="110"/>
              <w:bottom w:type="dxa" w:w="70"/>
              <w:right w:type="dxa" w:w="110"/>
            </w:tcMar>
            <w:vAlign w:val="top"/>
          </w:tcPr>
          <w:p>
            <w:pPr>
              <w:spacing w:after="0" w:line="250"/>
            </w:pPr>
            <w:r>
              <w:rPr>
                <w:color w:val="1F2430"/>
                <w:sz w:val="19"/>
                <w:szCs w:val="19"/>
              </w:rPr>
              <w:t xml:space="preserve">The internal admin, the client's legal and compliance reviewers</w:t>
            </w:r>
          </w:p>
        </w:tc>
        <w:tc>
          <w:tcPr>
            <w:tcW w:type="dxa" w:w="1120"/>
            <w:shd w:fill="F7F8FB" w:val="clear"/>
            <w:tcMar>
              <w:top w:type="dxa" w:w="70"/>
              <w:left w:type="dxa" w:w="110"/>
              <w:bottom w:type="dxa" w:w="70"/>
              <w:right w:type="dxa" w:w="110"/>
            </w:tcMar>
            <w:vAlign w:val="top"/>
          </w:tcPr>
          <w:p>
            <w:pPr>
              <w:spacing w:after="0" w:line="250"/>
            </w:pPr>
            <w:r>
              <w:rPr>
                <w:b/>
                <w:bCs/>
                <w:color w:val="2E6B3E"/>
                <w:sz w:val="19"/>
                <w:szCs w:val="19"/>
              </w:rPr>
              <w:t xml:space="preserve">Yes</w:t>
            </w:r>
          </w:p>
        </w:tc>
      </w:tr>
      <w:tr>
        <w:tc>
          <w:tcPr>
            <w:tcW w:type="dxa" w:w="1700"/>
            <w:shd w:fill="FFFFFF" w:val="clear"/>
            <w:tcMar>
              <w:top w:type="dxa" w:w="70"/>
              <w:left w:type="dxa" w:w="110"/>
              <w:bottom w:type="dxa" w:w="70"/>
              <w:right w:type="dxa" w:w="110"/>
            </w:tcMar>
            <w:vAlign w:val="top"/>
          </w:tcPr>
          <w:p>
            <w:pPr>
              <w:spacing w:after="0" w:line="250"/>
            </w:pPr>
            <w:r>
              <w:rPr>
                <w:b/>
                <w:bCs/>
                <w:color w:val="1F2430"/>
                <w:sz w:val="19"/>
                <w:szCs w:val="19"/>
              </w:rPr>
              <w:t xml:space="preserve">Layer 0 — Anchor</w:t>
            </w:r>
          </w:p>
        </w:tc>
        <w:tc>
          <w:tcPr>
            <w:tcW w:type="dxa" w:w="3900"/>
            <w:shd w:fill="FFFFFF" w:val="clear"/>
            <w:tcMar>
              <w:top w:type="dxa" w:w="70"/>
              <w:left w:type="dxa" w:w="110"/>
              <w:bottom w:type="dxa" w:w="70"/>
              <w:right w:type="dxa" w:w="110"/>
            </w:tcMar>
            <w:vAlign w:val="top"/>
          </w:tcPr>
          <w:p>
            <w:pPr>
              <w:spacing w:after="0" w:line="250"/>
            </w:pPr>
            <w:r>
              <w:rPr>
                <w:color w:val="1F2430"/>
                <w:sz w:val="19"/>
                <w:szCs w:val="19"/>
              </w:rPr>
              <w:t xml:space="preserve">The statute, framework or claims library the objects derive from. Not software. Expert human work, tracked.</w:t>
            </w:r>
          </w:p>
        </w:tc>
        <w:tc>
          <w:tcPr>
            <w:tcW w:type="dxa" w:w="2300"/>
            <w:shd w:fill="FFFFFF" w:val="clear"/>
            <w:tcMar>
              <w:top w:type="dxa" w:w="70"/>
              <w:left w:type="dxa" w:w="110"/>
              <w:bottom w:type="dxa" w:w="70"/>
              <w:right w:type="dxa" w:w="110"/>
            </w:tcMar>
            <w:vAlign w:val="top"/>
          </w:tcPr>
          <w:p>
            <w:pPr>
              <w:spacing w:after="0" w:line="250"/>
            </w:pPr>
            <w:r>
              <w:rPr>
                <w:color w:val="1F2430"/>
                <w:sz w:val="19"/>
                <w:szCs w:val="19"/>
              </w:rPr>
              <w:t xml:space="preserve">Legal workstream, AGC, regulator, brand compliance</w:t>
            </w:r>
          </w:p>
        </w:tc>
        <w:tc>
          <w:tcPr>
            <w:tcW w:type="dxa" w:w="1120"/>
            <w:shd w:fill="FFFFFF" w:val="clear"/>
            <w:tcMar>
              <w:top w:type="dxa" w:w="70"/>
              <w:left w:type="dxa" w:w="110"/>
              <w:bottom w:type="dxa" w:w="70"/>
              <w:right w:type="dxa" w:w="110"/>
            </w:tcMar>
            <w:vAlign w:val="top"/>
          </w:tcPr>
          <w:p>
            <w:pPr>
              <w:spacing w:after="0" w:line="250"/>
            </w:pPr>
            <w:r>
              <w:rPr>
                <w:color w:val="8A6A1F"/>
                <w:sz w:val="19"/>
                <w:szCs w:val="19"/>
              </w:rPr>
              <w:t xml:space="preserve">Process</w:t>
            </w:r>
          </w:p>
        </w:tc>
      </w:tr>
    </w:tbl>
    <w:p>
      <w:pPr>
        <w:spacing w:after="140" w:before="0" w:line="276"/>
      </w:pPr>
      <w:r>
        <w:rPr>
          <w:color w:val="1F2430"/>
          <w:sz w:val="21"/>
          <w:szCs w:val="21"/>
        </w:rPr>
        <w:t xml:space="preserve">The runtime loads a release bundle id and nothing else. It cannot reach into the authority layer at session time, and it cannot load an object that has not reached EFFECTIVE. That constraint is what makes the whole arrangement defensible under audit.</w:t>
      </w:r>
    </w:p>
    <w:p>
      <w:pPr>
        <w:pStyle w:val="Heading2"/>
      </w:pPr>
      <w:r>
        <w:t xml:space="preserve">1.3  The three verticals as declared</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500"/>
        <w:gridCol w:w="2400"/>
        <w:gridCol w:w="2560"/>
        <w:gridCol w:w="2560"/>
      </w:tblGrid>
      <w:tr>
        <w:trPr>
          <w:tblHeader/>
        </w:trPr>
        <w:tc>
          <w:tcPr>
            <w:tcW w:type="dxa" w:w="1500"/>
            <w:shd w:fill="EDEFF4" w:val="clear"/>
            <w:tcMar>
              <w:top w:type="dxa" w:w="70"/>
              <w:left w:type="dxa" w:w="110"/>
              <w:bottom w:type="dxa" w:w="70"/>
              <w:right w:type="dxa" w:w="110"/>
            </w:tcMar>
            <w:vAlign w:val="top"/>
          </w:tcPr>
          <w:p>
            <w:pPr>
              <w:spacing w:after="0" w:line="250"/>
            </w:pPr>
            <w:r>
              <w:rPr>
                <w:b/>
                <w:bCs/>
                <w:color w:val="16233A"/>
                <w:sz w:val="18"/>
                <w:szCs w:val="18"/>
              </w:rPr>
              <w:t xml:space="preserve"/>
            </w:r>
          </w:p>
        </w:tc>
        <w:tc>
          <w:tcPr>
            <w:tcW w:type="dxa" w:w="2400"/>
            <w:shd w:fill="EDEFF4" w:val="clear"/>
            <w:tcMar>
              <w:top w:type="dxa" w:w="70"/>
              <w:left w:type="dxa" w:w="110"/>
              <w:bottom w:type="dxa" w:w="70"/>
              <w:right w:type="dxa" w:w="110"/>
            </w:tcMar>
            <w:vAlign w:val="top"/>
          </w:tcPr>
          <w:p>
            <w:pPr>
              <w:spacing w:after="0" w:line="250"/>
            </w:pPr>
            <w:r>
              <w:rPr>
                <w:b/>
                <w:bCs/>
                <w:color w:val="16233A"/>
                <w:sz w:val="18"/>
                <w:szCs w:val="18"/>
              </w:rPr>
              <w:t xml:space="preserve">AUREN</w:t>
            </w:r>
          </w:p>
        </w:tc>
        <w:tc>
          <w:tcPr>
            <w:tcW w:type="dxa" w:w="2560"/>
            <w:shd w:fill="EDEFF4" w:val="clear"/>
            <w:tcMar>
              <w:top w:type="dxa" w:w="70"/>
              <w:left w:type="dxa" w:w="110"/>
              <w:bottom w:type="dxa" w:w="70"/>
              <w:right w:type="dxa" w:w="110"/>
            </w:tcMar>
            <w:vAlign w:val="top"/>
          </w:tcPr>
          <w:p>
            <w:pPr>
              <w:spacing w:after="0" w:line="250"/>
            </w:pPr>
            <w:r>
              <w:rPr>
                <w:b/>
                <w:bCs/>
                <w:color w:val="16233A"/>
                <w:sz w:val="18"/>
                <w:szCs w:val="18"/>
              </w:rPr>
              <w:t xml:space="preserve">Project Pioneer</w:t>
            </w:r>
          </w:p>
        </w:tc>
        <w:tc>
          <w:tcPr>
            <w:tcW w:type="dxa" w:w="2560"/>
            <w:shd w:fill="EDEFF4" w:val="clear"/>
            <w:tcMar>
              <w:top w:type="dxa" w:w="70"/>
              <w:left w:type="dxa" w:w="110"/>
              <w:bottom w:type="dxa" w:w="70"/>
              <w:right w:type="dxa" w:w="110"/>
            </w:tcMar>
            <w:vAlign w:val="top"/>
          </w:tcPr>
          <w:p>
            <w:pPr>
              <w:spacing w:after="0" w:line="250"/>
            </w:pPr>
            <w:r>
              <w:rPr>
                <w:b/>
                <w:bCs/>
                <w:color w:val="16233A"/>
                <w:sz w:val="18"/>
                <w:szCs w:val="18"/>
              </w:rPr>
              <w:t xml:space="preserve">Beauty Intelligence</w:t>
            </w:r>
          </w:p>
        </w:tc>
      </w:tr>
      <w:tr>
        <w:tc>
          <w:tcPr>
            <w:tcW w:type="dxa" w:w="1500"/>
            <w:shd w:fill="FFFFFF" w:val="clear"/>
            <w:tcMar>
              <w:top w:type="dxa" w:w="70"/>
              <w:left w:type="dxa" w:w="110"/>
              <w:bottom w:type="dxa" w:w="70"/>
              <w:right w:type="dxa" w:w="110"/>
            </w:tcMar>
            <w:vAlign w:val="top"/>
          </w:tcPr>
          <w:p>
            <w:pPr>
              <w:spacing w:after="0" w:line="250"/>
            </w:pPr>
            <w:r>
              <w:rPr>
                <w:b/>
                <w:bCs/>
                <w:color w:val="1F2430"/>
                <w:sz w:val="19"/>
                <w:szCs w:val="19"/>
              </w:rPr>
              <w:t xml:space="preserve">Programme</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Investor readiness and scam resistance</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Investigation-ready police reporting · PDRM</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One intelligence, two audiences · GCC and SEA</w:t>
            </w:r>
          </w:p>
        </w:tc>
      </w:tr>
      <w:tr>
        <w:tc>
          <w:tcPr>
            <w:tcW w:type="dxa" w:w="1500"/>
            <w:shd w:fill="F7F8FB" w:val="clear"/>
            <w:tcMar>
              <w:top w:type="dxa" w:w="70"/>
              <w:left w:type="dxa" w:w="110"/>
              <w:bottom w:type="dxa" w:w="70"/>
              <w:right w:type="dxa" w:w="110"/>
            </w:tcMar>
            <w:vAlign w:val="top"/>
          </w:tcPr>
          <w:p>
            <w:pPr>
              <w:spacing w:after="0" w:line="250"/>
            </w:pPr>
            <w:r>
              <w:rPr>
                <w:b/>
                <w:bCs/>
                <w:color w:val="1F2430"/>
                <w:sz w:val="19"/>
                <w:szCs w:val="19"/>
              </w:rPr>
              <w:t xml:space="preserve">Doctrine</w:t>
            </w:r>
          </w:p>
        </w:tc>
        <w:tc>
          <w:tcPr>
            <w:tcW w:type="dxa" w:w="2400"/>
            <w:shd w:fill="F7F8FB"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dual</w:t>
            </w:r>
          </w:p>
        </w:tc>
        <w:tc>
          <w:tcPr>
            <w:tcW w:type="dxa" w:w="2560"/>
            <w:shd w:fill="F7F8FB"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neutral</w:t>
            </w:r>
          </w:p>
        </w:tc>
        <w:tc>
          <w:tcPr>
            <w:tcW w:type="dxa" w:w="2560"/>
            <w:shd w:fill="F7F8FB" w:val="clear"/>
            <w:tcMar>
              <w:top w:type="dxa" w:w="70"/>
              <w:left w:type="dxa" w:w="110"/>
              <w:bottom w:type="dxa" w:w="70"/>
              <w:right w:type="dxa" w:w="110"/>
            </w:tcMar>
            <w:vAlign w:val="top"/>
          </w:tcPr>
          <w:p>
            <w:pPr>
              <w:spacing w:after="0" w:line="250"/>
            </w:pPr>
            <w:r>
              <w:rPr>
                <w:rFonts w:ascii="Consolas" w:cs="Consolas" w:eastAsia="Consolas" w:hAnsi="Consolas"/>
                <w:color w:val="1F2430"/>
                <w:sz w:val="17"/>
                <w:szCs w:val="17"/>
              </w:rPr>
              <w:t xml:space="preserve">dual</w:t>
            </w:r>
          </w:p>
        </w:tc>
      </w:tr>
      <w:tr>
        <w:tc>
          <w:tcPr>
            <w:tcW w:type="dxa" w:w="1500"/>
            <w:shd w:fill="FFFFFF" w:val="clear"/>
            <w:tcMar>
              <w:top w:type="dxa" w:w="70"/>
              <w:left w:type="dxa" w:w="110"/>
              <w:bottom w:type="dxa" w:w="70"/>
              <w:right w:type="dxa" w:w="110"/>
            </w:tcMar>
            <w:vAlign w:val="top"/>
          </w:tcPr>
          <w:p>
            <w:pPr>
              <w:spacing w:after="0" w:line="250"/>
            </w:pPr>
            <w:r>
              <w:rPr>
                <w:b/>
                <w:bCs/>
                <w:color w:val="1F2430"/>
                <w:sz w:val="19"/>
                <w:szCs w:val="19"/>
              </w:rPr>
              <w:t xml:space="preserve">Modes</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LEARN · REHEARSE · PROTECT</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CAPTURE</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COACH · CONCIERGE</w:t>
            </w:r>
          </w:p>
        </w:tc>
      </w:tr>
      <w:tr>
        <w:tc>
          <w:tcPr>
            <w:tcW w:type="dxa" w:w="1500"/>
            <w:shd w:fill="F7F8FB" w:val="clear"/>
            <w:tcMar>
              <w:top w:type="dxa" w:w="70"/>
              <w:left w:type="dxa" w:w="110"/>
              <w:bottom w:type="dxa" w:w="70"/>
              <w:right w:type="dxa" w:w="110"/>
            </w:tcMar>
            <w:vAlign w:val="top"/>
          </w:tcPr>
          <w:p>
            <w:pPr>
              <w:spacing w:after="0" w:line="250"/>
            </w:pPr>
            <w:r>
              <w:rPr>
                <w:b/>
                <w:bCs/>
                <w:color w:val="1F2430"/>
                <w:sz w:val="19"/>
                <w:szCs w:val="19"/>
              </w:rPr>
              <w:t xml:space="preserve">Languages</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EN · ES · ZH · AR</w:t>
            </w:r>
          </w:p>
        </w:tc>
        <w:tc>
          <w:tcPr>
            <w:tcW w:type="dxa" w:w="2560"/>
            <w:shd w:fill="F7F8FB" w:val="clear"/>
            <w:tcMar>
              <w:top w:type="dxa" w:w="70"/>
              <w:left w:type="dxa" w:w="110"/>
              <w:bottom w:type="dxa" w:w="70"/>
              <w:right w:type="dxa" w:w="110"/>
            </w:tcMar>
            <w:vAlign w:val="top"/>
          </w:tcPr>
          <w:p>
            <w:pPr>
              <w:spacing w:after="0" w:line="250"/>
            </w:pPr>
            <w:r>
              <w:rPr>
                <w:color w:val="1F2430"/>
                <w:sz w:val="19"/>
                <w:szCs w:val="19"/>
              </w:rPr>
              <w:t xml:space="preserve">BM · EN · ZH · TA</w:t>
            </w:r>
          </w:p>
        </w:tc>
        <w:tc>
          <w:tcPr>
            <w:tcW w:type="dxa" w:w="2560"/>
            <w:shd w:fill="F7F8FB" w:val="clear"/>
            <w:tcMar>
              <w:top w:type="dxa" w:w="70"/>
              <w:left w:type="dxa" w:w="110"/>
              <w:bottom w:type="dxa" w:w="70"/>
              <w:right w:type="dxa" w:w="110"/>
            </w:tcMar>
            <w:vAlign w:val="top"/>
          </w:tcPr>
          <w:p>
            <w:pPr>
              <w:spacing w:after="0" w:line="250"/>
            </w:pPr>
            <w:r>
              <w:rPr>
                <w:color w:val="1F2430"/>
                <w:sz w:val="19"/>
                <w:szCs w:val="19"/>
              </w:rPr>
              <w:t xml:space="preserve">EN · AR · FR · ZH</w:t>
            </w:r>
          </w:p>
        </w:tc>
      </w:tr>
      <w:tr>
        <w:tc>
          <w:tcPr>
            <w:tcW w:type="dxa" w:w="1500"/>
            <w:shd w:fill="FFFFFF" w:val="clear"/>
            <w:tcMar>
              <w:top w:type="dxa" w:w="70"/>
              <w:left w:type="dxa" w:w="110"/>
              <w:bottom w:type="dxa" w:w="70"/>
              <w:right w:type="dxa" w:w="110"/>
            </w:tcMar>
            <w:vAlign w:val="top"/>
          </w:tcPr>
          <w:p>
            <w:pPr>
              <w:spacing w:after="0" w:line="250"/>
            </w:pPr>
            <w:r>
              <w:rPr>
                <w:b/>
                <w:bCs/>
                <w:color w:val="1F2430"/>
                <w:sz w:val="19"/>
                <w:szCs w:val="19"/>
              </w:rPr>
              <w:t xml:space="preserve">Markets</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GLOBAL</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MY</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AE · SA · MY · SG</w:t>
            </w:r>
          </w:p>
        </w:tc>
      </w:tr>
      <w:tr>
        <w:tc>
          <w:tcPr>
            <w:tcW w:type="dxa" w:w="1500"/>
            <w:shd w:fill="F7F8FB" w:val="clear"/>
            <w:tcMar>
              <w:top w:type="dxa" w:w="70"/>
              <w:left w:type="dxa" w:w="110"/>
              <w:bottom w:type="dxa" w:w="70"/>
              <w:right w:type="dxa" w:w="110"/>
            </w:tcMar>
            <w:vAlign w:val="top"/>
          </w:tcPr>
          <w:p>
            <w:pPr>
              <w:spacing w:after="0" w:line="250"/>
            </w:pPr>
            <w:r>
              <w:rPr>
                <w:b/>
                <w:bCs/>
                <w:color w:val="1F2430"/>
                <w:sz w:val="19"/>
                <w:szCs w:val="19"/>
              </w:rPr>
              <w:t xml:space="preserve">Anchor authority</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IOSCO investor-education principles · OECD/INFE competence framework</w:t>
            </w:r>
          </w:p>
        </w:tc>
        <w:tc>
          <w:tcPr>
            <w:tcW w:type="dxa" w:w="2560"/>
            <w:shd w:fill="F7F8FB" w:val="clear"/>
            <w:tcMar>
              <w:top w:type="dxa" w:w="70"/>
              <w:left w:type="dxa" w:w="110"/>
              <w:bottom w:type="dxa" w:w="70"/>
              <w:right w:type="dxa" w:w="110"/>
            </w:tcMar>
            <w:vAlign w:val="top"/>
          </w:tcPr>
          <w:p>
            <w:pPr>
              <w:spacing w:after="0" w:line="250"/>
            </w:pPr>
            <w:r>
              <w:rPr>
                <w:color w:val="1F2430"/>
                <w:sz w:val="19"/>
                <w:szCs w:val="19"/>
              </w:rPr>
              <w:t xml:space="preserve">Penal Code · Criminal Procedure Code · AGC validation</w:t>
            </w:r>
          </w:p>
        </w:tc>
        <w:tc>
          <w:tcPr>
            <w:tcW w:type="dxa" w:w="2560"/>
            <w:shd w:fill="F7F8FB" w:val="clear"/>
            <w:tcMar>
              <w:top w:type="dxa" w:w="70"/>
              <w:left w:type="dxa" w:w="110"/>
              <w:bottom w:type="dxa" w:w="70"/>
              <w:right w:type="dxa" w:w="110"/>
            </w:tcMar>
            <w:vAlign w:val="top"/>
          </w:tcPr>
          <w:p>
            <w:pPr>
              <w:spacing w:after="0" w:line="250"/>
            </w:pPr>
            <w:r>
              <w:rPr>
                <w:color w:val="1F2430"/>
                <w:sz w:val="19"/>
                <w:szCs w:val="19"/>
              </w:rPr>
              <w:t xml:space="preserve">Approved claims library · market regulatory position</w:t>
            </w:r>
          </w:p>
        </w:tc>
      </w:tr>
      <w:tr>
        <w:tc>
          <w:tcPr>
            <w:tcW w:type="dxa" w:w="1500"/>
            <w:shd w:fill="FFFFFF" w:val="clear"/>
            <w:tcMar>
              <w:top w:type="dxa" w:w="70"/>
              <w:left w:type="dxa" w:w="110"/>
              <w:bottom w:type="dxa" w:w="70"/>
              <w:right w:type="dxa" w:w="110"/>
            </w:tcMar>
            <w:vAlign w:val="top"/>
          </w:tcPr>
          <w:p>
            <w:pPr>
              <w:spacing w:after="0" w:line="250"/>
            </w:pPr>
            <w:r>
              <w:rPr>
                <w:b/>
                <w:bCs/>
                <w:color w:val="1F2430"/>
                <w:sz w:val="19"/>
                <w:szCs w:val="19"/>
              </w:rPr>
              <w:t xml:space="preserve">Output object</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Investor Readiness Record</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Element Coverage Record</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Certification record</w:t>
            </w:r>
          </w:p>
        </w:tc>
      </w:tr>
      <w:tr>
        <w:tc>
          <w:tcPr>
            <w:tcW w:type="dxa" w:w="1500"/>
            <w:shd w:fill="F7F8FB" w:val="clear"/>
            <w:tcMar>
              <w:top w:type="dxa" w:w="70"/>
              <w:left w:type="dxa" w:w="110"/>
              <w:bottom w:type="dxa" w:w="70"/>
              <w:right w:type="dxa" w:w="110"/>
            </w:tcMar>
            <w:vAlign w:val="top"/>
          </w:tcPr>
          <w:p>
            <w:pPr>
              <w:spacing w:after="0" w:line="250"/>
            </w:pPr>
            <w:r>
              <w:rPr>
                <w:b/>
                <w:bCs/>
                <w:color w:val="1F2430"/>
                <w:sz w:val="19"/>
                <w:szCs w:val="19"/>
              </w:rPr>
              <w:t xml:space="preserve">Human authority</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Coach-only. The learner decides.</w:t>
            </w:r>
          </w:p>
        </w:tc>
        <w:tc>
          <w:tcPr>
            <w:tcW w:type="dxa" w:w="2560"/>
            <w:shd w:fill="F7F8FB" w:val="clear"/>
            <w:tcMar>
              <w:top w:type="dxa" w:w="70"/>
              <w:left w:type="dxa" w:w="110"/>
              <w:bottom w:type="dxa" w:w="70"/>
              <w:right w:type="dxa" w:w="110"/>
            </w:tcMar>
            <w:vAlign w:val="top"/>
          </w:tcPr>
          <w:p>
            <w:pPr>
              <w:spacing w:after="0" w:line="250"/>
            </w:pPr>
            <w:r>
              <w:rPr>
                <w:color w:val="1F2430"/>
                <w:sz w:val="19"/>
                <w:szCs w:val="19"/>
              </w:rPr>
              <w:t xml:space="preserve">Recommendation-only. The officer certifies.</w:t>
            </w:r>
          </w:p>
        </w:tc>
        <w:tc>
          <w:tcPr>
            <w:tcW w:type="dxa" w:w="2560"/>
            <w:shd w:fill="F7F8FB" w:val="clear"/>
            <w:tcMar>
              <w:top w:type="dxa" w:w="70"/>
              <w:left w:type="dxa" w:w="110"/>
              <w:bottom w:type="dxa" w:w="70"/>
              <w:right w:type="dxa" w:w="110"/>
            </w:tcMar>
            <w:vAlign w:val="top"/>
          </w:tcPr>
          <w:p>
            <w:pPr>
              <w:spacing w:after="0" w:line="250"/>
            </w:pPr>
            <w:r>
              <w:rPr>
                <w:color w:val="1F2430"/>
                <w:sz w:val="19"/>
                <w:szCs w:val="19"/>
              </w:rPr>
              <w:t xml:space="preserve">The advisor closes. The platform hands over.</w:t>
            </w:r>
          </w:p>
        </w:tc>
      </w:tr>
      <w:tr>
        <w:tc>
          <w:tcPr>
            <w:tcW w:type="dxa" w:w="1500"/>
            <w:shd w:fill="FFFFFF" w:val="clear"/>
            <w:tcMar>
              <w:top w:type="dxa" w:w="70"/>
              <w:left w:type="dxa" w:w="110"/>
              <w:bottom w:type="dxa" w:w="70"/>
              <w:right w:type="dxa" w:w="110"/>
            </w:tcMar>
            <w:vAlign w:val="top"/>
          </w:tcPr>
          <w:p>
            <w:pPr>
              <w:spacing w:after="0" w:line="250"/>
            </w:pPr>
            <w:r>
              <w:rPr>
                <w:b/>
                <w:bCs/>
                <w:color w:val="1F2430"/>
                <w:sz w:val="19"/>
                <w:szCs w:val="19"/>
              </w:rPr>
              <w:t xml:space="preserve">Surfaces</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Rehearse (assessing, adversarial) · Learn · Protect</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Reporting Concierge · Officer's Console — neither assesses</w:t>
            </w:r>
          </w:p>
        </w:tc>
        <w:tc>
          <w:tcPr>
            <w:tcW w:type="dxa" w:w="2560"/>
            <w:shd w:fill="FFFFFF" w:val="clear"/>
            <w:tcMar>
              <w:top w:type="dxa" w:w="70"/>
              <w:left w:type="dxa" w:w="110"/>
              <w:bottom w:type="dxa" w:w="70"/>
              <w:right w:type="dxa" w:w="110"/>
            </w:tcMar>
            <w:vAlign w:val="top"/>
          </w:tcPr>
          <w:p>
            <w:pPr>
              <w:spacing w:after="0" w:line="250"/>
            </w:pPr>
            <w:r>
              <w:rPr>
                <w:color w:val="1F2430"/>
                <w:sz w:val="19"/>
                <w:szCs w:val="19"/>
              </w:rPr>
              <w:t xml:space="preserve">Beauty Coach (assessing, adversarial) · Beauty Concierge</w:t>
            </w:r>
          </w:p>
        </w:tc>
      </w:tr>
    </w:tbl>
    <w:p>
      <w:pPr>
        <w:spacing w:after="140" w:before="0" w:line="276"/>
      </w:pPr>
      <w:r>
        <w:rPr>
          <w:i/>
          <w:iCs/>
          <w:color w:val="44546A"/>
          <w:sz w:val="21"/>
          <w:szCs w:val="21"/>
        </w:rPr>
        <w:t xml:space="preserve">These are declarations, not descriptions. The console reads them and refuses what they forbid — it will not render an escalation-ladder form inside Pioneer at all, because Pioneer declares neutral doctrine.</w:t>
      </w:r>
    </w:p>
    <w:p>
      <w:pPr>
        <w:pStyle w:val="Heading2"/>
      </w:pPr>
      <w:r>
        <w:t xml:space="preserve">1.4  Why there is no “Train” button</w:t>
      </w:r>
    </w:p>
    <w:p>
      <w:pPr>
        <w:spacing w:after="140" w:before="0" w:line="276"/>
      </w:pPr>
      <w:r>
        <w:rPr>
          <w:color w:val="1F2430"/>
          <w:sz w:val="21"/>
          <w:szCs w:val="21"/>
        </w:rPr>
        <w:t xml:space="preserve">Every enterprise AI dashboard on the market has an upload step, a train step and a deploy step. This one deliberately does not, and the reason is the same in all three source papers, almost word for word: the model does not author governed content at runtime.</w:t>
      </w:r>
    </w:p>
    <w:p>
      <w:pPr>
        <w:pBdr>
          <w:left w:val="single" w:color="6B5BB5" w:sz="18" w:space="8"/>
        </w:pBdr>
        <w:shd w:fill="F2EFFA" w:val="clear"/>
        <w:spacing w:after="180" w:before="160" w:line="276"/>
        <w:ind w:left="170" w:right="170"/>
      </w:pPr>
      <w:r>
        <w:rPr>
          <w:b/>
          <w:bCs/>
          <w:color w:val="6B5BB5"/>
          <w:sz w:val="16"/>
          <w:szCs w:val="16"/>
        </w:rPr>
        <w:t xml:space="preserve">RULE  </w:t>
      </w:r>
      <w:r>
        <w:rPr>
          <w:i w:val="false"/>
          <w:iCs w:val="false"/>
          <w:color w:val="2A2140"/>
          <w:sz w:val="21"/>
          <w:szCs w:val="21"/>
        </w:rPr>
        <w:t xml:space="preserve">Ingestion produces DRAFT objects for a human to anchor and approve. Nothing an administrator uploads ever changes runtime behaviour directly. The path from a document to a spoken question always passes through a named reviewer.</w:t>
      </w:r>
    </w:p>
    <w:p>
      <w:pPr>
        <w:spacing w:after="140" w:before="0" w:line="276"/>
      </w:pPr>
      <w:r>
        <w:rPr>
          <w:color w:val="1F2430"/>
          <w:sz w:val="21"/>
          <w:szCs w:val="21"/>
        </w:rPr>
        <w:t xml:space="preserve">Commercially this is the opposite of a limitation. It is the reason a police force can procure the system. An engine that generates its own questions cannot be approved by a legal workstream, because there is nothing stable to approve. An engine that only speaks pre-approved strings can be — and the approval is a familiar institutional act, closer to signing off a standard form than to buying an AI.</w:t>
      </w:r>
    </w:p>
    <w:p>
      <w:pPr>
        <w:spacing w:after="140" w:before="0" w:line="276"/>
      </w:pPr>
      <w:r>
        <w:rPr>
          <w:b/>
          <w:bCs/>
          <w:color w:val="16233A"/>
          <w:sz w:val="21"/>
          <w:szCs w:val="21"/>
        </w:rPr>
        <w:t xml:space="preserve">Sell the constraint. </w:t>
      </w:r>
      <w:r>
        <w:rPr>
          <w:sz w:val="21"/>
          <w:szCs w:val="21"/>
        </w:rPr>
        <w:t xml:space="preserve">“Our system cannot say anything your legal team has not approved” is a stronger enterprise claim than any capability statement, and no general-purpose LLM vendor can make it.</w:t>
      </w:r>
    </w:p>
    <w:p>
      <w:pPr>
        <w:pStyle w:val="Heading2"/>
      </w:pPr>
      <w:r>
        <w:t xml:space="preserve">1.5  Authority anchoring — no anchor, no deployment</w:t>
      </w:r>
    </w:p>
    <w:p>
      <w:pPr>
        <w:spacing w:after="140" w:before="0" w:line="276"/>
      </w:pPr>
      <w:r>
        <w:rPr>
          <w:color w:val="1F2430"/>
          <w:sz w:val="21"/>
          <w:szCs w:val="21"/>
        </w:rPr>
        <w:t xml:space="preserve">Every element object carries an authority anchor: the statute, framework clause, SOP or claims-library entry it derives from. An element with an empty anchor is a hard gate failure and cannot be released. This single field is what allows a client's own counsel to review the system on their own terms, clause by clause, rather than trusting a behavioural claim about a model.</w:t>
      </w:r>
    </w:p>
    <w:p>
      <w:pPr>
        <w:pStyle w:val="Heading1"/>
        <w:pageBreakBefore/>
      </w:pPr>
      <w:r>
        <w:t xml:space="preserve">Part II — Layer 2: AUREN, the learner-facing runtime</w:t>
      </w:r>
    </w:p>
    <w:p>
      <w:pPr>
        <w:spacing w:after="140" w:before="0" w:line="276"/>
      </w:pPr>
      <w:r>
        <w:rPr>
          <w:color w:val="1F2430"/>
          <w:sz w:val="21"/>
          <w:szCs w:val="21"/>
        </w:rPr>
        <w:t xml:space="preserve">AUREN is the reference implementation of the runtime. It is also the commercial tip of the spear, because it is the one vertical that can be demonstrated end to end to a non-technical audience in under ten minutes.</w:t>
      </w:r>
    </w:p>
    <w:p>
      <w:pPr>
        <w:pStyle w:val="Heading2"/>
      </w:pPr>
      <w:r>
        <w:t xml:space="preserve">2.1  The finding: three orderings were collapsed into one</w:t>
      </w:r>
    </w:p>
    <w:p>
      <w:pPr>
        <w:spacing w:after="140" w:before="0" w:line="276"/>
      </w:pPr>
      <w:r>
        <w:rPr>
          <w:color w:val="1F2430"/>
          <w:sz w:val="21"/>
          <w:szCs w:val="21"/>
        </w:rPr>
        <w:t xml:space="preserve">Paper IV orders the product by the engine's state machine — S0 through S7 becomes Stage 0 through 7, one to one. That is architecturally honest and it is the right call for a six-week build: it minimises build risk and lets the screens be the architecture in front of a regulator. It also silently collapsed three different orderings into one.</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700"/>
        <w:gridCol w:w="5400"/>
        <w:gridCol w:w="1920"/>
      </w:tblGrid>
      <w:tr>
        <w:trPr>
          <w:tblHeader/>
        </w:trPr>
        <w:tc>
          <w:tcPr>
            <w:tcW w:type="dxa" w:w="1700"/>
            <w:shd w:fill="EDEFF4" w:val="clear"/>
            <w:tcMar>
              <w:top w:type="dxa" w:w="70"/>
              <w:left w:type="dxa" w:w="110"/>
              <w:bottom w:type="dxa" w:w="70"/>
              <w:right w:type="dxa" w:w="110"/>
            </w:tcMar>
            <w:vAlign w:val="top"/>
          </w:tcPr>
          <w:p>
            <w:pPr>
              <w:spacing w:after="0" w:line="250"/>
            </w:pPr>
            <w:r>
              <w:rPr>
                <w:b/>
                <w:bCs/>
                <w:color w:val="16233A"/>
                <w:sz w:val="18"/>
                <w:szCs w:val="18"/>
              </w:rPr>
              <w:t xml:space="preserve">Ordering</w:t>
            </w:r>
          </w:p>
        </w:tc>
        <w:tc>
          <w:tcPr>
            <w:tcW w:type="dxa" w:w="5400"/>
            <w:shd w:fill="EDEFF4" w:val="clear"/>
            <w:tcMar>
              <w:top w:type="dxa" w:w="70"/>
              <w:left w:type="dxa" w:w="110"/>
              <w:bottom w:type="dxa" w:w="70"/>
              <w:right w:type="dxa" w:w="110"/>
            </w:tcMar>
            <w:vAlign w:val="top"/>
          </w:tcPr>
          <w:p>
            <w:pPr>
              <w:spacing w:after="0" w:line="250"/>
            </w:pPr>
            <w:r>
              <w:rPr>
                <w:b/>
                <w:bCs/>
                <w:color w:val="16233A"/>
                <w:sz w:val="18"/>
                <w:szCs w:val="18"/>
              </w:rPr>
              <w:t xml:space="preserve">What governs it</w:t>
            </w:r>
          </w:p>
        </w:tc>
        <w:tc>
          <w:tcPr>
            <w:tcW w:type="dxa" w:w="1920"/>
            <w:shd w:fill="EDEFF4" w:val="clear"/>
            <w:tcMar>
              <w:top w:type="dxa" w:w="70"/>
              <w:left w:type="dxa" w:w="110"/>
              <w:bottom w:type="dxa" w:w="70"/>
              <w:right w:type="dxa" w:w="110"/>
            </w:tcMar>
            <w:vAlign w:val="top"/>
          </w:tcPr>
          <w:p>
            <w:pPr>
              <w:spacing w:after="0" w:line="250"/>
            </w:pPr>
            <w:r>
              <w:rPr>
                <w:b/>
                <w:bCs/>
                <w:color w:val="16233A"/>
                <w:sz w:val="18"/>
                <w:szCs w:val="18"/>
              </w:rPr>
              <w:t xml:space="preserve">Status in Paper IV</w:t>
            </w:r>
          </w:p>
        </w:tc>
      </w:tr>
      <w:tr>
        <w:tc>
          <w:tcPr>
            <w:tcW w:type="dxa" w:w="1700"/>
            <w:shd w:fill="FFFFFF" w:val="clear"/>
            <w:tcMar>
              <w:top w:type="dxa" w:w="70"/>
              <w:left w:type="dxa" w:w="110"/>
              <w:bottom w:type="dxa" w:w="70"/>
              <w:right w:type="dxa" w:w="110"/>
            </w:tcMar>
            <w:vAlign w:val="top"/>
          </w:tcPr>
          <w:p>
            <w:pPr>
              <w:spacing w:after="0" w:line="250"/>
            </w:pPr>
            <w:r>
              <w:rPr>
                <w:color w:val="1F2430"/>
                <w:sz w:val="19"/>
                <w:szCs w:val="19"/>
              </w:rPr>
              <w:t xml:space="preserve">Engine</w:t>
            </w:r>
          </w:p>
        </w:tc>
        <w:tc>
          <w:tcPr>
            <w:tcW w:type="dxa" w:w="5400"/>
            <w:shd w:fill="FFFFFF" w:val="clear"/>
            <w:tcMar>
              <w:top w:type="dxa" w:w="70"/>
              <w:left w:type="dxa" w:w="110"/>
              <w:bottom w:type="dxa" w:w="70"/>
              <w:right w:type="dxa" w:w="110"/>
            </w:tcMar>
            <w:vAlign w:val="top"/>
          </w:tcPr>
          <w:p>
            <w:pPr>
              <w:spacing w:after="0" w:line="250"/>
            </w:pPr>
            <w:r>
              <w:rPr>
                <w:color w:val="1F2430"/>
                <w:sz w:val="19"/>
                <w:szCs w:val="19"/>
              </w:rPr>
              <w:t xml:space="preserve">Causal necessity — you cannot coach before you have evidence</w:t>
            </w:r>
          </w:p>
        </w:tc>
        <w:tc>
          <w:tcPr>
            <w:tcW w:type="dxa" w:w="1920"/>
            <w:shd w:fill="FFFFFF" w:val="clear"/>
            <w:tcMar>
              <w:top w:type="dxa" w:w="70"/>
              <w:left w:type="dxa" w:w="110"/>
              <w:bottom w:type="dxa" w:w="70"/>
              <w:right w:type="dxa" w:w="110"/>
            </w:tcMar>
            <w:vAlign w:val="top"/>
          </w:tcPr>
          <w:p>
            <w:pPr>
              <w:spacing w:after="0" w:line="250"/>
            </w:pPr>
            <w:r>
              <w:rPr>
                <w:b/>
                <w:bCs/>
                <w:color w:val="2E6B3E"/>
                <w:sz w:val="19"/>
                <w:szCs w:val="19"/>
              </w:rPr>
              <w:t xml:space="preserve">Correct</w:t>
            </w:r>
          </w:p>
        </w:tc>
      </w:tr>
      <w:tr>
        <w:tc>
          <w:tcPr>
            <w:tcW w:type="dxa" w:w="1700"/>
            <w:shd w:fill="F7F8FB" w:val="clear"/>
            <w:tcMar>
              <w:top w:type="dxa" w:w="70"/>
              <w:left w:type="dxa" w:w="110"/>
              <w:bottom w:type="dxa" w:w="70"/>
              <w:right w:type="dxa" w:w="110"/>
            </w:tcMar>
            <w:vAlign w:val="top"/>
          </w:tcPr>
          <w:p>
            <w:pPr>
              <w:spacing w:after="0" w:line="250"/>
            </w:pPr>
            <w:r>
              <w:rPr>
                <w:color w:val="1F2430"/>
                <w:sz w:val="19"/>
                <w:szCs w:val="19"/>
              </w:rPr>
              <w:t xml:space="preserve">Narrative</w:t>
            </w:r>
          </w:p>
        </w:tc>
        <w:tc>
          <w:tcPr>
            <w:tcW w:type="dxa" w:w="5400"/>
            <w:shd w:fill="F7F8FB" w:val="clear"/>
            <w:tcMar>
              <w:top w:type="dxa" w:w="70"/>
              <w:left w:type="dxa" w:w="110"/>
              <w:bottom w:type="dxa" w:w="70"/>
              <w:right w:type="dxa" w:w="110"/>
            </w:tcMar>
            <w:vAlign w:val="top"/>
          </w:tcPr>
          <w:p>
            <w:pPr>
              <w:spacing w:after="0" w:line="250"/>
            </w:pPr>
            <w:r>
              <w:rPr>
                <w:color w:val="1F2430"/>
                <w:sz w:val="19"/>
                <w:szCs w:val="19"/>
              </w:rPr>
              <w:t xml:space="preserve">What a TechSprint judge must see, in what order, to believe the claim</w:t>
            </w:r>
          </w:p>
        </w:tc>
        <w:tc>
          <w:tcPr>
            <w:tcW w:type="dxa" w:w="1920"/>
            <w:shd w:fill="F7F8FB" w:val="clear"/>
            <w:tcMar>
              <w:top w:type="dxa" w:w="70"/>
              <w:left w:type="dxa" w:w="110"/>
              <w:bottom w:type="dxa" w:w="70"/>
              <w:right w:type="dxa" w:w="110"/>
            </w:tcMar>
            <w:vAlign w:val="top"/>
          </w:tcPr>
          <w:p>
            <w:pPr>
              <w:spacing w:after="0" w:line="250"/>
            </w:pPr>
            <w:r>
              <w:rPr>
                <w:b/>
                <w:bCs/>
                <w:color w:val="2E6B3E"/>
                <w:sz w:val="19"/>
                <w:szCs w:val="19"/>
              </w:rPr>
              <w:t xml:space="preserve">Correct</w:t>
            </w:r>
          </w:p>
        </w:tc>
      </w:tr>
      <w:tr>
        <w:tc>
          <w:tcPr>
            <w:tcW w:type="dxa" w:w="1700"/>
            <w:shd w:fill="FFFFFF" w:val="clear"/>
            <w:tcMar>
              <w:top w:type="dxa" w:w="70"/>
              <w:left w:type="dxa" w:w="110"/>
              <w:bottom w:type="dxa" w:w="70"/>
              <w:right w:type="dxa" w:w="110"/>
            </w:tcMar>
            <w:vAlign w:val="top"/>
          </w:tcPr>
          <w:p>
            <w:pPr>
              <w:spacing w:after="0" w:line="250"/>
            </w:pPr>
            <w:r>
              <w:rPr>
                <w:color w:val="1F2430"/>
                <w:sz w:val="19"/>
                <w:szCs w:val="19"/>
              </w:rPr>
              <w:t xml:space="preserve">Motivational</w:t>
            </w:r>
          </w:p>
        </w:tc>
        <w:tc>
          <w:tcPr>
            <w:tcW w:type="dxa" w:w="5400"/>
            <w:shd w:fill="FFFFFF" w:val="clear"/>
            <w:tcMar>
              <w:top w:type="dxa" w:w="70"/>
              <w:left w:type="dxa" w:w="110"/>
              <w:bottom w:type="dxa" w:w="70"/>
              <w:right w:type="dxa" w:w="110"/>
            </w:tcMar>
            <w:vAlign w:val="top"/>
          </w:tcPr>
          <w:p>
            <w:pPr>
              <w:spacing w:after="0" w:line="250"/>
            </w:pPr>
            <w:r>
              <w:rPr>
                <w:color w:val="1F2430"/>
                <w:sz w:val="19"/>
                <w:szCs w:val="19"/>
              </w:rPr>
              <w:t xml:space="preserve">What the learner must feel, in sequence, to stay in the loop and come back</w:t>
            </w:r>
          </w:p>
        </w:tc>
        <w:tc>
          <w:tcPr>
            <w:tcW w:type="dxa" w:w="1920"/>
            <w:shd w:fill="FFFFFF" w:val="clear"/>
            <w:tcMar>
              <w:top w:type="dxa" w:w="70"/>
              <w:left w:type="dxa" w:w="110"/>
              <w:bottom w:type="dxa" w:w="70"/>
              <w:right w:type="dxa" w:w="110"/>
            </w:tcMar>
            <w:vAlign w:val="top"/>
          </w:tcPr>
          <w:p>
            <w:pPr>
              <w:spacing w:after="0" w:line="250"/>
            </w:pPr>
            <w:r>
              <w:rPr>
                <w:b/>
                <w:bCs/>
                <w:color w:val="9B2C2C"/>
                <w:sz w:val="19"/>
                <w:szCs w:val="19"/>
              </w:rPr>
              <w:t xml:space="preserve">Unspecified</w:t>
            </w:r>
          </w:p>
        </w:tc>
      </w:tr>
    </w:tbl>
    <w:p>
      <w:pPr>
        <w:spacing w:after="140" w:before="0" w:line="276"/>
      </w:pPr>
      <w:r>
        <w:rPr>
          <w:color w:val="1F2430"/>
          <w:sz w:val="21"/>
          <w:szCs w:val="21"/>
        </w:rPr>
        <w:t xml:space="preserve">The first two align, which is why the loop demos well in three minutes. The third does not align, and it governs everything after Madrid — retention, repeat sessions, and whether this is a product or a demonstration.</w:t>
      </w:r>
    </w:p>
    <w:p>
      <w:pPr>
        <w:pStyle w:val="Heading2"/>
      </w:pPr>
      <w:r>
        <w:t xml:space="preserve">2.2  The eight defects, and what was done about each</w:t>
      </w:r>
    </w:p>
    <w:p>
      <w:pPr>
        <w:spacing w:after="140" w:before="0" w:line="276"/>
      </w:pPr>
      <w:r>
        <w:rPr>
          <w:i/>
          <w:iCs/>
          <w:color w:val="44546A"/>
          <w:sz w:val="21"/>
          <w:szCs w:val="21"/>
        </w:rPr>
        <w:t xml:space="preserve">Scoped honestly against the six-week constraint. “Before” means the fix is cheap and it improves the demonstration; “After” means it is real but it is not a Madrid problem.</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500"/>
        <w:gridCol w:w="3400"/>
        <w:gridCol w:w="3400"/>
        <w:gridCol w:w="1720"/>
      </w:tblGrid>
      <w:tr>
        <w:trPr>
          <w:tblHeader/>
        </w:trPr>
        <w:tc>
          <w:tcPr>
            <w:tcW w:type="dxa" w:w="500"/>
            <w:shd w:fill="EDEFF4" w:val="clear"/>
            <w:tcMar>
              <w:top w:type="dxa" w:w="70"/>
              <w:left w:type="dxa" w:w="110"/>
              <w:bottom w:type="dxa" w:w="70"/>
              <w:right w:type="dxa" w:w="110"/>
            </w:tcMar>
            <w:vAlign w:val="top"/>
          </w:tcPr>
          <w:p>
            <w:pPr>
              <w:spacing w:after="0" w:line="250"/>
            </w:pPr>
            <w:r>
              <w:rPr>
                <w:b/>
                <w:bCs/>
                <w:color w:val="16233A"/>
                <w:sz w:val="18"/>
                <w:szCs w:val="18"/>
              </w:rPr>
              <w:t xml:space="preserve">#</w:t>
            </w:r>
          </w:p>
        </w:tc>
        <w:tc>
          <w:tcPr>
            <w:tcW w:type="dxa" w:w="3400"/>
            <w:shd w:fill="EDEFF4" w:val="clear"/>
            <w:tcMar>
              <w:top w:type="dxa" w:w="70"/>
              <w:left w:type="dxa" w:w="110"/>
              <w:bottom w:type="dxa" w:w="70"/>
              <w:right w:type="dxa" w:w="110"/>
            </w:tcMar>
            <w:vAlign w:val="top"/>
          </w:tcPr>
          <w:p>
            <w:pPr>
              <w:spacing w:after="0" w:line="250"/>
            </w:pPr>
            <w:r>
              <w:rPr>
                <w:b/>
                <w:bCs/>
                <w:color w:val="16233A"/>
                <w:sz w:val="18"/>
                <w:szCs w:val="18"/>
              </w:rPr>
              <w:t xml:space="preserve">Defect</w:t>
            </w:r>
          </w:p>
        </w:tc>
        <w:tc>
          <w:tcPr>
            <w:tcW w:type="dxa" w:w="3400"/>
            <w:shd w:fill="EDEFF4" w:val="clear"/>
            <w:tcMar>
              <w:top w:type="dxa" w:w="70"/>
              <w:left w:type="dxa" w:w="110"/>
              <w:bottom w:type="dxa" w:w="70"/>
              <w:right w:type="dxa" w:w="110"/>
            </w:tcMar>
            <w:vAlign w:val="top"/>
          </w:tcPr>
          <w:p>
            <w:pPr>
              <w:spacing w:after="0" w:line="250"/>
            </w:pPr>
            <w:r>
              <w:rPr>
                <w:b/>
                <w:bCs/>
                <w:color w:val="16233A"/>
                <w:sz w:val="18"/>
                <w:szCs w:val="18"/>
              </w:rPr>
              <w:t xml:space="preserve">Fix</w:t>
            </w:r>
          </w:p>
        </w:tc>
        <w:tc>
          <w:tcPr>
            <w:tcW w:type="dxa" w:w="1720"/>
            <w:shd w:fill="EDEFF4" w:val="clear"/>
            <w:tcMar>
              <w:top w:type="dxa" w:w="70"/>
              <w:left w:type="dxa" w:w="110"/>
              <w:bottom w:type="dxa" w:w="70"/>
              <w:right w:type="dxa" w:w="110"/>
            </w:tcMar>
            <w:vAlign w:val="top"/>
          </w:tcPr>
          <w:p>
            <w:pPr>
              <w:spacing w:after="0" w:line="250"/>
            </w:pPr>
            <w:r>
              <w:rPr>
                <w:b/>
                <w:bCs/>
                <w:color w:val="16233A"/>
                <w:sz w:val="18"/>
                <w:szCs w:val="18"/>
              </w:rPr>
              <w:t xml:space="preserve">When</w:t>
            </w:r>
          </w:p>
        </w:tc>
      </w:tr>
      <w:tr>
        <w:tc>
          <w:tcPr>
            <w:tcW w:type="dxa" w:w="500"/>
            <w:shd w:fill="FFFFFF" w:val="clear"/>
            <w:tcMar>
              <w:top w:type="dxa" w:w="70"/>
              <w:left w:type="dxa" w:w="110"/>
              <w:bottom w:type="dxa" w:w="70"/>
              <w:right w:type="dxa" w:w="110"/>
            </w:tcMar>
            <w:vAlign w:val="top"/>
          </w:tcPr>
          <w:p>
            <w:pPr>
              <w:spacing w:after="0" w:line="250"/>
            </w:pPr>
            <w:r>
              <w:rPr>
                <w:color w:val="1F2430"/>
                <w:sz w:val="19"/>
                <w:szCs w:val="19"/>
              </w:rPr>
              <w:t xml:space="preserve">D1</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Mode selector is a choice before comprehension. First-run always resolves to REHEARSE, so the screen is ceremony.</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Consent-to-be-pressured act on entry; mode selector deferred. Object-level mode gate unchanged.</w:t>
            </w:r>
          </w:p>
        </w:tc>
        <w:tc>
          <w:tcPr>
            <w:tcW w:type="dxa" w:w="1720"/>
            <w:shd w:fill="FFFFFF" w:val="clear"/>
            <w:tcMar>
              <w:top w:type="dxa" w:w="70"/>
              <w:left w:type="dxa" w:w="110"/>
              <w:bottom w:type="dxa" w:w="70"/>
              <w:right w:type="dxa" w:w="110"/>
            </w:tcMar>
            <w:vAlign w:val="top"/>
          </w:tcPr>
          <w:p>
            <w:pPr>
              <w:spacing w:after="0" w:line="250"/>
            </w:pPr>
            <w:r>
              <w:rPr>
                <w:color w:val="1F2430"/>
                <w:sz w:val="19"/>
                <w:szCs w:val="19"/>
              </w:rPr>
              <w:t xml:space="preserve">Before</w:t>
            </w:r>
          </w:p>
        </w:tc>
      </w:tr>
      <w:tr>
        <w:tc>
          <w:tcPr>
            <w:tcW w:type="dxa" w:w="500"/>
            <w:shd w:fill="F7F8FB" w:val="clear"/>
            <w:tcMar>
              <w:top w:type="dxa" w:w="70"/>
              <w:left w:type="dxa" w:w="110"/>
              <w:bottom w:type="dxa" w:w="70"/>
              <w:right w:type="dxa" w:w="110"/>
            </w:tcMar>
            <w:vAlign w:val="top"/>
          </w:tcPr>
          <w:p>
            <w:pPr>
              <w:spacing w:after="0" w:line="250"/>
            </w:pPr>
            <w:r>
              <w:rPr>
                <w:color w:val="1F2430"/>
                <w:sz w:val="19"/>
                <w:szCs w:val="19"/>
              </w:rPr>
              <w:t xml:space="preserve">D2</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The home screen has forgotten you. Three static doors is a worse home than one live one.</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The Stage-7 button becomes the returning user's home, opening on their own unresolved element.</w:t>
            </w:r>
          </w:p>
        </w:tc>
        <w:tc>
          <w:tcPr>
            <w:tcW w:type="dxa" w:w="1720"/>
            <w:shd w:fill="F7F8FB" w:val="clear"/>
            <w:tcMar>
              <w:top w:type="dxa" w:w="70"/>
              <w:left w:type="dxa" w:w="110"/>
              <w:bottom w:type="dxa" w:w="70"/>
              <w:right w:type="dxa" w:w="110"/>
            </w:tcMar>
            <w:vAlign w:val="top"/>
          </w:tcPr>
          <w:p>
            <w:pPr>
              <w:spacing w:after="0" w:line="250"/>
            </w:pPr>
            <w:r>
              <w:rPr>
                <w:color w:val="1F2430"/>
                <w:sz w:val="19"/>
                <w:szCs w:val="19"/>
              </w:rPr>
              <w:t xml:space="preserve">After</w:t>
            </w:r>
          </w:p>
        </w:tc>
      </w:tr>
      <w:tr>
        <w:tc>
          <w:tcPr>
            <w:tcW w:type="dxa" w:w="500"/>
            <w:shd w:fill="FFFFFF" w:val="clear"/>
            <w:tcMar>
              <w:top w:type="dxa" w:w="70"/>
              <w:left w:type="dxa" w:w="110"/>
              <w:bottom w:type="dxa" w:w="70"/>
              <w:right w:type="dxa" w:w="110"/>
            </w:tcMar>
            <w:vAlign w:val="top"/>
          </w:tcPr>
          <w:p>
            <w:pPr>
              <w:spacing w:after="0" w:line="250"/>
            </w:pPr>
            <w:r>
              <w:rPr>
                <w:color w:val="1F2430"/>
                <w:sz w:val="19"/>
                <w:szCs w:val="19"/>
              </w:rPr>
              <w:t xml:space="preserve">D3</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Restraint ordered as absence. A waveform proves the microphone works, not that the mind does.</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Give the silence a non-analytical tell. The Situation Map stays invisible, as doctrine demands.</w:t>
            </w:r>
          </w:p>
        </w:tc>
        <w:tc>
          <w:tcPr>
            <w:tcW w:type="dxa" w:w="1720"/>
            <w:shd w:fill="FFFFFF" w:val="clear"/>
            <w:tcMar>
              <w:top w:type="dxa" w:w="70"/>
              <w:left w:type="dxa" w:w="110"/>
              <w:bottom w:type="dxa" w:w="70"/>
              <w:right w:type="dxa" w:w="110"/>
            </w:tcMar>
            <w:vAlign w:val="top"/>
          </w:tcPr>
          <w:p>
            <w:pPr>
              <w:spacing w:after="0" w:line="250"/>
            </w:pPr>
            <w:r>
              <w:rPr>
                <w:color w:val="1F2430"/>
                <w:sz w:val="19"/>
                <w:szCs w:val="19"/>
              </w:rPr>
              <w:t xml:space="preserve">Before</w:t>
            </w:r>
          </w:p>
        </w:tc>
      </w:tr>
      <w:tr>
        <w:tc>
          <w:tcPr>
            <w:tcW w:type="dxa" w:w="500"/>
            <w:shd w:fill="F7F8FB" w:val="clear"/>
            <w:tcMar>
              <w:top w:type="dxa" w:w="70"/>
              <w:left w:type="dxa" w:w="110"/>
              <w:bottom w:type="dxa" w:w="70"/>
              <w:right w:type="dxa" w:w="110"/>
            </w:tcMar>
            <w:vAlign w:val="top"/>
          </w:tcPr>
          <w:p>
            <w:pPr>
              <w:spacing w:after="0" w:line="250"/>
            </w:pPr>
            <w:r>
              <w:rPr>
                <w:color w:val="1F2430"/>
                <w:sz w:val="19"/>
                <w:szCs w:val="19"/>
              </w:rPr>
              <w:t xml:space="preserve">D4</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The soul screen is specified as a layout — quote cards and map-unfreeze fire together at the emotional peak.</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Three staged beats ~2s apart: their sentence alone → the signature named → the map flips.</w:t>
            </w:r>
          </w:p>
        </w:tc>
        <w:tc>
          <w:tcPr>
            <w:tcW w:type="dxa" w:w="1720"/>
            <w:shd w:fill="F7F8FB" w:val="clear"/>
            <w:tcMar>
              <w:top w:type="dxa" w:w="70"/>
              <w:left w:type="dxa" w:w="110"/>
              <w:bottom w:type="dxa" w:w="70"/>
              <w:right w:type="dxa" w:w="110"/>
            </w:tcMar>
            <w:vAlign w:val="top"/>
          </w:tcPr>
          <w:p>
            <w:pPr>
              <w:spacing w:after="0" w:line="250"/>
            </w:pPr>
            <w:r>
              <w:rPr>
                <w:color w:val="1F2430"/>
                <w:sz w:val="19"/>
                <w:szCs w:val="19"/>
              </w:rPr>
              <w:t xml:space="preserve">Before</w:t>
            </w:r>
          </w:p>
        </w:tc>
      </w:tr>
      <w:tr>
        <w:tc>
          <w:tcPr>
            <w:tcW w:type="dxa" w:w="500"/>
            <w:shd w:fill="FFFFFF" w:val="clear"/>
            <w:tcMar>
              <w:top w:type="dxa" w:w="70"/>
              <w:left w:type="dxa" w:w="110"/>
              <w:bottom w:type="dxa" w:w="70"/>
              <w:right w:type="dxa" w:w="110"/>
            </w:tcMar>
            <w:vAlign w:val="top"/>
          </w:tcPr>
          <w:p>
            <w:pPr>
              <w:spacing w:after="0" w:line="250"/>
            </w:pPr>
            <w:r>
              <w:rPr>
                <w:color w:val="1F2430"/>
                <w:sz w:val="19"/>
                <w:szCs w:val="19"/>
              </w:rPr>
              <w:t xml:space="preserve">D5</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The verdict is buried in the audit. Stage 7 opens with a four-column matrix.</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Verdict sentence first, matrix beneath it, AILS under that. Paper III §9.2 already argues this.</w:t>
            </w:r>
          </w:p>
        </w:tc>
        <w:tc>
          <w:tcPr>
            <w:tcW w:type="dxa" w:w="1720"/>
            <w:shd w:fill="FFFFFF" w:val="clear"/>
            <w:tcMar>
              <w:top w:type="dxa" w:w="70"/>
              <w:left w:type="dxa" w:w="110"/>
              <w:bottom w:type="dxa" w:w="70"/>
              <w:right w:type="dxa" w:w="110"/>
            </w:tcMar>
            <w:vAlign w:val="top"/>
          </w:tcPr>
          <w:p>
            <w:pPr>
              <w:spacing w:after="0" w:line="250"/>
            </w:pPr>
            <w:r>
              <w:rPr>
                <w:color w:val="1F2430"/>
                <w:sz w:val="19"/>
                <w:szCs w:val="19"/>
              </w:rPr>
              <w:t xml:space="preserve">Before</w:t>
            </w:r>
          </w:p>
        </w:tc>
      </w:tr>
      <w:tr>
        <w:tc>
          <w:tcPr>
            <w:tcW w:type="dxa" w:w="500"/>
            <w:shd w:fill="F7F8FB" w:val="clear"/>
            <w:tcMar>
              <w:top w:type="dxa" w:w="70"/>
              <w:left w:type="dxa" w:w="110"/>
              <w:bottom w:type="dxa" w:w="70"/>
              <w:right w:type="dxa" w:w="110"/>
            </w:tcMar>
            <w:vAlign w:val="top"/>
          </w:tcPr>
          <w:p>
            <w:pPr>
              <w:spacing w:after="0" w:line="250"/>
            </w:pPr>
            <w:r>
              <w:rPr>
                <w:color w:val="1F2430"/>
                <w:sz w:val="19"/>
                <w:szCs w:val="19"/>
              </w:rPr>
              <w:t xml:space="preserve">D6</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RETEST has no failure branch. Stage 6's exit is simply “→ Stage 7”.</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Carry non-transfer honestly to the scorecard. Never loop COACH twice to manufacture a pass.</w:t>
            </w:r>
          </w:p>
        </w:tc>
        <w:tc>
          <w:tcPr>
            <w:tcW w:type="dxa" w:w="1720"/>
            <w:shd w:fill="F7F8FB" w:val="clear"/>
            <w:tcMar>
              <w:top w:type="dxa" w:w="70"/>
              <w:left w:type="dxa" w:w="110"/>
              <w:bottom w:type="dxa" w:w="70"/>
              <w:right w:type="dxa" w:w="110"/>
            </w:tcMar>
            <w:vAlign w:val="top"/>
          </w:tcPr>
          <w:p>
            <w:pPr>
              <w:spacing w:after="0" w:line="250"/>
            </w:pPr>
            <w:r>
              <w:rPr>
                <w:color w:val="1F2430"/>
                <w:sz w:val="19"/>
                <w:szCs w:val="19"/>
              </w:rPr>
              <w:t xml:space="preserve">Before</w:t>
            </w:r>
          </w:p>
        </w:tc>
      </w:tr>
      <w:tr>
        <w:tc>
          <w:tcPr>
            <w:tcW w:type="dxa" w:w="500"/>
            <w:shd w:fill="FFFFFF" w:val="clear"/>
            <w:tcMar>
              <w:top w:type="dxa" w:w="70"/>
              <w:left w:type="dxa" w:w="110"/>
              <w:bottom w:type="dxa" w:w="70"/>
              <w:right w:type="dxa" w:w="110"/>
            </w:tcMar>
            <w:vAlign w:val="top"/>
          </w:tcPr>
          <w:p>
            <w:pPr>
              <w:spacing w:after="0" w:line="250"/>
            </w:pPr>
            <w:r>
              <w:rPr>
                <w:color w:val="1F2430"/>
                <w:sz w:val="19"/>
                <w:szCs w:val="19"/>
              </w:rPr>
              <w:t xml:space="preserve">D7</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PROTECT's position contradicts its commercial thesis. A habit cannot form behind a menu traversal.</w:t>
            </w:r>
          </w:p>
        </w:tc>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Persistent PROTECT control on every screen — one control, not a mode door.</w:t>
            </w:r>
          </w:p>
        </w:tc>
        <w:tc>
          <w:tcPr>
            <w:tcW w:type="dxa" w:w="1720"/>
            <w:shd w:fill="FFFFFF" w:val="clear"/>
            <w:tcMar>
              <w:top w:type="dxa" w:w="70"/>
              <w:left w:type="dxa" w:w="110"/>
              <w:bottom w:type="dxa" w:w="70"/>
              <w:right w:type="dxa" w:w="110"/>
            </w:tcMar>
            <w:vAlign w:val="top"/>
          </w:tcPr>
          <w:p>
            <w:pPr>
              <w:spacing w:after="0" w:line="250"/>
            </w:pPr>
            <w:r>
              <w:rPr>
                <w:color w:val="1F2430"/>
                <w:sz w:val="19"/>
                <w:szCs w:val="19"/>
              </w:rPr>
              <w:t xml:space="preserve">Before</w:t>
            </w:r>
          </w:p>
        </w:tc>
      </w:tr>
      <w:tr>
        <w:tc>
          <w:tcPr>
            <w:tcW w:type="dxa" w:w="500"/>
            <w:shd w:fill="F7F8FB" w:val="clear"/>
            <w:tcMar>
              <w:top w:type="dxa" w:w="70"/>
              <w:left w:type="dxa" w:w="110"/>
              <w:bottom w:type="dxa" w:w="70"/>
              <w:right w:type="dxa" w:w="110"/>
            </w:tcMar>
            <w:vAlign w:val="top"/>
          </w:tcPr>
          <w:p>
            <w:pPr>
              <w:spacing w:after="0" w:line="250"/>
            </w:pPr>
            <w:r>
              <w:rPr>
                <w:color w:val="1F2430"/>
                <w:sz w:val="19"/>
                <w:szCs w:val="19"/>
              </w:rPr>
              <w:t xml:space="preserve">D8</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Ten minutes does not survive arithmetic. Eight elements at one voice turn each is ~3 min for DIAGNOSE alone.</w:t>
            </w:r>
          </w:p>
        </w:tc>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Hard budget of four elements per session; the rest route to the retraining queue — which is what brings the learner back.</w:t>
            </w:r>
          </w:p>
        </w:tc>
        <w:tc>
          <w:tcPr>
            <w:tcW w:type="dxa" w:w="1720"/>
            <w:shd w:fill="F7F8FB" w:val="clear"/>
            <w:tcMar>
              <w:top w:type="dxa" w:w="70"/>
              <w:left w:type="dxa" w:w="110"/>
              <w:bottom w:type="dxa" w:w="70"/>
              <w:right w:type="dxa" w:w="110"/>
            </w:tcMar>
            <w:vAlign w:val="top"/>
          </w:tcPr>
          <w:p>
            <w:pPr>
              <w:spacing w:after="0" w:line="250"/>
            </w:pPr>
            <w:r>
              <w:rPr>
                <w:color w:val="1F2430"/>
                <w:sz w:val="19"/>
                <w:szCs w:val="19"/>
              </w:rPr>
              <w:t xml:space="preserve">Before</w:t>
            </w:r>
          </w:p>
        </w:tc>
      </w:tr>
    </w:tbl>
    <w:p>
      <w:pPr>
        <w:spacing w:after="140" w:before="0" w:line="276"/>
      </w:pPr>
      <w:r>
        <w:rPr>
          <w:b/>
          <w:bCs/>
          <w:color w:val="16233A"/>
          <w:sz w:val="21"/>
          <w:szCs w:val="21"/>
        </w:rPr>
        <w:t xml:space="preserve">D8 is the one with commercial consequence. </w:t>
      </w:r>
      <w:r>
        <w:rPr>
          <w:sz w:val="21"/>
          <w:szCs w:val="21"/>
        </w:rPr>
        <w:t xml:space="preserve">Capping the session at four elements is not a compromise; it is the retention mechanism. A fuller matrix nobody finished is worth less than a complete loop they repeat, and the unresolved elements are the reason for session two.</w:t>
      </w:r>
    </w:p>
    <w:p>
      <w:pPr>
        <w:pStyle w:val="Heading2"/>
      </w:pPr>
      <w:r>
        <w:t xml:space="preserve">2.3  Time budget</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3400"/>
        <w:gridCol w:w="2810"/>
        <w:gridCol w:w="2810"/>
      </w:tblGrid>
      <w:tr>
        <w:trPr>
          <w:tblHeader/>
        </w:trPr>
        <w:tc>
          <w:tcPr>
            <w:tcW w:type="dxa" w:w="3400"/>
            <w:shd w:fill="EDEFF4" w:val="clear"/>
            <w:tcMar>
              <w:top w:type="dxa" w:w="70"/>
              <w:left w:type="dxa" w:w="110"/>
              <w:bottom w:type="dxa" w:w="70"/>
              <w:right w:type="dxa" w:w="110"/>
            </w:tcMar>
            <w:vAlign w:val="top"/>
          </w:tcPr>
          <w:p>
            <w:pPr>
              <w:spacing w:after="0" w:line="250"/>
            </w:pPr>
            <w:r>
              <w:rPr>
                <w:b/>
                <w:bCs/>
                <w:color w:val="16233A"/>
                <w:sz w:val="18"/>
                <w:szCs w:val="18"/>
              </w:rPr>
              <w:t xml:space="preserve">Stage</w:t>
            </w:r>
          </w:p>
        </w:tc>
        <w:tc>
          <w:tcPr>
            <w:tcW w:type="dxa" w:w="2810"/>
            <w:shd w:fill="EDEFF4" w:val="clear"/>
            <w:tcMar>
              <w:top w:type="dxa" w:w="70"/>
              <w:left w:type="dxa" w:w="110"/>
              <w:bottom w:type="dxa" w:w="70"/>
              <w:right w:type="dxa" w:w="110"/>
            </w:tcMar>
            <w:vAlign w:val="top"/>
          </w:tcPr>
          <w:p>
            <w:pPr>
              <w:spacing w:after="0" w:line="250"/>
            </w:pPr>
            <w:r>
              <w:rPr>
                <w:b/>
                <w:bCs/>
                <w:color w:val="16233A"/>
                <w:sz w:val="18"/>
                <w:szCs w:val="18"/>
              </w:rPr>
              <w:t xml:space="preserve">As specified</w:t>
            </w:r>
          </w:p>
        </w:tc>
        <w:tc>
          <w:tcPr>
            <w:tcW w:type="dxa" w:w="2810"/>
            <w:shd w:fill="EDEFF4" w:val="clear"/>
            <w:tcMar>
              <w:top w:type="dxa" w:w="70"/>
              <w:left w:type="dxa" w:w="110"/>
              <w:bottom w:type="dxa" w:w="70"/>
              <w:right w:type="dxa" w:w="110"/>
            </w:tcMar>
            <w:vAlign w:val="top"/>
          </w:tcPr>
          <w:p>
            <w:pPr>
              <w:spacing w:after="0" w:line="250"/>
            </w:pPr>
            <w:r>
              <w:rPr>
                <w:b/>
                <w:bCs/>
                <w:color w:val="16233A"/>
                <w:sz w:val="18"/>
                <w:szCs w:val="18"/>
              </w:rPr>
              <w:t xml:space="preserve">As built</w:t>
            </w:r>
          </w:p>
        </w:tc>
      </w:tr>
      <w:tr>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Entry (with consent)</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0:30</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0:25</w:t>
            </w:r>
          </w:p>
        </w:tc>
      </w:tr>
      <w:tr>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Mode selector</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0:15</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 (deferred, D1)</w:t>
            </w:r>
          </w:p>
        </w:tc>
      </w:tr>
      <w:tr>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UNDERSTAND</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1:30</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1:30</w:t>
            </w:r>
          </w:p>
        </w:tc>
      </w:tr>
      <w:tr>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DIAGNOSE</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3:00 (8 elements)</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1:30 (4 elements, D8)</w:t>
            </w:r>
          </w:p>
        </w:tc>
      </w:tr>
      <w:tr>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STRESS</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1:30</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1:30</w:t>
            </w:r>
          </w:p>
        </w:tc>
      </w:tr>
      <w:tr>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COACH</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1:15</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1:15</w:t>
            </w:r>
          </w:p>
        </w:tc>
      </w:tr>
      <w:tr>
        <w:tc>
          <w:tcPr>
            <w:tcW w:type="dxa" w:w="3400"/>
            <w:shd w:fill="FFFFFF" w:val="clear"/>
            <w:tcMar>
              <w:top w:type="dxa" w:w="70"/>
              <w:left w:type="dxa" w:w="110"/>
              <w:bottom w:type="dxa" w:w="70"/>
              <w:right w:type="dxa" w:w="110"/>
            </w:tcMar>
            <w:vAlign w:val="top"/>
          </w:tcPr>
          <w:p>
            <w:pPr>
              <w:spacing w:after="0" w:line="250"/>
            </w:pPr>
            <w:r>
              <w:rPr>
                <w:color w:val="1F2430"/>
                <w:sz w:val="19"/>
                <w:szCs w:val="19"/>
              </w:rPr>
              <w:t xml:space="preserve">RETEST</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1:30</w:t>
            </w:r>
          </w:p>
        </w:tc>
        <w:tc>
          <w:tcPr>
            <w:tcW w:type="dxa" w:w="2810"/>
            <w:shd w:fill="FFFFFF" w:val="clear"/>
            <w:tcMar>
              <w:top w:type="dxa" w:w="70"/>
              <w:left w:type="dxa" w:w="110"/>
              <w:bottom w:type="dxa" w:w="70"/>
              <w:right w:type="dxa" w:w="110"/>
            </w:tcMar>
            <w:vAlign w:val="top"/>
          </w:tcPr>
          <w:p>
            <w:pPr>
              <w:spacing w:after="0" w:line="250"/>
            </w:pPr>
            <w:r>
              <w:rPr>
                <w:color w:val="1F2430"/>
                <w:sz w:val="19"/>
                <w:szCs w:val="19"/>
              </w:rPr>
              <w:t xml:space="preserve">1:30</w:t>
            </w:r>
          </w:p>
        </w:tc>
      </w:tr>
      <w:tr>
        <w:tc>
          <w:tcPr>
            <w:tcW w:type="dxa" w:w="3400"/>
            <w:shd w:fill="F7F8FB" w:val="clear"/>
            <w:tcMar>
              <w:top w:type="dxa" w:w="70"/>
              <w:left w:type="dxa" w:w="110"/>
              <w:bottom w:type="dxa" w:w="70"/>
              <w:right w:type="dxa" w:w="110"/>
            </w:tcMar>
            <w:vAlign w:val="top"/>
          </w:tcPr>
          <w:p>
            <w:pPr>
              <w:spacing w:after="0" w:line="250"/>
            </w:pPr>
            <w:r>
              <w:rPr>
                <w:color w:val="1F2430"/>
                <w:sz w:val="19"/>
                <w:szCs w:val="19"/>
              </w:rPr>
              <w:t xml:space="preserve">EVIDENCE</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1:00</w:t>
            </w:r>
          </w:p>
        </w:tc>
        <w:tc>
          <w:tcPr>
            <w:tcW w:type="dxa" w:w="2810"/>
            <w:shd w:fill="F7F8FB" w:val="clear"/>
            <w:tcMar>
              <w:top w:type="dxa" w:w="70"/>
              <w:left w:type="dxa" w:w="110"/>
              <w:bottom w:type="dxa" w:w="70"/>
              <w:right w:type="dxa" w:w="110"/>
            </w:tcMar>
            <w:vAlign w:val="top"/>
          </w:tcPr>
          <w:p>
            <w:pPr>
              <w:spacing w:after="0" w:line="250"/>
            </w:pPr>
            <w:r>
              <w:rPr>
                <w:color w:val="1F2430"/>
                <w:sz w:val="19"/>
                <w:szCs w:val="19"/>
              </w:rPr>
              <w:t xml:space="preserve">1:00</w:t>
            </w:r>
          </w:p>
        </w:tc>
      </w:tr>
      <w:tr>
        <w:tc>
          <w:tcPr>
            <w:tcW w:type="dxa" w:w="3400"/>
            <w:shd w:fill="FFFFFF" w:val="clear"/>
            <w:tcMar>
              <w:top w:type="dxa" w:w="70"/>
              <w:left w:type="dxa" w:w="110"/>
              <w:bottom w:type="dxa" w:w="70"/>
              <w:right w:type="dxa" w:w="110"/>
            </w:tcMar>
            <w:vAlign w:val="top"/>
          </w:tcPr>
          <w:p>
            <w:pPr>
              <w:spacing w:after="0" w:line="250"/>
            </w:pPr>
            <w:r>
              <w:rPr>
                <w:b/>
                <w:bCs/>
                <w:color w:val="1F2430"/>
                <w:sz w:val="19"/>
                <w:szCs w:val="19"/>
              </w:rPr>
              <w:t xml:space="preserve">Total</w:t>
            </w:r>
          </w:p>
        </w:tc>
        <w:tc>
          <w:tcPr>
            <w:tcW w:type="dxa" w:w="2810"/>
            <w:shd w:fill="FFFFFF" w:val="clear"/>
            <w:tcMar>
              <w:top w:type="dxa" w:w="70"/>
              <w:left w:type="dxa" w:w="110"/>
              <w:bottom w:type="dxa" w:w="70"/>
              <w:right w:type="dxa" w:w="110"/>
            </w:tcMar>
            <w:vAlign w:val="top"/>
          </w:tcPr>
          <w:p>
            <w:pPr>
              <w:spacing w:after="0" w:line="250"/>
            </w:pPr>
            <w:r>
              <w:rPr>
                <w:b/>
                <w:bCs/>
                <w:color w:val="9B2C2C"/>
                <w:sz w:val="19"/>
                <w:szCs w:val="19"/>
              </w:rPr>
              <w:t xml:space="preserve">10:30</w:t>
            </w:r>
          </w:p>
        </w:tc>
        <w:tc>
          <w:tcPr>
            <w:tcW w:type="dxa" w:w="2810"/>
            <w:shd w:fill="FFFFFF" w:val="clear"/>
            <w:tcMar>
              <w:top w:type="dxa" w:w="70"/>
              <w:left w:type="dxa" w:w="110"/>
              <w:bottom w:type="dxa" w:w="70"/>
              <w:right w:type="dxa" w:w="110"/>
            </w:tcMar>
            <w:vAlign w:val="top"/>
          </w:tcPr>
          <w:p>
            <w:pPr>
              <w:spacing w:after="0" w:line="250"/>
            </w:pPr>
            <w:r>
              <w:rPr>
                <w:b/>
                <w:bCs/>
                <w:color w:val="2E6B3E"/>
                <w:sz w:val="19"/>
                <w:szCs w:val="19"/>
              </w:rPr>
              <w:t xml:space="preserve">8:40</w:t>
            </w:r>
          </w:p>
        </w:tc>
      </w:tr>
    </w:tbl>
    <w:p>
      <w:pPr>
        <w:spacing w:after="140" w:before="0" w:line="276"/>
      </w:pPr>
      <w:r>
        <w:rPr>
          <w:color w:val="1F2430"/>
          <w:sz w:val="21"/>
          <w:szCs w:val="21"/>
        </w:rPr>
        <w:t xml:space="preserve">The specified order lands past the ten minutes the product thesis promises, with no slack for speech-recognition retries. The built order leaves about eighty seconds of headroom.</w:t>
      </w:r>
    </w:p>
    <w:p>
      <w:pPr>
        <w:pStyle w:val="Heading2"/>
      </w:pPr>
      <w:r>
        <w:t xml:space="preserve">2.4  The front door</w:t>
      </w:r>
    </w:p>
    <w:p>
      <w:pPr>
        <w:spacing w:after="140" w:before="0" w:line="276"/>
      </w:pPr>
      <w:r>
        <w:rPr>
          <w:color w:val="1F2430"/>
          <w:sz w:val="21"/>
          <w:szCs w:val="21"/>
        </w:rPr>
        <w:t xml:space="preserve">Paper IV's Stage 0 is thirty seconds and explicitly account-free, and it moves identity verification out of entry into a post-session upsell. Both builds carry the full journey around that constraint rather than through it.</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700"/>
        <w:gridCol w:w="2200"/>
        <w:gridCol w:w="5120"/>
      </w:tblGrid>
      <w:tr>
        <w:trPr>
          <w:tblHeader/>
        </w:trPr>
        <w:tc>
          <w:tcPr>
            <w:tcW w:type="dxa" w:w="1700"/>
            <w:shd w:fill="EDEFF4" w:val="clear"/>
            <w:tcMar>
              <w:top w:type="dxa" w:w="70"/>
              <w:left w:type="dxa" w:w="110"/>
              <w:bottom w:type="dxa" w:w="70"/>
              <w:right w:type="dxa" w:w="110"/>
            </w:tcMar>
            <w:vAlign w:val="top"/>
          </w:tcPr>
          <w:p>
            <w:pPr>
              <w:spacing w:after="0" w:line="250"/>
            </w:pPr>
            <w:r>
              <w:rPr>
                <w:b/>
                <w:bCs/>
                <w:color w:val="16233A"/>
                <w:sz w:val="18"/>
                <w:szCs w:val="18"/>
              </w:rPr>
              <w:t xml:space="preserve">Screen</w:t>
            </w:r>
          </w:p>
        </w:tc>
        <w:tc>
          <w:tcPr>
            <w:tcW w:type="dxa" w:w="2200"/>
            <w:shd w:fill="EDEFF4" w:val="clear"/>
            <w:tcMar>
              <w:top w:type="dxa" w:w="70"/>
              <w:left w:type="dxa" w:w="110"/>
              <w:bottom w:type="dxa" w:w="70"/>
              <w:right w:type="dxa" w:w="110"/>
            </w:tcMar>
            <w:vAlign w:val="top"/>
          </w:tcPr>
          <w:p>
            <w:pPr>
              <w:spacing w:after="0" w:line="250"/>
            </w:pPr>
            <w:r>
              <w:rPr>
                <w:b/>
                <w:bCs/>
                <w:color w:val="16233A"/>
                <w:sz w:val="18"/>
                <w:szCs w:val="18"/>
              </w:rPr>
              <w:t xml:space="preserve">Position</w:t>
            </w:r>
          </w:p>
        </w:tc>
        <w:tc>
          <w:tcPr>
            <w:tcW w:type="dxa" w:w="5120"/>
            <w:shd w:fill="EDEFF4" w:val="clear"/>
            <w:tcMar>
              <w:top w:type="dxa" w:w="70"/>
              <w:left w:type="dxa" w:w="110"/>
              <w:bottom w:type="dxa" w:w="70"/>
              <w:right w:type="dxa" w:w="110"/>
            </w:tcMar>
            <w:vAlign w:val="top"/>
          </w:tcPr>
          <w:p>
            <w:pPr>
              <w:spacing w:after="0" w:line="250"/>
            </w:pPr>
            <w:r>
              <w:rPr>
                <w:b/>
                <w:bCs/>
                <w:color w:val="16233A"/>
                <w:sz w:val="18"/>
                <w:szCs w:val="18"/>
              </w:rPr>
              <w:t xml:space="preserve">Why there</w:t>
            </w:r>
          </w:p>
        </w:tc>
      </w:tr>
      <w:tr>
        <w:tc>
          <w:tcPr>
            <w:tcW w:type="dxa" w:w="1700"/>
            <w:shd w:fill="FFFFFF" w:val="clear"/>
            <w:tcMar>
              <w:top w:type="dxa" w:w="70"/>
              <w:left w:type="dxa" w:w="110"/>
              <w:bottom w:type="dxa" w:w="70"/>
              <w:right w:type="dxa" w:w="110"/>
            </w:tcMar>
            <w:vAlign w:val="top"/>
          </w:tcPr>
          <w:p>
            <w:pPr>
              <w:spacing w:after="0" w:line="250"/>
            </w:pPr>
            <w:r>
              <w:rPr>
                <w:color w:val="1F2430"/>
                <w:sz w:val="19"/>
                <w:szCs w:val="19"/>
              </w:rPr>
              <w:t xml:space="preserve">Landing</w:t>
            </w:r>
          </w:p>
        </w:tc>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Before everything</w:t>
            </w:r>
          </w:p>
        </w:tc>
        <w:tc>
          <w:tcPr>
            <w:tcW w:type="dxa" w:w="5120"/>
            <w:shd w:fill="FFFFFF" w:val="clear"/>
            <w:tcMar>
              <w:top w:type="dxa" w:w="70"/>
              <w:left w:type="dxa" w:w="110"/>
              <w:bottom w:type="dxa" w:w="70"/>
              <w:right w:type="dxa" w:w="110"/>
            </w:tcMar>
            <w:vAlign w:val="top"/>
          </w:tcPr>
          <w:p>
            <w:pPr>
              <w:spacing w:after="0" w:line="250"/>
            </w:pPr>
            <w:r>
              <w:rPr>
                <w:color w:val="1F2430"/>
                <w:sz w:val="19"/>
                <w:szCs w:val="19"/>
              </w:rPr>
              <w:t xml:space="preserve">Brand, thesis, language, and the way in. The primary button is account-free and says so — the absence of a wall is a selling point, not an omission.</w:t>
            </w:r>
          </w:p>
        </w:tc>
      </w:tr>
      <w:tr>
        <w:tc>
          <w:tcPr>
            <w:tcW w:type="dxa" w:w="1700"/>
            <w:shd w:fill="F7F8FB" w:val="clear"/>
            <w:tcMar>
              <w:top w:type="dxa" w:w="70"/>
              <w:left w:type="dxa" w:w="110"/>
              <w:bottom w:type="dxa" w:w="70"/>
              <w:right w:type="dxa" w:w="110"/>
            </w:tcMar>
            <w:vAlign w:val="top"/>
          </w:tcPr>
          <w:p>
            <w:pPr>
              <w:spacing w:after="0" w:line="250"/>
            </w:pPr>
            <w:r>
              <w:rPr>
                <w:color w:val="1F2430"/>
                <w:sz w:val="19"/>
                <w:szCs w:val="19"/>
              </w:rPr>
              <w:t xml:space="preserve">Sign in</w:t>
            </w:r>
          </w:p>
        </w:tc>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Optional, off the landing</w:t>
            </w:r>
          </w:p>
        </w:tc>
        <w:tc>
          <w:tcPr>
            <w:tcW w:type="dxa" w:w="5120"/>
            <w:shd w:fill="F7F8FB" w:val="clear"/>
            <w:tcMar>
              <w:top w:type="dxa" w:w="70"/>
              <w:left w:type="dxa" w:w="110"/>
              <w:bottom w:type="dxa" w:w="70"/>
              <w:right w:type="dxa" w:w="110"/>
            </w:tcMar>
            <w:vAlign w:val="top"/>
          </w:tcPr>
          <w:p>
            <w:pPr>
              <w:spacing w:after="0" w:line="250"/>
            </w:pPr>
            <w:r>
              <w:rPr>
                <w:color w:val="1F2430"/>
                <w:sz w:val="19"/>
                <w:szCs w:val="19"/>
              </w:rPr>
              <w:t xml:space="preserve">Number plus a six-digit code. Restores the reasoning map and the retraining queue. Skippable from the screen itself, never on the primary path.</w:t>
            </w:r>
          </w:p>
        </w:tc>
      </w:tr>
      <w:tr>
        <w:tc>
          <w:tcPr>
            <w:tcW w:type="dxa" w:w="1700"/>
            <w:shd w:fill="FFFFFF" w:val="clear"/>
            <w:tcMar>
              <w:top w:type="dxa" w:w="70"/>
              <w:left w:type="dxa" w:w="110"/>
              <w:bottom w:type="dxa" w:w="70"/>
              <w:right w:type="dxa" w:w="110"/>
            </w:tcMar>
            <w:vAlign w:val="top"/>
          </w:tcPr>
          <w:p>
            <w:pPr>
              <w:spacing w:after="0" w:line="250"/>
            </w:pPr>
            <w:r>
              <w:rPr>
                <w:color w:val="1F2430"/>
                <w:sz w:val="19"/>
                <w:szCs w:val="19"/>
              </w:rPr>
              <w:t xml:space="preserve">Welcome and consent</w:t>
            </w:r>
          </w:p>
        </w:tc>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Immediately before the loop</w:t>
            </w:r>
          </w:p>
        </w:tc>
        <w:tc>
          <w:tcPr>
            <w:tcW w:type="dxa" w:w="5120"/>
            <w:shd w:fill="FFFFFF" w:val="clear"/>
            <w:tcMar>
              <w:top w:type="dxa" w:w="70"/>
              <w:left w:type="dxa" w:w="110"/>
              <w:bottom w:type="dxa" w:w="70"/>
              <w:right w:type="dxa" w:w="110"/>
            </w:tcMar>
            <w:vAlign w:val="top"/>
          </w:tcPr>
          <w:p>
            <w:pPr>
              <w:spacing w:after="0" w:line="250"/>
            </w:pPr>
            <w:r>
              <w:rPr>
                <w:color w:val="1F2430"/>
                <w:sz w:val="19"/>
                <w:szCs w:val="19"/>
              </w:rPr>
              <w:t xml:space="preserve">The framing line, the name, and the consent-to-be-pressured act that replaces the mode menu (D1).</w:t>
            </w:r>
          </w:p>
        </w:tc>
      </w:tr>
      <w:tr>
        <w:tc>
          <w:tcPr>
            <w:tcW w:type="dxa" w:w="1700"/>
            <w:shd w:fill="F7F8FB" w:val="clear"/>
            <w:tcMar>
              <w:top w:type="dxa" w:w="70"/>
              <w:left w:type="dxa" w:w="110"/>
              <w:bottom w:type="dxa" w:w="70"/>
              <w:right w:type="dxa" w:w="110"/>
            </w:tcMar>
            <w:vAlign w:val="top"/>
          </w:tcPr>
          <w:p>
            <w:pPr>
              <w:spacing w:after="0" w:line="250"/>
            </w:pPr>
            <w:r>
              <w:rPr>
                <w:color w:val="1F2430"/>
                <w:sz w:val="19"/>
                <w:szCs w:val="19"/>
              </w:rPr>
              <w:t xml:space="preserve">Verified certification</w:t>
            </w:r>
          </w:p>
        </w:tc>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After the evidence chain</w:t>
            </w:r>
          </w:p>
        </w:tc>
        <w:tc>
          <w:tcPr>
            <w:tcW w:type="dxa" w:w="5120"/>
            <w:shd w:fill="F7F8FB" w:val="clear"/>
            <w:tcMar>
              <w:top w:type="dxa" w:w="70"/>
              <w:left w:type="dxa" w:w="110"/>
              <w:bottom w:type="dxa" w:w="70"/>
              <w:right w:type="dxa" w:w="110"/>
            </w:tcMar>
            <w:vAlign w:val="top"/>
          </w:tcPr>
          <w:p>
            <w:pPr>
              <w:spacing w:after="0" w:line="250"/>
            </w:pPr>
            <w:r>
              <w:rPr>
                <w:color w:val="1F2430"/>
                <w:sz w:val="19"/>
                <w:szCs w:val="19"/>
              </w:rPr>
              <w:t xml:space="preserve">Four eKYC steps — details, document, liveness, issue. The learner is holding a record they want to be able to prove.</w:t>
            </w:r>
          </w:p>
        </w:tc>
      </w:tr>
    </w:tbl>
    <w:p>
      <w:pPr>
        <w:pBdr>
          <w:left w:val="single" w:color="6B5BB5" w:sz="18" w:space="8"/>
        </w:pBdr>
        <w:shd w:fill="F2EFFA" w:val="clear"/>
        <w:spacing w:after="180" w:before="160" w:line="276"/>
        <w:ind w:left="170" w:right="170"/>
      </w:pPr>
      <w:r>
        <w:rPr>
          <w:b/>
          <w:bCs/>
          <w:color w:val="6B5BB5"/>
          <w:sz w:val="16"/>
          <w:szCs w:val="16"/>
        </w:rPr>
        <w:t xml:space="preserve">DOCTRINE  </w:t>
      </w:r>
      <w:r>
        <w:rPr>
          <w:i w:val="false"/>
          <w:iCs w:val="false"/>
          <w:color w:val="2A2140"/>
          <w:sz w:val="21"/>
          <w:szCs w:val="21"/>
        </w:rPr>
        <w:t xml:space="preserve">Account and identity are separate concerns, and the separation is the design. Signing in stores a record. Verification asserts who you are. Conflating them turns a five-minute rehearsal into an onboarding funnel — the exact failure mode Paper IV deletes when it removes the legacy assessment interview.</w:t>
      </w:r>
    </w:p>
    <w:p>
      <w:pPr>
        <w:spacing w:after="140" w:before="0" w:line="276"/>
      </w:pPr>
      <w:r>
        <w:rPr>
          <w:color w:val="1F2430"/>
          <w:sz w:val="21"/>
          <w:szCs w:val="21"/>
        </w:rPr>
        <w:t xml:space="preserve">The certificate states plainly that it attests to a rehearsal, not to investment competence, and makes no durable-behaviour claim. Certification binds the result to an identity; it never improves the result.</w:t>
      </w:r>
    </w:p>
    <w:p>
      <w:pPr>
        <w:pStyle w:val="Heading2"/>
      </w:pPr>
      <w:r>
        <w:t xml:space="preserve">2.5  Four languages — text and voice</w:t>
      </w:r>
    </w:p>
    <w:p>
      <w:pPr>
        <w:spacing w:after="140" w:before="0" w:line="276"/>
      </w:pPr>
      <w:r>
        <w:rPr>
          <w:color w:val="1F2430"/>
          <w:sz w:val="21"/>
          <w:szCs w:val="21"/>
        </w:rPr>
        <w:t xml:space="preserve">English, Spanish, Chinese and Arabic ship complete. Paper III §10.2 makes language a first-class dimension of every scored determination rather than a display setting, so the localisation reaches all the way into the engine.</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900"/>
        <w:gridCol w:w="7120"/>
      </w:tblGrid>
      <w:tr>
        <w:trPr>
          <w:tblHeader/>
        </w:trPr>
        <w:tc>
          <w:tcPr>
            <w:tcW w:type="dxa" w:w="1900"/>
            <w:shd w:fill="EDEFF4" w:val="clear"/>
            <w:tcMar>
              <w:top w:type="dxa" w:w="70"/>
              <w:left w:type="dxa" w:w="110"/>
              <w:bottom w:type="dxa" w:w="70"/>
              <w:right w:type="dxa" w:w="110"/>
            </w:tcMar>
            <w:vAlign w:val="top"/>
          </w:tcPr>
          <w:p>
            <w:pPr>
              <w:spacing w:after="0" w:line="250"/>
            </w:pPr>
            <w:r>
              <w:rPr>
                <w:b/>
                <w:bCs/>
                <w:color w:val="16233A"/>
                <w:sz w:val="18"/>
                <w:szCs w:val="18"/>
              </w:rPr>
              <w:t xml:space="preserve">Layer</w:t>
            </w:r>
          </w:p>
        </w:tc>
        <w:tc>
          <w:tcPr>
            <w:tcW w:type="dxa" w:w="7120"/>
            <w:shd w:fill="EDEFF4" w:val="clear"/>
            <w:tcMar>
              <w:top w:type="dxa" w:w="70"/>
              <w:left w:type="dxa" w:w="110"/>
              <w:bottom w:type="dxa" w:w="70"/>
              <w:right w:type="dxa" w:w="110"/>
            </w:tcMar>
            <w:vAlign w:val="top"/>
          </w:tcPr>
          <w:p>
            <w:pPr>
              <w:spacing w:after="0" w:line="250"/>
            </w:pPr>
            <w:r>
              <w:rPr>
                <w:b/>
                <w:bCs/>
                <w:color w:val="16233A"/>
                <w:sz w:val="18"/>
                <w:szCs w:val="18"/>
              </w:rPr>
              <w:t xml:space="preserve">What is localised</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Voice out</w:t>
            </w:r>
          </w:p>
        </w:tc>
        <w:tc>
          <w:tcPr>
            <w:tcW w:type="dxa" w:w="7120"/>
            <w:shd w:fill="FFFFFF" w:val="clear"/>
            <w:tcMar>
              <w:top w:type="dxa" w:w="70"/>
              <w:left w:type="dxa" w:w="110"/>
              <w:bottom w:type="dxa" w:w="70"/>
              <w:right w:type="dxa" w:w="110"/>
            </w:tcMar>
            <w:vAlign w:val="top"/>
          </w:tcPr>
          <w:p>
            <w:pPr>
              <w:spacing w:after="0" w:line="250"/>
            </w:pPr>
            <w:r>
              <w:rPr>
                <w:color w:val="1F2430"/>
                <w:sz w:val="19"/>
                <w:szCs w:val="19"/>
              </w:rPr>
              <w:t xml:space="preserve">Speech-synthesis voice selected for the session's BCP-47 tag, with a distinct persona voice so the doctrine switch is audible. In the React build, the Klleon voice map carries the language onto the avatar's own voice and subtitle codes.</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Voice in</w:t>
            </w:r>
          </w:p>
        </w:tc>
        <w:tc>
          <w:tcPr>
            <w:tcW w:type="dxa" w:w="7120"/>
            <w:shd w:fill="F7F8FB" w:val="clear"/>
            <w:tcMar>
              <w:top w:type="dxa" w:w="70"/>
              <w:left w:type="dxa" w:w="110"/>
              <w:bottom w:type="dxa" w:w="70"/>
              <w:right w:type="dxa" w:w="110"/>
            </w:tcMar>
            <w:vAlign w:val="top"/>
          </w:tcPr>
          <w:p>
            <w:pPr>
              <w:spacing w:after="0" w:line="250"/>
            </w:pPr>
            <w:r>
              <w:rPr>
                <w:color w:val="1F2430"/>
                <w:sz w:val="19"/>
                <w:szCs w:val="19"/>
              </w:rPr>
              <w:t xml:space="preserve">Speech recognition runs in the session language.</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Knowledge objects</w:t>
            </w:r>
          </w:p>
        </w:tc>
        <w:tc>
          <w:tcPr>
            <w:tcW w:type="dxa" w:w="7120"/>
            <w:shd w:fill="FFFFFF" w:val="clear"/>
            <w:tcMar>
              <w:top w:type="dxa" w:w="70"/>
              <w:left w:type="dxa" w:w="110"/>
              <w:bottom w:type="dxa" w:w="70"/>
              <w:right w:type="dxa" w:w="110"/>
            </w:tcMar>
            <w:vAlign w:val="top"/>
          </w:tcPr>
          <w:p>
            <w:pPr>
              <w:spacing w:after="0" w:line="250"/>
            </w:pPr>
            <w:r>
              <w:rPr>
                <w:color w:val="1F2430"/>
                <w:sz w:val="19"/>
                <w:szCs w:val="19"/>
              </w:rPr>
              <w:t xml:space="preserve">Questions, challenges, escalation ladders, scenario props, failure-signature definitions and coaching lines, verification actions, PROTECT markers, element labels.</w:t>
            </w:r>
          </w:p>
        </w:tc>
      </w:tr>
      <w:tr>
        <w:tc>
          <w:tcPr>
            <w:tcW w:type="dxa" w:w="1900"/>
            <w:shd w:fill="F7F8FB" w:val="clear"/>
            <w:tcMar>
              <w:top w:type="dxa" w:w="70"/>
              <w:left w:type="dxa" w:w="110"/>
              <w:bottom w:type="dxa" w:w="70"/>
              <w:right w:type="dxa" w:w="110"/>
            </w:tcMar>
            <w:vAlign w:val="top"/>
          </w:tcPr>
          <w:p>
            <w:pPr>
              <w:spacing w:after="0" w:line="250"/>
            </w:pPr>
            <w:r>
              <w:rPr>
                <w:b/>
                <w:bCs/>
                <w:color w:val="1F2430"/>
                <w:sz w:val="19"/>
                <w:szCs w:val="19"/>
              </w:rPr>
              <w:t xml:space="preserve">Satisfaction cues</w:t>
            </w:r>
          </w:p>
        </w:tc>
        <w:tc>
          <w:tcPr>
            <w:tcW w:type="dxa" w:w="7120"/>
            <w:shd w:fill="F7F8FB" w:val="clear"/>
            <w:tcMar>
              <w:top w:type="dxa" w:w="70"/>
              <w:left w:type="dxa" w:w="110"/>
              <w:bottom w:type="dxa" w:w="70"/>
              <w:right w:type="dxa" w:w="110"/>
            </w:tcMar>
            <w:vAlign w:val="top"/>
          </w:tcPr>
          <w:p>
            <w:pPr>
              <w:spacing w:after="0" w:line="250"/>
            </w:pPr>
            <w:r>
              <w:rPr>
                <w:b/>
                <w:bCs/>
                <w:color w:val="1F2430"/>
                <w:sz w:val="19"/>
                <w:szCs w:val="19"/>
              </w:rPr>
              <w:t xml:space="preserve">The critical one. A Spanish answer is evaluated against Spanish cues. Ship English cues only and every element silently fails for every non-English learner, while the interface looks perfectly translated.</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Resistance detection</w:t>
            </w:r>
          </w:p>
        </w:tc>
        <w:tc>
          <w:tcPr>
            <w:tcW w:type="dxa" w:w="7120"/>
            <w:shd w:fill="FFFFFF" w:val="clear"/>
            <w:tcMar>
              <w:top w:type="dxa" w:w="70"/>
              <w:left w:type="dxa" w:w="110"/>
              <w:bottom w:type="dxa" w:w="70"/>
              <w:right w:type="dxa" w:w="110"/>
            </w:tcMar>
            <w:vAlign w:val="top"/>
          </w:tcPr>
          <w:p>
            <w:pPr>
              <w:spacing w:after="0" w:line="250"/>
            </w:pPr>
            <w:r>
              <w:rPr>
                <w:color w:val="1F2430"/>
                <w:sz w:val="19"/>
                <w:szCs w:val="19"/>
              </w:rPr>
              <w:t xml:space="preserve">Per-language patterns, because “I want to verify that myself” is not a translation exercise — it is the behaviour the retest measures.</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Explainability (AILS)</w:t>
            </w:r>
          </w:p>
        </w:tc>
        <w:tc>
          <w:tcPr>
            <w:tcW w:type="dxa" w:w="7120"/>
            <w:shd w:fill="F7F8FB" w:val="clear"/>
            <w:tcMar>
              <w:top w:type="dxa" w:w="70"/>
              <w:left w:type="dxa" w:w="110"/>
              <w:bottom w:type="dxa" w:w="70"/>
              <w:right w:type="dxa" w:w="110"/>
            </w:tcMar>
            <w:vAlign w:val="top"/>
          </w:tcPr>
          <w:p>
            <w:pPr>
              <w:spacing w:after="0" w:line="250"/>
            </w:pPr>
            <w:r>
              <w:rPr>
                <w:color w:val="1F2430"/>
                <w:sz w:val="19"/>
                <w:szCs w:val="19"/>
              </w:rPr>
              <w:t xml:space="preserve">Composed from record fields in the learner's language.</w:t>
            </w:r>
          </w:p>
        </w:tc>
      </w:tr>
    </w:tbl>
    <w:p>
      <w:pPr>
        <w:pStyle w:val="Heading3"/>
      </w:pPr>
      <w:r>
        <w:t xml:space="preserve">Fidelity status — read this before Madrid</w:t>
      </w:r>
    </w:p>
    <w:p>
      <w:pPr>
        <w:spacing w:after="140" w:before="0" w:line="276"/>
      </w:pPr>
      <w:r>
        <w:rPr>
          <w:color w:val="1F2430"/>
          <w:sz w:val="21"/>
          <w:szCs w:val="21"/>
        </w:rPr>
        <w:t xml:space="preserve">Paper III §10.2: language variants deploy only with fidelity status passed. Every variant carries its status and the landing screen shows it.</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500"/>
        <w:gridCol w:w="1900"/>
        <w:gridCol w:w="5620"/>
      </w:tblGrid>
      <w:tr>
        <w:trPr>
          <w:tblHeader/>
        </w:trPr>
        <w:tc>
          <w:tcPr>
            <w:tcW w:type="dxa" w:w="1500"/>
            <w:shd w:fill="EDEFF4" w:val="clear"/>
            <w:tcMar>
              <w:top w:type="dxa" w:w="70"/>
              <w:left w:type="dxa" w:w="110"/>
              <w:bottom w:type="dxa" w:w="70"/>
              <w:right w:type="dxa" w:w="110"/>
            </w:tcMar>
            <w:vAlign w:val="top"/>
          </w:tcPr>
          <w:p>
            <w:pPr>
              <w:spacing w:after="0" w:line="250"/>
            </w:pPr>
            <w:r>
              <w:rPr>
                <w:b/>
                <w:bCs/>
                <w:color w:val="16233A"/>
                <w:sz w:val="18"/>
                <w:szCs w:val="18"/>
              </w:rPr>
              <w:t xml:space="preserve">Language</w:t>
            </w:r>
          </w:p>
        </w:tc>
        <w:tc>
          <w:tcPr>
            <w:tcW w:type="dxa" w:w="1900"/>
            <w:shd w:fill="EDEFF4" w:val="clear"/>
            <w:tcMar>
              <w:top w:type="dxa" w:w="70"/>
              <w:left w:type="dxa" w:w="110"/>
              <w:bottom w:type="dxa" w:w="70"/>
              <w:right w:type="dxa" w:w="110"/>
            </w:tcMar>
            <w:vAlign w:val="top"/>
          </w:tcPr>
          <w:p>
            <w:pPr>
              <w:spacing w:after="0" w:line="250"/>
            </w:pPr>
            <w:r>
              <w:rPr>
                <w:b/>
                <w:bCs/>
                <w:color w:val="16233A"/>
                <w:sz w:val="18"/>
                <w:szCs w:val="18"/>
              </w:rPr>
              <w:t xml:space="preserve">Status</w:t>
            </w:r>
          </w:p>
        </w:tc>
        <w:tc>
          <w:tcPr>
            <w:tcW w:type="dxa" w:w="5620"/>
            <w:shd w:fill="EDEFF4" w:val="clear"/>
            <w:tcMar>
              <w:top w:type="dxa" w:w="70"/>
              <w:left w:type="dxa" w:w="110"/>
              <w:bottom w:type="dxa" w:w="70"/>
              <w:right w:type="dxa" w:w="110"/>
            </w:tcMar>
            <w:vAlign w:val="top"/>
          </w:tcPr>
          <w:p>
            <w:pPr>
              <w:spacing w:after="0" w:line="250"/>
            </w:pPr>
            <w:r>
              <w:rPr>
                <w:b/>
                <w:bCs/>
                <w:color w:val="16233A"/>
                <w:sz w:val="18"/>
                <w:szCs w:val="18"/>
              </w:rPr>
              <w:t xml:space="preserve">Position</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English</w:t>
            </w:r>
          </w:p>
        </w:tc>
        <w:tc>
          <w:tcPr>
            <w:tcW w:type="dxa" w:w="1900"/>
            <w:shd w:fill="FFFFFF" w:val="clear"/>
            <w:tcMar>
              <w:top w:type="dxa" w:w="70"/>
              <w:left w:type="dxa" w:w="110"/>
              <w:bottom w:type="dxa" w:w="70"/>
              <w:right w:type="dxa" w:w="110"/>
            </w:tcMar>
            <w:vAlign w:val="top"/>
          </w:tcPr>
          <w:p>
            <w:pPr>
              <w:spacing w:after="0" w:line="250"/>
            </w:pPr>
            <w:r>
              <w:rPr>
                <w:rFonts w:ascii="Consolas" w:cs="Consolas" w:eastAsia="Consolas" w:hAnsi="Consolas"/>
                <w:b/>
                <w:bCs/>
                <w:color w:val="2E6B3E"/>
                <w:sz w:val="17"/>
                <w:szCs w:val="17"/>
              </w:rPr>
              <w:t xml:space="preserve">passed</w:t>
            </w:r>
          </w:p>
        </w:tc>
        <w:tc>
          <w:tcPr>
            <w:tcW w:type="dxa" w:w="5620"/>
            <w:shd w:fill="FFFFFF" w:val="clear"/>
            <w:tcMar>
              <w:top w:type="dxa" w:w="70"/>
              <w:left w:type="dxa" w:w="110"/>
              <w:bottom w:type="dxa" w:w="70"/>
              <w:right w:type="dxa" w:w="110"/>
            </w:tcMar>
            <w:vAlign w:val="top"/>
          </w:tcPr>
          <w:p>
            <w:pPr>
              <w:spacing w:after="0" w:line="250"/>
            </w:pPr>
            <w:r>
              <w:rPr>
                <w:color w:val="1F2430"/>
                <w:sz w:val="19"/>
                <w:szCs w:val="19"/>
              </w:rPr>
              <w:t xml:space="preserve">Deployable.</w:t>
            </w:r>
          </w:p>
        </w:tc>
      </w:tr>
      <w:tr>
        <w:tc>
          <w:tcPr>
            <w:tcW w:type="dxa" w:w="1500"/>
            <w:shd w:fill="F7F8FB" w:val="clear"/>
            <w:tcMar>
              <w:top w:type="dxa" w:w="70"/>
              <w:left w:type="dxa" w:w="110"/>
              <w:bottom w:type="dxa" w:w="70"/>
              <w:right w:type="dxa" w:w="110"/>
            </w:tcMar>
            <w:vAlign w:val="top"/>
          </w:tcPr>
          <w:p>
            <w:pPr>
              <w:spacing w:after="0" w:line="250"/>
            </w:pPr>
            <w:r>
              <w:rPr>
                <w:color w:val="1F2430"/>
                <w:sz w:val="19"/>
                <w:szCs w:val="19"/>
              </w:rPr>
              <w:t xml:space="preserve">Spanish</w:t>
            </w:r>
          </w:p>
        </w:tc>
        <w:tc>
          <w:tcPr>
            <w:tcW w:type="dxa" w:w="1900"/>
            <w:shd w:fill="F7F8FB" w:val="clear"/>
            <w:tcMar>
              <w:top w:type="dxa" w:w="70"/>
              <w:left w:type="dxa" w:w="110"/>
              <w:bottom w:type="dxa" w:w="70"/>
              <w:right w:type="dxa" w:w="110"/>
            </w:tcMar>
            <w:vAlign w:val="top"/>
          </w:tcPr>
          <w:p>
            <w:pPr>
              <w:spacing w:after="0" w:line="250"/>
            </w:pPr>
            <w:r>
              <w:rPr>
                <w:rFonts w:ascii="Consolas" w:cs="Consolas" w:eastAsia="Consolas" w:hAnsi="Consolas"/>
                <w:b/>
                <w:bCs/>
                <w:color w:val="8A6A1F"/>
                <w:sz w:val="17"/>
                <w:szCs w:val="17"/>
              </w:rPr>
              <w:t xml:space="preserve">review-pending</w:t>
            </w:r>
          </w:p>
        </w:tc>
        <w:tc>
          <w:tcPr>
            <w:tcW w:type="dxa" w:w="5620"/>
            <w:shd w:fill="F7F8FB" w:val="clear"/>
            <w:tcMar>
              <w:top w:type="dxa" w:w="70"/>
              <w:left w:type="dxa" w:w="110"/>
              <w:bottom w:type="dxa" w:w="70"/>
              <w:right w:type="dxa" w:w="110"/>
            </w:tcMar>
            <w:vAlign w:val="top"/>
          </w:tcPr>
          <w:p>
            <w:pPr>
              <w:spacing w:after="0" w:line="250"/>
            </w:pPr>
            <w:r>
              <w:rPr>
                <w:color w:val="1F2430"/>
                <w:sz w:val="19"/>
                <w:szCs w:val="19"/>
              </w:rPr>
              <w:t xml:space="preserve">Complete and demonstrable, not native-reviewed. Get this one signed off before Madrid.</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Chinese</w:t>
            </w:r>
          </w:p>
        </w:tc>
        <w:tc>
          <w:tcPr>
            <w:tcW w:type="dxa" w:w="1900"/>
            <w:shd w:fill="FFFFFF" w:val="clear"/>
            <w:tcMar>
              <w:top w:type="dxa" w:w="70"/>
              <w:left w:type="dxa" w:w="110"/>
              <w:bottom w:type="dxa" w:w="70"/>
              <w:right w:type="dxa" w:w="110"/>
            </w:tcMar>
            <w:vAlign w:val="top"/>
          </w:tcPr>
          <w:p>
            <w:pPr>
              <w:spacing w:after="0" w:line="250"/>
            </w:pPr>
            <w:r>
              <w:rPr>
                <w:rFonts w:ascii="Consolas" w:cs="Consolas" w:eastAsia="Consolas" w:hAnsi="Consolas"/>
                <w:b/>
                <w:bCs/>
                <w:color w:val="8A6A1F"/>
                <w:sz w:val="17"/>
                <w:szCs w:val="17"/>
              </w:rPr>
              <w:t xml:space="preserve">review-pending</w:t>
            </w:r>
          </w:p>
        </w:tc>
        <w:tc>
          <w:tcPr>
            <w:tcW w:type="dxa" w:w="5620"/>
            <w:shd w:fill="FFFFFF" w:val="clear"/>
            <w:tcMar>
              <w:top w:type="dxa" w:w="70"/>
              <w:left w:type="dxa" w:w="110"/>
              <w:bottom w:type="dxa" w:w="70"/>
              <w:right w:type="dxa" w:w="110"/>
            </w:tcMar>
            <w:vAlign w:val="top"/>
          </w:tcPr>
          <w:p>
            <w:pPr>
              <w:spacing w:after="0" w:line="250"/>
            </w:pPr>
            <w:r>
              <w:rPr>
                <w:color w:val="1F2430"/>
                <w:sz w:val="19"/>
                <w:szCs w:val="19"/>
              </w:rPr>
              <w:t xml:space="preserve">Complete and demonstrable, not native-reviewed.</w:t>
            </w:r>
          </w:p>
        </w:tc>
      </w:tr>
      <w:tr>
        <w:tc>
          <w:tcPr>
            <w:tcW w:type="dxa" w:w="1500"/>
            <w:shd w:fill="F7F8FB" w:val="clear"/>
            <w:tcMar>
              <w:top w:type="dxa" w:w="70"/>
              <w:left w:type="dxa" w:w="110"/>
              <w:bottom w:type="dxa" w:w="70"/>
              <w:right w:type="dxa" w:w="110"/>
            </w:tcMar>
            <w:vAlign w:val="top"/>
          </w:tcPr>
          <w:p>
            <w:pPr>
              <w:spacing w:after="0" w:line="250"/>
            </w:pPr>
            <w:r>
              <w:rPr>
                <w:color w:val="1F2430"/>
                <w:sz w:val="19"/>
                <w:szCs w:val="19"/>
              </w:rPr>
              <w:t xml:space="preserve">Arabic</w:t>
            </w:r>
          </w:p>
        </w:tc>
        <w:tc>
          <w:tcPr>
            <w:tcW w:type="dxa" w:w="1900"/>
            <w:shd w:fill="F7F8FB" w:val="clear"/>
            <w:tcMar>
              <w:top w:type="dxa" w:w="70"/>
              <w:left w:type="dxa" w:w="110"/>
              <w:bottom w:type="dxa" w:w="70"/>
              <w:right w:type="dxa" w:w="110"/>
            </w:tcMar>
            <w:vAlign w:val="top"/>
          </w:tcPr>
          <w:p>
            <w:pPr>
              <w:spacing w:after="0" w:line="250"/>
            </w:pPr>
            <w:r>
              <w:rPr>
                <w:rFonts w:ascii="Consolas" w:cs="Consolas" w:eastAsia="Consolas" w:hAnsi="Consolas"/>
                <w:b/>
                <w:bCs/>
                <w:color w:val="8A6A1F"/>
                <w:sz w:val="17"/>
                <w:szCs w:val="17"/>
              </w:rPr>
              <w:t xml:space="preserve">review-pending</w:t>
            </w:r>
          </w:p>
        </w:tc>
        <w:tc>
          <w:tcPr>
            <w:tcW w:type="dxa" w:w="5620"/>
            <w:shd w:fill="F7F8FB" w:val="clear"/>
            <w:tcMar>
              <w:top w:type="dxa" w:w="70"/>
              <w:left w:type="dxa" w:w="110"/>
              <w:bottom w:type="dxa" w:w="70"/>
              <w:right w:type="dxa" w:w="110"/>
            </w:tcMar>
            <w:vAlign w:val="top"/>
          </w:tcPr>
          <w:p>
            <w:pPr>
              <w:spacing w:after="0" w:line="250"/>
            </w:pPr>
            <w:r>
              <w:rPr>
                <w:color w:val="1F2430"/>
                <w:sz w:val="19"/>
                <w:szCs w:val="19"/>
              </w:rPr>
              <w:t xml:space="preserve">Complete and demonstrable, not native-reviewed. RTL, cursive joining and font-stack handling are done.</w:t>
            </w:r>
          </w:p>
        </w:tc>
      </w:tr>
    </w:tbl>
    <w:p>
      <w:pPr>
        <w:spacing w:after="140" w:before="0" w:line="276"/>
      </w:pPr>
      <w:r>
        <w:rPr>
          <w:color w:val="1F2430"/>
          <w:sz w:val="21"/>
          <w:szCs w:val="21"/>
        </w:rPr>
        <w:t xml:space="preserve">Spanish is the one that matters for Madrid. It is the host language, a native speaker in the room will hear any stiffness in the persona's pressure lines, and those lines have to sound like a real salesperson or the entire authentic-pressure doctrine reads as translation. Set the status to passed in the locale file once a reviewer signs it off; the landing copy follows automatically.</w:t>
      </w:r>
    </w:p>
    <w:p>
      <w:pPr>
        <w:pStyle w:val="Heading2"/>
      </w:pPr>
      <w:r>
        <w:t xml:space="preserve">2.6  The invariants a future change must not break</w:t>
      </w:r>
    </w:p>
    <w:p>
      <w:pPr>
        <w:spacing w:after="140" w:before="0" w:line="276"/>
      </w:pPr>
      <w:r>
        <w:rPr>
          <w:color w:val="1F2430"/>
          <w:sz w:val="21"/>
          <w:szCs w:val="21"/>
        </w:rPr>
        <w:t xml:space="preserve">These are doctrine from Paper III, not preferences. Each is enforced in code at a named place, so a component change cannot quietly undo it.</w:t>
      </w:r>
    </w:p>
    <w:p>
      <w:pPr>
        <w:pStyle w:val="ListParagraph"/>
        <w:numPr>
          <w:ilvl w:val="0"/>
          <w:numId w:val="2"/>
        </w:numPr>
        <w:spacing w:after="90" w:line="268"/>
      </w:pPr>
      <w:r>
        <w:rPr>
          <w:color w:val="1F2430"/>
          <w:sz w:val="21"/>
          <w:szCs w:val="21"/>
        </w:rPr>
        <w:t xml:space="preserve">The face is never occluded. All content renders inside the overlay container; there is no path for a component to draw over the face.</w:t>
      </w:r>
    </w:p>
    <w:p>
      <w:pPr>
        <w:pStyle w:val="ListParagraph"/>
        <w:numPr>
          <w:ilvl w:val="0"/>
          <w:numId w:val="2"/>
        </w:numPr>
        <w:spacing w:after="90" w:line="268"/>
      </w:pPr>
      <w:r>
        <w:rPr>
          <w:color w:val="1F2430"/>
          <w:sz w:val="21"/>
          <w:szCs w:val="21"/>
        </w:rPr>
        <w:t xml:space="preserve">Voice is the primary affordance. No multiple-choice component exists in the codebase, and no text input is offered as a session fallback — typing produces edited answers, and the interview needs unedited ones.</w:t>
      </w:r>
    </w:p>
    <w:p>
      <w:pPr>
        <w:pStyle w:val="ListParagraph"/>
        <w:numPr>
          <w:ilvl w:val="0"/>
          <w:numId w:val="2"/>
        </w:numPr>
        <w:spacing w:after="90" w:line="268"/>
      </w:pPr>
      <w:r>
        <w:rPr>
          <w:color w:val="1F2430"/>
          <w:sz w:val="21"/>
          <w:szCs w:val="21"/>
        </w:rPr>
        <w:t xml:space="preserve">The freeze rule. The reasoning map stops updating during a challenge and shows its pre-challenge state, dimmed. Freeze means stop updating, not go blank, and a failing element never flips live.</w:t>
      </w:r>
    </w:p>
    <w:p>
      <w:pPr>
        <w:pStyle w:val="ListParagraph"/>
        <w:numPr>
          <w:ilvl w:val="0"/>
          <w:numId w:val="2"/>
        </w:numPr>
        <w:spacing w:after="90" w:line="268"/>
      </w:pPr>
      <w:r>
        <w:rPr>
          <w:color w:val="1F2430"/>
          <w:sz w:val="21"/>
          <w:szCs w:val="21"/>
        </w:rPr>
        <w:t xml:space="preserve">No mid-scenario correction. The persona never breaks character except on a distress or exit trigger. The learner is allowed to make the mistake; that is where the behavioural evidence comes from.</w:t>
      </w:r>
    </w:p>
    <w:p>
      <w:pPr>
        <w:pStyle w:val="ListParagraph"/>
        <w:numPr>
          <w:ilvl w:val="0"/>
          <w:numId w:val="2"/>
        </w:numPr>
        <w:spacing w:after="90" w:line="268"/>
      </w:pPr>
      <w:r>
        <w:rPr>
          <w:color w:val="1F2430"/>
          <w:sz w:val="21"/>
          <w:szCs w:val="21"/>
        </w:rPr>
        <w:t xml:space="preserve">The mode gate is object-level. A challenge object can never fire outside REHEARSE.</w:t>
      </w:r>
    </w:p>
    <w:p>
      <w:pPr>
        <w:pStyle w:val="ListParagraph"/>
        <w:numPr>
          <w:ilvl w:val="0"/>
          <w:numId w:val="2"/>
        </w:numPr>
        <w:spacing w:after="90" w:line="268"/>
      </w:pPr>
      <w:r>
        <w:rPr>
          <w:color w:val="1F2430"/>
          <w:sz w:val="21"/>
          <w:szCs w:val="21"/>
        </w:rPr>
        <w:t xml:space="preserve">Explainability reads only from the Reasoning Map. The Situation Map routes scenarios and PROTECT markers and is never rendered in REHEARSE.</w:t>
      </w:r>
    </w:p>
    <w:p>
      <w:pPr>
        <w:pStyle w:val="ListParagraph"/>
        <w:numPr>
          <w:ilvl w:val="0"/>
          <w:numId w:val="2"/>
        </w:numPr>
        <w:spacing w:after="90" w:line="268"/>
      </w:pPr>
      <w:r>
        <w:rPr>
          <w:color w:val="1F2430"/>
          <w:sz w:val="21"/>
          <w:szCs w:val="21"/>
        </w:rPr>
        <w:t xml:space="preserve">Every determination is bound verbatim. Nothing on the scorecard is generated prose; every cell points at the learner's own sentence and the object that elicited it.</w:t>
      </w:r>
    </w:p>
    <w:p>
      <w:pPr>
        <w:pStyle w:val="ListParagraph"/>
        <w:numPr>
          <w:ilvl w:val="0"/>
          <w:numId w:val="2"/>
        </w:numPr>
        <w:spacing w:after="90" w:line="268"/>
      </w:pPr>
      <w:r>
        <w:rPr>
          <w:color w:val="1F2430"/>
          <w:sz w:val="21"/>
          <w:szCs w:val="21"/>
        </w:rPr>
        <w:t xml:space="preserve">Within-session transfer only. The scorecard prints the rule version and states that durable transfer is not claimed. Restraint delivered as credibility.</w:t>
      </w:r>
    </w:p>
    <w:p>
      <w:pPr>
        <w:pStyle w:val="ListParagraph"/>
        <w:numPr>
          <w:ilvl w:val="0"/>
          <w:numId w:val="2"/>
        </w:numPr>
        <w:spacing w:after="90" w:line="268"/>
      </w:pPr>
      <w:r>
        <w:rPr>
          <w:color w:val="1F2430"/>
          <w:sz w:val="21"/>
          <w:szCs w:val="21"/>
        </w:rPr>
        <w:t xml:space="preserve">Ontology is data. Adding a scam typology, element or signature is an edit to the object file, never a component change.</w:t>
      </w:r>
    </w:p>
    <w:p>
      <w:pPr>
        <w:pStyle w:val="ListParagraph"/>
        <w:numPr>
          <w:ilvl w:val="0"/>
          <w:numId w:val="2"/>
        </w:numPr>
        <w:spacing w:after="90" w:line="268"/>
      </w:pPr>
      <w:r>
        <w:rPr>
          <w:color w:val="1F2430"/>
          <w:sz w:val="21"/>
          <w:szCs w:val="21"/>
        </w:rPr>
        <w:t xml:space="preserve">No account wall before the first session.</w:t>
      </w:r>
    </w:p>
    <w:p>
      <w:pPr>
        <w:pStyle w:val="ListParagraph"/>
        <w:numPr>
          <w:ilvl w:val="0"/>
          <w:numId w:val="2"/>
        </w:numPr>
        <w:spacing w:after="90" w:line="268"/>
      </w:pPr>
      <w:r>
        <w:rPr>
          <w:color w:val="1F2430"/>
          <w:sz w:val="21"/>
          <w:szCs w:val="21"/>
        </w:rPr>
        <w:t xml:space="preserve">The overlay zone scrolls, it does not squeeze. A shrunk flex item overflows its own box and collides with the next one — the mobile defect this rule exists to prevent.</w:t>
      </w:r>
    </w:p>
    <w:p>
      <w:pPr>
        <w:pStyle w:val="ListParagraph"/>
        <w:numPr>
          <w:ilvl w:val="0"/>
          <w:numId w:val="2"/>
        </w:numPr>
        <w:spacing w:after="90" w:line="268"/>
      </w:pPr>
      <w:r>
        <w:rPr>
          <w:color w:val="1F2430"/>
          <w:sz w:val="21"/>
          <w:szCs w:val="21"/>
        </w:rPr>
        <w:t xml:space="preserve">The figure is sized from a figure box, not the viewport. Deriving proportions from height alone throws the shoulders past both edges on a phone and it stops reading as a person.</w:t>
      </w:r>
    </w:p>
    <w:p>
      <w:pPr>
        <w:pStyle w:val="ListParagraph"/>
        <w:numPr>
          <w:ilvl w:val="0"/>
          <w:numId w:val="2"/>
        </w:numPr>
        <w:spacing w:after="90" w:line="268"/>
      </w:pPr>
      <w:r>
        <w:rPr>
          <w:color w:val="1F2430"/>
          <w:sz w:val="21"/>
          <w:szCs w:val="21"/>
        </w:rPr>
        <w:t xml:space="preserve">Satisfaction cues are localised with the question. Adding a language means adding its cues and its resistance pattern.</w:t>
      </w:r>
    </w:p>
    <w:p>
      <w:pPr>
        <w:pStyle w:val="ListParagraph"/>
        <w:numPr>
          <w:ilvl w:val="0"/>
          <w:numId w:val="2"/>
        </w:numPr>
        <w:spacing w:after="90" w:line="268"/>
      </w:pPr>
      <w:r>
        <w:rPr>
          <w:color w:val="1F2430"/>
          <w:sz w:val="21"/>
          <w:szCs w:val="21"/>
        </w:rPr>
        <w:t xml:space="preserve">Only signatures the Coach actually explained may show a coach result. Crediting an untaught element overstates the record.</w:t>
      </w:r>
    </w:p>
    <w:p>
      <w:pPr>
        <w:pStyle w:val="Heading2"/>
      </w:pPr>
      <w:r>
        <w:t xml:space="preserve">2.7  What was built</w:t>
      </w:r>
    </w:p>
    <w:p>
      <w:pPr>
        <w:shd w:fill="F4F5F8" w:val="clear"/>
        <w:spacing w:after="60" w:before="60" w:line="240"/>
        <w:ind w:left="170"/>
      </w:pPr>
      <w:r>
        <w:rPr>
          <w:rFonts w:ascii="Consolas" w:cs="Consolas" w:eastAsia="Consolas" w:hAnsi="Consolas"/>
          <w:color w:val="27324A"/>
          <w:sz w:val="18"/>
          <w:szCs w:val="18"/>
        </w:rPr>
        <w:t xml:space="preserve">src/lib/auren/</w:t>
      </w:r>
    </w:p>
    <w:p>
      <w:pPr>
        <w:shd w:fill="F4F5F8" w:val="clear"/>
        <w:spacing w:after="60" w:before="60" w:line="240"/>
        <w:ind w:left="170"/>
      </w:pPr>
      <w:r>
        <w:rPr>
          <w:rFonts w:ascii="Consolas" w:cs="Consolas" w:eastAsia="Consolas" w:hAnsi="Consolas"/>
          <w:color w:val="27324A"/>
          <w:sz w:val="18"/>
          <w:szCs w:val="18"/>
        </w:rPr>
        <w:t xml:space="preserve">  objects.ts   Frozen inventory as DATA: 8 competency elements with authority</w:t>
      </w:r>
    </w:p>
    <w:p>
      <w:pPr>
        <w:shd w:fill="F4F5F8" w:val="clear"/>
        <w:spacing w:after="60" w:before="60" w:line="240"/>
        <w:ind w:left="170"/>
      </w:pPr>
      <w:r>
        <w:rPr>
          <w:rFonts w:ascii="Consolas" w:cs="Consolas" w:eastAsia="Consolas" w:hAnsi="Consolas"/>
          <w:color w:val="27324A"/>
          <w:sz w:val="18"/>
          <w:szCs w:val="18"/>
        </w:rPr>
        <w:t xml:space="preserve">               anchors, 8 failure signatures, 4 question objects, 2 challenge</w:t>
      </w:r>
    </w:p>
    <w:p>
      <w:pPr>
        <w:shd w:fill="F4F5F8" w:val="clear"/>
        <w:spacing w:after="60" w:before="60" w:line="240"/>
        <w:ind w:left="170"/>
      </w:pPr>
      <w:r>
        <w:rPr>
          <w:rFonts w:ascii="Consolas" w:cs="Consolas" w:eastAsia="Consolas" w:hAnsi="Consolas"/>
          <w:color w:val="27324A"/>
          <w:sz w:val="18"/>
          <w:szCs w:val="18"/>
        </w:rPr>
        <w:t xml:space="preserve">               objects with surface profiles and escalation ladders,</w:t>
      </w:r>
    </w:p>
    <w:p>
      <w:pPr>
        <w:shd w:fill="F4F5F8" w:val="clear"/>
        <w:spacing w:after="60" w:before="60" w:line="240"/>
        <w:ind w:left="170"/>
      </w:pPr>
      <w:r>
        <w:rPr>
          <w:rFonts w:ascii="Consolas" w:cs="Consolas" w:eastAsia="Consolas" w:hAnsi="Consolas"/>
          <w:color w:val="27324A"/>
          <w:sz w:val="18"/>
          <w:szCs w:val="18"/>
        </w:rPr>
        <w:t xml:space="preserve">               verification actions, PROTECT markers, the element budget.</w:t>
      </w:r>
    </w:p>
    <w:p>
      <w:pPr>
        <w:shd w:fill="F4F5F8" w:val="clear"/>
        <w:spacing w:after="60" w:before="60" w:line="240"/>
        <w:ind w:left="170"/>
      </w:pPr>
      <w:r>
        <w:rPr>
          <w:rFonts w:ascii="Consolas" w:cs="Consolas" w:eastAsia="Consolas" w:hAnsi="Consolas"/>
          <w:color w:val="27324A"/>
          <w:sz w:val="18"/>
          <w:szCs w:val="18"/>
        </w:rPr>
        <w:t xml:space="preserve">  i18n.ts      Four languages, ~130 interface strings, per-language fidelity.</w:t>
      </w:r>
    </w:p>
    <w:p>
      <w:pPr>
        <w:shd w:fill="F4F5F8" w:val="clear"/>
        <w:spacing w:after="60" w:before="60" w:line="240"/>
        <w:ind w:left="170"/>
      </w:pPr>
      <w:r>
        <w:rPr>
          <w:rFonts w:ascii="Consolas" w:cs="Consolas" w:eastAsia="Consolas" w:hAnsi="Consolas"/>
          <w:color w:val="27324A"/>
          <w:sz w:val="18"/>
          <w:szCs w:val="18"/>
        </w:rPr>
        <w:t xml:space="preserve">  session.ts   Session model, engine states, satisfaction-rule evaluation, the</w:t>
      </w:r>
    </w:p>
    <w:p>
      <w:pPr>
        <w:shd w:fill="F4F5F8" w:val="clear"/>
        <w:spacing w:after="60" w:before="60" w:line="240"/>
        <w:ind w:left="170"/>
      </w:pPr>
      <w:r>
        <w:rPr>
          <w:rFonts w:ascii="Consolas" w:cs="Consolas" w:eastAsia="Consolas" w:hAnsi="Consolas"/>
          <w:color w:val="27324A"/>
          <w:sz w:val="18"/>
          <w:szCs w:val="18"/>
        </w:rPr>
        <w:t xml:space="preserve">               surface-distance retest selector, the mode gate, AILS, verdict.</w:t>
      </w:r>
    </w:p>
    <w:p>
      <w:pPr>
        <w:shd w:fill="F4F5F8" w:val="clear"/>
        <w:spacing w:after="60" w:before="60" w:line="240"/>
        <w:ind w:left="170"/>
      </w:pPr>
      <w:r>
        <w:rPr>
          <w:rFonts w:ascii="Consolas" w:cs="Consolas" w:eastAsia="Consolas" w:hAnsi="Consolas"/>
          <w:color w:val="27324A"/>
          <w:sz w:val="18"/>
          <w:szCs w:val="18"/>
        </w:rPr>
        <w:t xml:space="preserve"/>
      </w:r>
    </w:p>
    <w:p>
      <w:pPr>
        <w:shd w:fill="F4F5F8" w:val="clear"/>
        <w:spacing w:after="60" w:before="60" w:line="240"/>
        <w:ind w:left="170"/>
      </w:pPr>
      <w:r>
        <w:rPr>
          <w:rFonts w:ascii="Consolas" w:cs="Consolas" w:eastAsia="Consolas" w:hAnsi="Consolas"/>
          <w:color w:val="27324A"/>
          <w:sz w:val="18"/>
          <w:szCs w:val="18"/>
        </w:rPr>
        <w:t xml:space="preserve">src/components/auren/</w:t>
      </w:r>
    </w:p>
    <w:p>
      <w:pPr>
        <w:shd w:fill="F4F5F8" w:val="clear"/>
        <w:spacing w:after="60" w:before="60" w:line="240"/>
        <w:ind w:left="170"/>
      </w:pPr>
      <w:r>
        <w:rPr>
          <w:rFonts w:ascii="Consolas" w:cs="Consolas" w:eastAsia="Consolas" w:hAnsi="Consolas"/>
          <w:color w:val="27324A"/>
          <w:sz w:val="18"/>
          <w:szCs w:val="18"/>
        </w:rPr>
        <w:t xml:space="preserve">  AurenApp.tsx            Stage router driving the loop over useKlleonAvatar.</w:t>
      </w:r>
    </w:p>
    <w:p>
      <w:pPr>
        <w:shd w:fill="F4F5F8" w:val="clear"/>
        <w:spacing w:after="60" w:before="60" w:line="240"/>
        <w:ind w:left="170"/>
      </w:pPr>
      <w:r>
        <w:rPr>
          <w:rFonts w:ascii="Consolas" w:cs="Consolas" w:eastAsia="Consolas" w:hAnsi="Consolas"/>
          <w:color w:val="27324A"/>
          <w:sz w:val="18"/>
          <w:szCs w:val="18"/>
        </w:rPr>
        <w:t xml:space="preserve">  ReasoningMapRail.tsx    Three states; the freeze rule lives here.</w:t>
      </w:r>
    </w:p>
    <w:p>
      <w:pPr>
        <w:shd w:fill="F4F5F8" w:val="clear"/>
        <w:spacing w:after="60" w:before="60" w:line="240"/>
        <w:ind w:left="170"/>
      </w:pPr>
      <w:r>
        <w:rPr>
          <w:rFonts w:ascii="Consolas" w:cs="Consolas" w:eastAsia="Consolas" w:hAnsi="Consolas"/>
          <w:color w:val="27324A"/>
          <w:sz w:val="18"/>
          <w:szCs w:val="18"/>
        </w:rPr>
        <w:t xml:space="preserve">  CoachEvidencePanel.tsx  Beat-driven, so the caller stages it as a cut.</w:t>
      </w:r>
    </w:p>
    <w:p>
      <w:pPr>
        <w:shd w:fill="F4F5F8" w:val="clear"/>
        <w:spacing w:after="60" w:before="60" w:line="240"/>
        <w:ind w:left="170"/>
      </w:pPr>
      <w:r>
        <w:rPr>
          <w:rFonts w:ascii="Consolas" w:cs="Consolas" w:eastAsia="Consolas" w:hAnsi="Consolas"/>
          <w:color w:val="27324A"/>
          <w:sz w:val="18"/>
          <w:szCs w:val="18"/>
        </w:rPr>
        <w:t xml:space="preserve">  Scorecard.tsx           Verdict first, then the four-column evidence chain.</w:t>
      </w:r>
    </w:p>
    <w:p>
      <w:pPr>
        <w:spacing w:after="80"/>
      </w:pPr>
    </w:p>
    <w:p>
      <w:pPr>
        <w:spacing w:after="140" w:before="0" w:line="276"/>
      </w:pPr>
      <w:r>
        <w:rPr>
          <w:color w:val="1F2430"/>
          <w:sz w:val="21"/>
          <w:szCs w:val="21"/>
        </w:rPr>
        <w:t xml:space="preserve">Carried over from the existing citizen experience, unchanged: the Klleon avatar hook and adapter (microphone lifecycle, speech-to-text, text-to-speech, audio-unlock gesture, echo suppression) and the face-zone / overlay-zone layout law. That reuse is the reason the AUREN build took days rather than months, and it is the practical proof that the runtime is a platform asset rather than a per-client build.</w:t>
      </w:r>
    </w:p>
    <w:p>
      <w:pPr>
        <w:pStyle w:val="Heading3"/>
      </w:pPr>
      <w:r>
        <w:t xml:space="preserve">The defect that was worth the most</w:t>
      </w:r>
    </w:p>
    <w:p>
      <w:pPr>
        <w:spacing w:after="140" w:before="0" w:line="276"/>
      </w:pPr>
      <w:r>
        <w:rPr>
          <w:color w:val="1F2430"/>
          <w:sz w:val="21"/>
          <w:szCs w:val="21"/>
        </w:rPr>
        <w:t xml:space="preserve">Sessions abandoned mid-loop kept resolving their awaited chain after the learner had left it — writing captions and binding failure signatures in the old session's language while the new session painted the new one. It presented as “Chinese text appearing under the English interface”, which reads like a translation bug and is not one. It is a cancellation bug. The fix is a session generation token: every stage captures the generation it started in and abandons itself if the generation has moved on. Three abandonment paths are regression-tested.</w:t>
      </w:r>
    </w:p>
    <w:p>
      <w:pPr>
        <w:pBdr>
          <w:left w:val="single" w:color="6B5BB5" w:sz="18" w:space="8"/>
        </w:pBdr>
        <w:shd w:fill="F2EFFA" w:val="clear"/>
        <w:spacing w:after="180" w:before="160" w:line="276"/>
        <w:ind w:left="170" w:right="170"/>
      </w:pPr>
      <w:r>
        <w:rPr>
          <w:b/>
          <w:bCs/>
          <w:color w:val="6B5BB5"/>
          <w:sz w:val="16"/>
          <w:szCs w:val="16"/>
        </w:rPr>
        <w:t xml:space="preserve">ENGINEERING NOTE  </w:t>
      </w:r>
      <w:r>
        <w:rPr>
          <w:i w:val="false"/>
          <w:iCs w:val="false"/>
          <w:color w:val="2A2140"/>
          <w:sz w:val="21"/>
          <w:szCs w:val="21"/>
        </w:rPr>
        <w:t xml:space="preserve">Worth stating plainly because it will recur in every vertical: any voice product with an awaited turn-taking chain has this bug until it is explicitly cancelled. It is invisible in a scripted demo and obvious the moment a real user backs out.</w:t>
      </w:r>
    </w:p>
    <w:p>
      <w:pPr>
        <w:pStyle w:val="Heading1"/>
        <w:pageBreakBefore/>
      </w:pPr>
      <w:r>
        <w:t xml:space="preserve">Part III — Layer 1: Knowledge Authority, the governance console</w:t>
      </w:r>
    </w:p>
    <w:p>
      <w:pPr>
        <w:spacing w:after="140" w:before="0" w:line="276"/>
      </w:pPr>
      <w:r>
        <w:rPr>
          <w:color w:val="1F2430"/>
          <w:sz w:val="21"/>
          <w:szCs w:val="21"/>
        </w:rPr>
        <w:t xml:space="preserve">This is the layer that decides whether BYOND has a platform or three bespoke builds. It is also, commercially, the layer that closes the deal: the runtime wins the room, the console survives procurement.</w:t>
      </w:r>
    </w:p>
    <w:p>
      <w:pPr>
        <w:pStyle w:val="Heading2"/>
      </w:pPr>
      <w:r>
        <w:t xml:space="preserve">3.1  What it is, and what it deliberately is not</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300"/>
        <w:gridCol w:w="6720"/>
      </w:tblGrid>
      <w:tr>
        <w:trPr>
          <w:tblHeader/>
        </w:trPr>
        <w:tc>
          <w:tcPr>
            <w:tcW w:type="dxa" w:w="2300"/>
            <w:shd w:fill="EDEFF4" w:val="clear"/>
            <w:tcMar>
              <w:top w:type="dxa" w:w="70"/>
              <w:left w:type="dxa" w:w="110"/>
              <w:bottom w:type="dxa" w:w="70"/>
              <w:right w:type="dxa" w:w="110"/>
            </w:tcMar>
            <w:vAlign w:val="top"/>
          </w:tcPr>
          <w:p>
            <w:pPr>
              <w:spacing w:after="0" w:line="250"/>
            </w:pPr>
            <w:r>
              <w:rPr>
                <w:b/>
                <w:bCs/>
                <w:color w:val="16233A"/>
                <w:sz w:val="18"/>
                <w:szCs w:val="18"/>
              </w:rPr>
              <w:t xml:space="preserve"/>
            </w:r>
          </w:p>
        </w:tc>
        <w:tc>
          <w:tcPr>
            <w:tcW w:type="dxa" w:w="6720"/>
            <w:shd w:fill="EDEFF4" w:val="clear"/>
            <w:tcMar>
              <w:top w:type="dxa" w:w="70"/>
              <w:left w:type="dxa" w:w="110"/>
              <w:bottom w:type="dxa" w:w="70"/>
              <w:right w:type="dxa" w:w="110"/>
            </w:tcMar>
            <w:vAlign w:val="top"/>
          </w:tcPr>
          <w:p>
            <w:pPr>
              <w:spacing w:after="0" w:line="250"/>
            </w:pPr>
            <w:r>
              <w:rPr>
                <w:b/>
                <w:bCs/>
                <w:color w:val="16233A"/>
                <w:sz w:val="18"/>
                <w:szCs w:val="18"/>
              </w:rPr>
              <w:t xml:space="preserve"/>
            </w:r>
          </w:p>
        </w:tc>
      </w:tr>
      <w:tr>
        <w:tc>
          <w:tcPr>
            <w:tcW w:type="dxa" w:w="2300"/>
            <w:shd w:fill="FFFFFF" w:val="clear"/>
            <w:tcMar>
              <w:top w:type="dxa" w:w="70"/>
              <w:left w:type="dxa" w:w="110"/>
              <w:bottom w:type="dxa" w:w="70"/>
              <w:right w:type="dxa" w:w="110"/>
            </w:tcMar>
            <w:vAlign w:val="top"/>
          </w:tcPr>
          <w:p>
            <w:pPr>
              <w:spacing w:after="0" w:line="250"/>
            </w:pPr>
            <w:r>
              <w:rPr>
                <w:b/>
                <w:bCs/>
                <w:color w:val="2E6B3E"/>
                <w:sz w:val="19"/>
                <w:szCs w:val="19"/>
              </w:rPr>
              <w:t xml:space="preserve">Realistic, and built here</w:t>
            </w:r>
          </w:p>
        </w:tc>
        <w:tc>
          <w:tcPr>
            <w:tcW w:type="dxa" w:w="6720"/>
            <w:shd w:fill="FFFFFF" w:val="clear"/>
            <w:tcMar>
              <w:top w:type="dxa" w:w="70"/>
              <w:left w:type="dxa" w:w="110"/>
              <w:bottom w:type="dxa" w:w="70"/>
              <w:right w:type="dxa" w:w="110"/>
            </w:tcMar>
            <w:vAlign w:val="top"/>
          </w:tcPr>
          <w:p>
            <w:pPr>
              <w:spacing w:after="0" w:line="250"/>
            </w:pPr>
            <w:r>
              <w:rPr>
                <w:color w:val="1F2430"/>
                <w:sz w:val="19"/>
                <w:szCs w:val="19"/>
              </w:rPr>
              <w:t xml:space="preserve">An internal administrator signs in, chooses a vertical, works a versioned object library through the governance chain, runs the publish gate, reads the release report, and — only if every hard gate passes — signs a release into an append-only ledger.</w:t>
            </w:r>
          </w:p>
        </w:tc>
      </w:tr>
      <w:tr>
        <w:tc>
          <w:tcPr>
            <w:tcW w:type="dxa" w:w="2300"/>
            <w:shd w:fill="F7F8FB" w:val="clear"/>
            <w:tcMar>
              <w:top w:type="dxa" w:w="70"/>
              <w:left w:type="dxa" w:w="110"/>
              <w:bottom w:type="dxa" w:w="70"/>
              <w:right w:type="dxa" w:w="110"/>
            </w:tcMar>
            <w:vAlign w:val="top"/>
          </w:tcPr>
          <w:p>
            <w:pPr>
              <w:spacing w:after="0" w:line="250"/>
            </w:pPr>
            <w:r>
              <w:rPr>
                <w:b/>
                <w:bCs/>
                <w:color w:val="9B2C2C"/>
                <w:sz w:val="19"/>
                <w:szCs w:val="19"/>
              </w:rPr>
              <w:t xml:space="preserve">Not realistic, deliberately absent</w:t>
            </w:r>
          </w:p>
        </w:tc>
        <w:tc>
          <w:tcPr>
            <w:tcW w:type="dxa" w:w="6720"/>
            <w:shd w:fill="F7F8FB" w:val="clear"/>
            <w:tcMar>
              <w:top w:type="dxa" w:w="70"/>
              <w:left w:type="dxa" w:w="110"/>
              <w:bottom w:type="dxa" w:w="70"/>
              <w:right w:type="dxa" w:w="110"/>
            </w:tcMar>
            <w:vAlign w:val="top"/>
          </w:tcPr>
          <w:p>
            <w:pPr>
              <w:spacing w:after="0" w:line="250"/>
            </w:pPr>
            <w:r>
              <w:rPr>
                <w:color w:val="1F2430"/>
                <w:sz w:val="19"/>
                <w:szCs w:val="19"/>
              </w:rPr>
              <w:t xml:space="preserve">An administrator cannot “build a vertical” in this console. A vertical is an authority-anchored ontology with legal review behind it: Pioneer's own checklist puts every offence category through legal-workstream review and AGC status tracking. That is expert months of work, and no dashboard shortens it.</w:t>
            </w:r>
          </w:p>
        </w:tc>
      </w:tr>
      <w:tr>
        <w:tc>
          <w:tcPr>
            <w:tcW w:type="dxa" w:w="2300"/>
            <w:shd w:fill="FFFFFF" w:val="clear"/>
            <w:tcMar>
              <w:top w:type="dxa" w:w="70"/>
              <w:left w:type="dxa" w:w="110"/>
              <w:bottom w:type="dxa" w:w="70"/>
              <w:right w:type="dxa" w:w="110"/>
            </w:tcMar>
            <w:vAlign w:val="top"/>
          </w:tcPr>
          <w:p>
            <w:pPr>
              <w:spacing w:after="0" w:line="250"/>
            </w:pPr>
            <w:r>
              <w:rPr>
                <w:b/>
                <w:bCs/>
                <w:color w:val="1F2430"/>
                <w:sz w:val="19"/>
                <w:szCs w:val="19"/>
              </w:rPr>
              <w:t xml:space="preserve">The honest claim</w:t>
            </w:r>
          </w:p>
        </w:tc>
        <w:tc>
          <w:tcPr>
            <w:tcW w:type="dxa" w:w="6720"/>
            <w:shd w:fill="FFFFFF" w:val="clear"/>
            <w:tcMar>
              <w:top w:type="dxa" w:w="70"/>
              <w:left w:type="dxa" w:w="110"/>
              <w:bottom w:type="dxa" w:w="70"/>
              <w:right w:type="dxa" w:w="110"/>
            </w:tcMar>
            <w:vAlign w:val="top"/>
          </w:tcPr>
          <w:p>
            <w:pPr>
              <w:spacing w:after="0" w:line="250"/>
            </w:pPr>
            <w:r>
              <w:rPr>
                <w:color w:val="1F2430"/>
                <w:sz w:val="19"/>
                <w:szCs w:val="19"/>
              </w:rPr>
              <w:t xml:space="preserve">The console makes that work auditable and repeatable. It does not make it cheap. Sell repeatability and auditability; never sell speed of ontology creation.</w:t>
            </w:r>
          </w:p>
        </w:tc>
      </w:tr>
    </w:tbl>
    <w:p>
      <w:pPr>
        <w:pStyle w:val="Heading2"/>
      </w:pPr>
      <w:r>
        <w:t xml:space="preserve">3.2  The object model</w:t>
      </w:r>
    </w:p>
    <w:p>
      <w:pPr>
        <w:spacing w:after="140" w:before="0" w:line="276"/>
      </w:pPr>
      <w:r>
        <w:rPr>
          <w:color w:val="1F2430"/>
          <w:sz w:val="21"/>
          <w:szCs w:val="21"/>
        </w:rPr>
        <w:t xml:space="preserve">Six object kinds, one base shape. Every object carries an id (immutable — supersession creates a new version, never a new id), a kind, a label, an eligibility block and a governance block.</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300"/>
        <w:gridCol w:w="3600"/>
        <w:gridCol w:w="4120"/>
      </w:tblGrid>
      <w:tr>
        <w:trPr>
          <w:tblHeader/>
        </w:trPr>
        <w:tc>
          <w:tcPr>
            <w:tcW w:type="dxa" w:w="1300"/>
            <w:shd w:fill="EDEFF4" w:val="clear"/>
            <w:tcMar>
              <w:top w:type="dxa" w:w="70"/>
              <w:left w:type="dxa" w:w="110"/>
              <w:bottom w:type="dxa" w:w="70"/>
              <w:right w:type="dxa" w:w="110"/>
            </w:tcMar>
            <w:vAlign w:val="top"/>
          </w:tcPr>
          <w:p>
            <w:pPr>
              <w:spacing w:after="0" w:line="250"/>
            </w:pPr>
            <w:r>
              <w:rPr>
                <w:b/>
                <w:bCs/>
                <w:color w:val="16233A"/>
                <w:sz w:val="18"/>
                <w:szCs w:val="18"/>
              </w:rPr>
              <w:t xml:space="preserve">Kind</w:t>
            </w:r>
          </w:p>
        </w:tc>
        <w:tc>
          <w:tcPr>
            <w:tcW w:type="dxa" w:w="3600"/>
            <w:shd w:fill="EDEFF4" w:val="clear"/>
            <w:tcMar>
              <w:top w:type="dxa" w:w="70"/>
              <w:left w:type="dxa" w:w="110"/>
              <w:bottom w:type="dxa" w:w="70"/>
              <w:right w:type="dxa" w:w="110"/>
            </w:tcMar>
            <w:vAlign w:val="top"/>
          </w:tcPr>
          <w:p>
            <w:pPr>
              <w:spacing w:after="0" w:line="250"/>
            </w:pPr>
            <w:r>
              <w:rPr>
                <w:b/>
                <w:bCs/>
                <w:color w:val="16233A"/>
                <w:sz w:val="18"/>
                <w:szCs w:val="18"/>
              </w:rPr>
              <w:t xml:space="preserve">What it holds</w:t>
            </w:r>
          </w:p>
        </w:tc>
        <w:tc>
          <w:tcPr>
            <w:tcW w:type="dxa" w:w="4120"/>
            <w:shd w:fill="EDEFF4" w:val="clear"/>
            <w:tcMar>
              <w:top w:type="dxa" w:w="70"/>
              <w:left w:type="dxa" w:w="110"/>
              <w:bottom w:type="dxa" w:w="70"/>
              <w:right w:type="dxa" w:w="110"/>
            </w:tcMar>
            <w:vAlign w:val="top"/>
          </w:tcPr>
          <w:p>
            <w:pPr>
              <w:spacing w:after="0" w:line="250"/>
            </w:pPr>
            <w:r>
              <w:rPr>
                <w:b/>
                <w:bCs/>
                <w:color w:val="16233A"/>
                <w:sz w:val="18"/>
                <w:szCs w:val="18"/>
              </w:rPr>
              <w:t xml:space="preserve">The governance-dense part</w:t>
            </w:r>
          </w:p>
        </w:tc>
      </w:tr>
      <w:tr>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element</w:t>
            </w:r>
          </w:p>
        </w:tc>
        <w:tc>
          <w:tcPr>
            <w:tcW w:type="dxa" w:w="3600"/>
            <w:shd w:fill="FFFFFF" w:val="clear"/>
            <w:tcMar>
              <w:top w:type="dxa" w:w="70"/>
              <w:left w:type="dxa" w:w="110"/>
              <w:bottom w:type="dxa" w:w="70"/>
              <w:right w:type="dxa" w:w="110"/>
            </w:tcMar>
            <w:vAlign w:val="top"/>
          </w:tcPr>
          <w:p>
            <w:pPr>
              <w:spacing w:after="0" w:line="250"/>
            </w:pPr>
            <w:r>
              <w:rPr>
                <w:color w:val="1F2430"/>
                <w:sz w:val="19"/>
                <w:szCs w:val="19"/>
              </w:rPr>
              <w:t xml:space="preserve">What the determination turns on — the reasoning, the facts the law turns on, or the attributes a recommendation turns on.</w:t>
            </w:r>
          </w:p>
        </w:tc>
        <w:tc>
          <w:tcPr>
            <w:tcW w:type="dxa" w:w="4120"/>
            <w:shd w:fill="FFFFFF" w:val="clear"/>
            <w:tcMar>
              <w:top w:type="dxa" w:w="70"/>
              <w:left w:type="dxa" w:w="110"/>
              <w:bottom w:type="dxa" w:w="70"/>
              <w:right w:type="dxa" w:w="110"/>
            </w:tcMar>
            <w:vAlign w:val="top"/>
          </w:tcPr>
          <w:p>
            <w:pPr>
              <w:spacing w:after="0" w:line="250"/>
            </w:pPr>
            <w:r>
              <w:rPr>
                <w:color w:val="1F2430"/>
                <w:sz w:val="19"/>
                <w:szCs w:val="19"/>
              </w:rPr>
              <w:t xml:space="preserve">Authority anchor (mandatory), mandatory flag, capturable flag. Pioneer's honest distinction: not-capturable is legitimate; not-asked is a defect.</w:t>
            </w:r>
          </w:p>
        </w:tc>
      </w:tr>
      <w:tr>
        <w:tc>
          <w:tcPr>
            <w:tcW w:type="dxa" w:w="1300"/>
            <w:shd w:fill="F7F8FB" w:val="clear"/>
            <w:tcMar>
              <w:top w:type="dxa" w:w="70"/>
              <w:left w:type="dxa" w:w="110"/>
              <w:bottom w:type="dxa" w:w="70"/>
              <w:right w:type="dxa" w:w="110"/>
            </w:tcMar>
            <w:vAlign w:val="top"/>
          </w:tcPr>
          <w:p>
            <w:pPr>
              <w:spacing w:after="0" w:line="250"/>
            </w:pPr>
            <w:r>
              <w:rPr>
                <w:color w:val="1F2430"/>
                <w:sz w:val="19"/>
                <w:szCs w:val="19"/>
              </w:rPr>
              <w:t xml:space="preserve">question</w:t>
            </w:r>
          </w:p>
        </w:tc>
        <w:tc>
          <w:tcPr>
            <w:tcW w:type="dxa" w:w="3600"/>
            <w:shd w:fill="F7F8FB" w:val="clear"/>
            <w:tcMar>
              <w:top w:type="dxa" w:w="70"/>
              <w:left w:type="dxa" w:w="110"/>
              <w:bottom w:type="dxa" w:w="70"/>
              <w:right w:type="dxa" w:w="110"/>
            </w:tcMar>
            <w:vAlign w:val="top"/>
          </w:tcPr>
          <w:p>
            <w:pPr>
              <w:spacing w:after="0" w:line="250"/>
            </w:pPr>
            <w:r>
              <w:rPr>
                <w:color w:val="1F2430"/>
                <w:sz w:val="19"/>
                <w:szCs w:val="19"/>
              </w:rPr>
              <w:t xml:space="preserve">Every string that can reach a subject and contribute to a determination.</w:t>
            </w:r>
          </w:p>
        </w:tc>
        <w:tc>
          <w:tcPr>
            <w:tcW w:type="dxa" w:w="4120"/>
            <w:shd w:fill="F7F8FB" w:val="clear"/>
            <w:tcMar>
              <w:top w:type="dxa" w:w="70"/>
              <w:left w:type="dxa" w:w="110"/>
              <w:bottom w:type="dxa" w:w="70"/>
              <w:right w:type="dxa" w:w="110"/>
            </w:tcMar>
            <w:vAlign w:val="top"/>
          </w:tcPr>
          <w:p>
            <w:pPr>
              <w:spacing w:after="0" w:line="250"/>
            </w:pPr>
            <w:r>
              <w:rPr>
                <w:color w:val="1F2430"/>
                <w:sz w:val="19"/>
                <w:szCs w:val="19"/>
              </w:rPr>
              <w:t xml:space="preserve">Target element, per-language variants with fidelity, leading-risk grade, leading-risk rationale, fires-only-after precondition, satisfaction rule.</w:t>
            </w:r>
          </w:p>
        </w:tc>
      </w:tr>
      <w:tr>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challenge</w:t>
            </w:r>
          </w:p>
        </w:tc>
        <w:tc>
          <w:tcPr>
            <w:tcW w:type="dxa" w:w="3600"/>
            <w:shd w:fill="FFFFFF" w:val="clear"/>
            <w:tcMar>
              <w:top w:type="dxa" w:w="70"/>
              <w:left w:type="dxa" w:w="110"/>
              <w:bottom w:type="dxa" w:w="70"/>
              <w:right w:type="dxa" w:w="110"/>
            </w:tcMar>
            <w:vAlign w:val="top"/>
          </w:tcPr>
          <w:p>
            <w:pPr>
              <w:spacing w:after="0" w:line="250"/>
            </w:pPr>
            <w:r>
              <w:rPr>
                <w:color w:val="1F2430"/>
                <w:sz w:val="19"/>
                <w:szCs w:val="19"/>
              </w:rPr>
              <w:t xml:space="preserve">The adversarial pole. Forbidden outright in a neutral-doctrine vertical.</w:t>
            </w:r>
          </w:p>
        </w:tc>
        <w:tc>
          <w:tcPr>
            <w:tcW w:type="dxa" w:w="4120"/>
            <w:shd w:fill="FFFFFF" w:val="clear"/>
            <w:tcMar>
              <w:top w:type="dxa" w:w="70"/>
              <w:left w:type="dxa" w:w="110"/>
              <w:bottom w:type="dxa" w:w="70"/>
              <w:right w:type="dxa" w:w="110"/>
            </w:tcMar>
            <w:vAlign w:val="top"/>
          </w:tcPr>
          <w:p>
            <w:pPr>
              <w:spacing w:after="0" w:line="250"/>
            </w:pPr>
            <w:r>
              <w:rPr>
                <w:color w:val="1F2430"/>
                <w:sz w:val="19"/>
                <w:szCs w:val="19"/>
              </w:rPr>
              <w:t xml:space="preserve">Ladder steps and a hard ceiling, distress exit (non-negotiable wherever pressure is applied), surface profile.</w:t>
            </w:r>
          </w:p>
        </w:tc>
      </w:tr>
      <w:tr>
        <w:tc>
          <w:tcPr>
            <w:tcW w:type="dxa" w:w="1300"/>
            <w:shd w:fill="F7F8FB" w:val="clear"/>
            <w:tcMar>
              <w:top w:type="dxa" w:w="70"/>
              <w:left w:type="dxa" w:w="110"/>
              <w:bottom w:type="dxa" w:w="70"/>
              <w:right w:type="dxa" w:w="110"/>
            </w:tcMar>
            <w:vAlign w:val="top"/>
          </w:tcPr>
          <w:p>
            <w:pPr>
              <w:spacing w:after="0" w:line="250"/>
            </w:pPr>
            <w:r>
              <w:rPr>
                <w:color w:val="1F2430"/>
                <w:sz w:val="19"/>
                <w:szCs w:val="19"/>
              </w:rPr>
              <w:t xml:space="preserve">signature</w:t>
            </w:r>
          </w:p>
        </w:tc>
        <w:tc>
          <w:tcPr>
            <w:tcW w:type="dxa" w:w="3600"/>
            <w:shd w:fill="F7F8FB" w:val="clear"/>
            <w:tcMar>
              <w:top w:type="dxa" w:w="70"/>
              <w:left w:type="dxa" w:w="110"/>
              <w:bottom w:type="dxa" w:w="70"/>
              <w:right w:type="dxa" w:w="110"/>
            </w:tcMar>
            <w:vAlign w:val="top"/>
          </w:tcPr>
          <w:p>
            <w:pPr>
              <w:spacing w:after="0" w:line="250"/>
            </w:pPr>
            <w:r>
              <w:rPr>
                <w:color w:val="1F2430"/>
                <w:sz w:val="19"/>
                <w:szCs w:val="19"/>
              </w:rPr>
              <w:t xml:space="preserve">Failure signatures; forbidden phrasings.</w:t>
            </w:r>
          </w:p>
        </w:tc>
        <w:tc>
          <w:tcPr>
            <w:tcW w:type="dxa" w:w="4120"/>
            <w:shd w:fill="F7F8FB" w:val="clear"/>
            <w:tcMar>
              <w:top w:type="dxa" w:w="70"/>
              <w:left w:type="dxa" w:w="110"/>
              <w:bottom w:type="dxa" w:w="70"/>
              <w:right w:type="dxa" w:w="110"/>
            </w:tcMar>
            <w:vAlign w:val="top"/>
          </w:tcPr>
          <w:p>
            <w:pPr>
              <w:spacing w:after="0" w:line="250"/>
            </w:pPr>
            <w:r>
              <w:rPr>
                <w:color w:val="1F2430"/>
                <w:sz w:val="19"/>
                <w:szCs w:val="19"/>
              </w:rPr>
              <w:t xml:space="preserve">The negated element, and wordings that must never be used in any language.</w:t>
            </w:r>
          </w:p>
        </w:tc>
      </w:tr>
      <w:tr>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action</w:t>
            </w:r>
          </w:p>
        </w:tc>
        <w:tc>
          <w:tcPr>
            <w:tcW w:type="dxa" w:w="3600"/>
            <w:shd w:fill="FFFFFF" w:val="clear"/>
            <w:tcMar>
              <w:top w:type="dxa" w:w="70"/>
              <w:left w:type="dxa" w:w="110"/>
              <w:bottom w:type="dxa" w:w="70"/>
              <w:right w:type="dxa" w:w="110"/>
            </w:tcMar>
            <w:vAlign w:val="top"/>
          </w:tcPr>
          <w:p>
            <w:pPr>
              <w:spacing w:after="0" w:line="250"/>
            </w:pPr>
            <w:r>
              <w:rPr>
                <w:color w:val="1F2430"/>
                <w:sz w:val="19"/>
                <w:szCs w:val="19"/>
              </w:rPr>
              <w:t xml:space="preserve">Verification, preservation or handover.</w:t>
            </w:r>
          </w:p>
        </w:tc>
        <w:tc>
          <w:tcPr>
            <w:tcW w:type="dxa" w:w="4120"/>
            <w:shd w:fill="FFFFFF" w:val="clear"/>
            <w:tcMar>
              <w:top w:type="dxa" w:w="70"/>
              <w:left w:type="dxa" w:w="110"/>
              <w:bottom w:type="dxa" w:w="70"/>
              <w:right w:type="dxa" w:w="110"/>
            </w:tcMar>
            <w:vAlign w:val="top"/>
          </w:tcPr>
          <w:p>
            <w:pPr>
              <w:spacing w:after="0" w:line="250"/>
            </w:pPr>
            <w:r>
              <w:rPr>
                <w:color w:val="1F2430"/>
                <w:sz w:val="19"/>
                <w:szCs w:val="19"/>
              </w:rPr>
              <w:t xml:space="preserve">Step count and a machine-evaluable deadline formula.</w:t>
            </w:r>
          </w:p>
        </w:tc>
      </w:tr>
      <w:tr>
        <w:tc>
          <w:tcPr>
            <w:tcW w:type="dxa" w:w="1300"/>
            <w:shd w:fill="F7F8FB" w:val="clear"/>
            <w:tcMar>
              <w:top w:type="dxa" w:w="70"/>
              <w:left w:type="dxa" w:w="110"/>
              <w:bottom w:type="dxa" w:w="70"/>
              <w:right w:type="dxa" w:w="110"/>
            </w:tcMar>
            <w:vAlign w:val="top"/>
          </w:tcPr>
          <w:p>
            <w:pPr>
              <w:spacing w:after="0" w:line="250"/>
            </w:pPr>
            <w:r>
              <w:rPr>
                <w:color w:val="1F2430"/>
                <w:sz w:val="19"/>
                <w:szCs w:val="19"/>
              </w:rPr>
              <w:t xml:space="preserve">boundary</w:t>
            </w:r>
          </w:p>
        </w:tc>
        <w:tc>
          <w:tcPr>
            <w:tcW w:type="dxa" w:w="3600"/>
            <w:shd w:fill="F7F8FB" w:val="clear"/>
            <w:tcMar>
              <w:top w:type="dxa" w:w="70"/>
              <w:left w:type="dxa" w:w="110"/>
              <w:bottom w:type="dxa" w:w="70"/>
              <w:right w:type="dxa" w:w="110"/>
            </w:tcMar>
            <w:vAlign w:val="top"/>
          </w:tcPr>
          <w:p>
            <w:pPr>
              <w:spacing w:after="0" w:line="250"/>
            </w:pPr>
            <w:r>
              <w:rPr>
                <w:color w:val="1F2430"/>
                <w:sz w:val="19"/>
                <w:szCs w:val="19"/>
              </w:rPr>
              <w:t xml:space="preserve">The question the system must refuse.</w:t>
            </w:r>
          </w:p>
        </w:tc>
        <w:tc>
          <w:tcPr>
            <w:tcW w:type="dxa" w:w="4120"/>
            <w:shd w:fill="F7F8FB" w:val="clear"/>
            <w:tcMar>
              <w:top w:type="dxa" w:w="70"/>
              <w:left w:type="dxa" w:w="110"/>
              <w:bottom w:type="dxa" w:w="70"/>
              <w:right w:type="dxa" w:w="110"/>
            </w:tcMar>
            <w:vAlign w:val="top"/>
          </w:tcPr>
          <w:p>
            <w:pPr>
              <w:spacing w:after="0" w:line="250"/>
            </w:pPr>
            <w:r>
              <w:rPr>
                <w:color w:val="1F2430"/>
                <w:sz w:val="19"/>
                <w:szCs w:val="19"/>
              </w:rPr>
              <w:t xml:space="preserve">The probes the gate fires to prove the refusal holds, in every deployed language.</w:t>
            </w:r>
          </w:p>
        </w:tc>
      </w:tr>
    </w:tbl>
    <w:p>
      <w:pPr>
        <w:pStyle w:val="Heading3"/>
      </w:pPr>
      <w:r>
        <w:t xml:space="preserve">Leading-risk control, because this is the part a court can verify</w:t>
      </w:r>
    </w:p>
    <w:p>
      <w:pPr>
        <w:spacing w:after="140" w:before="0" w:line="276"/>
      </w:pPr>
      <w:r>
        <w:rPr>
          <w:color w:val="1F2430"/>
          <w:sz w:val="21"/>
          <w:szCs w:val="21"/>
        </w:rPr>
        <w:t xml:space="preserve">Pioneer's structural control is carried into the schema verbatim: a question that presupposes a fact is fireable only once that fact is established, expressed as data on the object rather than as a wording review. High leading risk cannot be saved at all; medium requires a written rationale from a legal reviewer, and the gate rejects the object if the rationale is missing. That is leading-risk control by sequencing — mechanically checkable, which is exactly what a wording-review process is not.</w:t>
      </w:r>
    </w:p>
    <w:p>
      <w:pPr>
        <w:pStyle w:val="Heading2"/>
      </w:pPr>
      <w:r>
        <w:t xml:space="preserve">3.3  The lifecycle</w:t>
      </w:r>
    </w:p>
    <w:p>
      <w:pPr>
        <w:spacing w:after="140" w:before="0" w:line="276"/>
      </w:pPr>
      <w:r>
        <w:rPr>
          <w:color w:val="1F2430"/>
          <w:sz w:val="21"/>
          <w:szCs w:val="21"/>
        </w:rPr>
        <w:t xml:space="preserve">Pioneer's eight-state chain, adopted as the platform standard. AUREN's four-state lifecycle is a subset of it and nothing in Beauty conflicts.</w:t>
      </w:r>
    </w:p>
    <w:p>
      <w:pPr>
        <w:shd w:fill="F4F5F8" w:val="clear"/>
        <w:spacing w:after="60" w:before="60" w:line="240"/>
        <w:ind w:left="170"/>
      </w:pPr>
      <w:r>
        <w:rPr>
          <w:rFonts w:ascii="Consolas" w:cs="Consolas" w:eastAsia="Consolas" w:hAnsi="Consolas"/>
          <w:color w:val="27324A"/>
          <w:sz w:val="18"/>
          <w:szCs w:val="18"/>
        </w:rPr>
        <w:t xml:space="preserve">DRAFT → LEGAL_REVIEW → TERMINOLOGY_PASS → FIDELITY_PASS → APPROVED → EFFECTIVE</w:t>
      </w:r>
    </w:p>
    <w:p>
      <w:pPr>
        <w:shd w:fill="F4F5F8" w:val="clear"/>
        <w:spacing w:after="60" w:before="60" w:line="240"/>
        <w:ind w:left="170"/>
      </w:pPr>
      <w:r>
        <w:rPr>
          <w:rFonts w:ascii="Consolas" w:cs="Consolas" w:eastAsia="Consolas" w:hAnsi="Consolas"/>
          <w:color w:val="27324A"/>
          <w:sz w:val="18"/>
          <w:szCs w:val="18"/>
        </w:rPr>
        <w:t xml:space="preserve">                                                     ↘ SUPERSEDED   ↘ RETIRED</w:t>
      </w:r>
    </w:p>
    <w:p>
      <w:pPr>
        <w:spacing w:after="60"/>
      </w:pPr>
    </w:p>
    <w:p>
      <w:pPr>
        <w:pStyle w:val="ListParagraph"/>
        <w:numPr>
          <w:ilvl w:val="0"/>
          <w:numId w:val="3"/>
        </w:numPr>
        <w:spacing w:after="70" w:line="268"/>
      </w:pPr>
      <w:r>
        <w:rPr>
          <w:color w:val="1F2430"/>
          <w:sz w:val="21"/>
          <w:szCs w:val="21"/>
        </w:rPr>
        <w:t xml:space="preserve">The orchestrator refuses to load an object in any status but EFFECTIVE.</w:t>
      </w:r>
    </w:p>
    <w:p>
      <w:pPr>
        <w:pStyle w:val="ListParagraph"/>
        <w:numPr>
          <w:ilvl w:val="0"/>
          <w:numId w:val="3"/>
        </w:numPr>
        <w:spacing w:after="70" w:line="268"/>
      </w:pPr>
      <w:r>
        <w:rPr>
          <w:color w:val="1F2430"/>
          <w:sz w:val="21"/>
          <w:szCs w:val="21"/>
        </w:rPr>
        <w:t xml:space="preserve">Emergency withdrawal is a one-step transition to RETIRED, taking effect at the next session start. It is not a deploy; it needs no release.</w:t>
      </w:r>
    </w:p>
    <w:p>
      <w:pPr>
        <w:pStyle w:val="ListParagraph"/>
        <w:numPr>
          <w:ilvl w:val="0"/>
          <w:numId w:val="3"/>
        </w:numPr>
        <w:spacing w:after="70" w:line="268"/>
      </w:pPr>
      <w:r>
        <w:rPr>
          <w:color w:val="1F2430"/>
          <w:sz w:val="21"/>
          <w:szCs w:val="21"/>
        </w:rPr>
        <w:t xml:space="preserve">Objects still in review are not failures. They are simply not in the bundle — and the coverage gate is what notices when their absence leaves a hole.</w:t>
      </w:r>
    </w:p>
    <w:p>
      <w:pPr>
        <w:pStyle w:val="Heading2"/>
      </w:pPr>
      <w:r>
        <w:t xml:space="preserve">3.4  Four conflicts, resolved in the schema</w:t>
      </w:r>
    </w:p>
    <w:p>
      <w:pPr>
        <w:spacing w:after="140" w:before="0" w:line="276"/>
      </w:pPr>
      <w:r>
        <w:rPr>
          <w:color w:val="1F2430"/>
          <w:sz w:val="21"/>
          <w:szCs w:val="21"/>
        </w:rPr>
        <w:t xml:space="preserve">The papers agree on almost everything. These four are where they genuinely disagree, and each is a fork if decided wrongly — so each is settled in the schema rather than in a convention document that nobody reads.</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420"/>
        <w:gridCol w:w="3300"/>
        <w:gridCol w:w="5300"/>
      </w:tblGrid>
      <w:tr>
        <w:trPr>
          <w:tblHeader/>
        </w:trPr>
        <w:tc>
          <w:tcPr>
            <w:tcW w:type="dxa" w:w="420"/>
            <w:shd w:fill="EDEFF4" w:val="clear"/>
            <w:tcMar>
              <w:top w:type="dxa" w:w="70"/>
              <w:left w:type="dxa" w:w="110"/>
              <w:bottom w:type="dxa" w:w="70"/>
              <w:right w:type="dxa" w:w="110"/>
            </w:tcMar>
            <w:vAlign w:val="top"/>
          </w:tcPr>
          <w:p>
            <w:pPr>
              <w:spacing w:after="0" w:line="250"/>
            </w:pPr>
            <w:r>
              <w:rPr>
                <w:b/>
                <w:bCs/>
                <w:color w:val="16233A"/>
                <w:sz w:val="18"/>
                <w:szCs w:val="18"/>
              </w:rPr>
              <w:t xml:space="preserve">#</w:t>
            </w:r>
          </w:p>
        </w:tc>
        <w:tc>
          <w:tcPr>
            <w:tcW w:type="dxa" w:w="3300"/>
            <w:shd w:fill="EDEFF4" w:val="clear"/>
            <w:tcMar>
              <w:top w:type="dxa" w:w="70"/>
              <w:left w:type="dxa" w:w="110"/>
              <w:bottom w:type="dxa" w:w="70"/>
              <w:right w:type="dxa" w:w="110"/>
            </w:tcMar>
            <w:vAlign w:val="top"/>
          </w:tcPr>
          <w:p>
            <w:pPr>
              <w:spacing w:after="0" w:line="250"/>
            </w:pPr>
            <w:r>
              <w:rPr>
                <w:b/>
                <w:bCs/>
                <w:color w:val="16233A"/>
                <w:sz w:val="18"/>
                <w:szCs w:val="18"/>
              </w:rPr>
              <w:t xml:space="preserve">The conflict</w:t>
            </w:r>
          </w:p>
        </w:tc>
        <w:tc>
          <w:tcPr>
            <w:tcW w:type="dxa" w:w="5300"/>
            <w:shd w:fill="EDEFF4" w:val="clear"/>
            <w:tcMar>
              <w:top w:type="dxa" w:w="70"/>
              <w:left w:type="dxa" w:w="110"/>
              <w:bottom w:type="dxa" w:w="70"/>
              <w:right w:type="dxa" w:w="110"/>
            </w:tcMar>
            <w:vAlign w:val="top"/>
          </w:tcPr>
          <w:p>
            <w:pPr>
              <w:spacing w:after="0" w:line="250"/>
            </w:pPr>
            <w:r>
              <w:rPr>
                <w:b/>
                <w:bCs/>
                <w:color w:val="16233A"/>
                <w:sz w:val="18"/>
                <w:szCs w:val="18"/>
              </w:rPr>
              <w:t xml:space="preserve">The resolution</w:t>
            </w:r>
          </w:p>
        </w:tc>
      </w:tr>
      <w:tr>
        <w:tc>
          <w:tcPr>
            <w:tcW w:type="dxa" w:w="420"/>
            <w:shd w:fill="FFFFFF" w:val="clear"/>
            <w:tcMar>
              <w:top w:type="dxa" w:w="70"/>
              <w:left w:type="dxa" w:w="110"/>
              <w:bottom w:type="dxa" w:w="70"/>
              <w:right w:type="dxa" w:w="110"/>
            </w:tcMar>
            <w:vAlign w:val="top"/>
          </w:tcPr>
          <w:p>
            <w:pPr>
              <w:spacing w:after="0" w:line="250"/>
            </w:pPr>
            <w:r>
              <w:rPr>
                <w:color w:val="1F2430"/>
                <w:sz w:val="19"/>
                <w:szCs w:val="19"/>
              </w:rPr>
              <w:t xml:space="preserve">1</w:t>
            </w:r>
          </w:p>
        </w:tc>
        <w:tc>
          <w:tcPr>
            <w:tcW w:type="dxa" w:w="3300"/>
            <w:shd w:fill="FFFFFF" w:val="clear"/>
            <w:tcMar>
              <w:top w:type="dxa" w:w="70"/>
              <w:left w:type="dxa" w:w="110"/>
              <w:bottom w:type="dxa" w:w="70"/>
              <w:right w:type="dxa" w:w="110"/>
            </w:tcMar>
            <w:vAlign w:val="top"/>
          </w:tcPr>
          <w:p>
            <w:pPr>
              <w:spacing w:after="0" w:line="250"/>
            </w:pPr>
            <w:r>
              <w:rPr>
                <w:color w:val="1F2430"/>
                <w:sz w:val="19"/>
                <w:szCs w:val="19"/>
              </w:rPr>
              <w:t xml:space="preserve">AUREN Rule 3 says mode is first-class. Pioneer Rule 3 says language. Beauty needs market scope.</w:t>
            </w:r>
          </w:p>
        </w:tc>
        <w:tc>
          <w:tcPr>
            <w:tcW w:type="dxa" w:w="5300"/>
            <w:shd w:fill="FFFFFF" w:val="clear"/>
            <w:tcMar>
              <w:top w:type="dxa" w:w="70"/>
              <w:left w:type="dxa" w:w="110"/>
              <w:bottom w:type="dxa" w:w="70"/>
              <w:right w:type="dxa" w:w="110"/>
            </w:tcMar>
            <w:vAlign w:val="top"/>
          </w:tcPr>
          <w:p>
            <w:pPr>
              <w:spacing w:after="0" w:line="250"/>
            </w:pPr>
            <w:r>
              <w:rPr>
                <w:color w:val="1F2430"/>
                <w:sz w:val="19"/>
                <w:szCs w:val="19"/>
              </w:rPr>
              <w:t xml:space="preserve">One eligibility block carrying all three axes. The resolver evaluates the conjunction; an unused axis is left unconstrained. These were never competing claims — they are three scoping axes, each discovered by the vertical that felt it most.</w:t>
            </w:r>
          </w:p>
        </w:tc>
      </w:tr>
      <w:tr>
        <w:tc>
          <w:tcPr>
            <w:tcW w:type="dxa" w:w="420"/>
            <w:shd w:fill="F7F8FB" w:val="clear"/>
            <w:tcMar>
              <w:top w:type="dxa" w:w="70"/>
              <w:left w:type="dxa" w:w="110"/>
              <w:bottom w:type="dxa" w:w="70"/>
              <w:right w:type="dxa" w:w="110"/>
            </w:tcMar>
            <w:vAlign w:val="top"/>
          </w:tcPr>
          <w:p>
            <w:pPr>
              <w:spacing w:after="0" w:line="250"/>
            </w:pPr>
            <w:r>
              <w:rPr>
                <w:color w:val="1F2430"/>
                <w:sz w:val="19"/>
                <w:szCs w:val="19"/>
              </w:rPr>
              <w:t xml:space="preserve">2</w:t>
            </w:r>
          </w:p>
        </w:tc>
        <w:tc>
          <w:tcPr>
            <w:tcW w:type="dxa" w:w="3300"/>
            <w:shd w:fill="F7F8FB" w:val="clear"/>
            <w:tcMar>
              <w:top w:type="dxa" w:w="70"/>
              <w:left w:type="dxa" w:w="110"/>
              <w:bottom w:type="dxa" w:w="70"/>
              <w:right w:type="dxa" w:w="110"/>
            </w:tcMar>
            <w:vAlign w:val="top"/>
          </w:tcPr>
          <w:p>
            <w:pPr>
              <w:spacing w:after="0" w:line="250"/>
            </w:pPr>
            <w:r>
              <w:rPr>
                <w:color w:val="1F2430"/>
                <w:sz w:val="19"/>
                <w:szCs w:val="19"/>
              </w:rPr>
              <w:t xml:space="preserve">Pioneer: “Named individuals never appear in objects.” Beauty: “the named person who signed the release.”</w:t>
            </w:r>
          </w:p>
        </w:tc>
        <w:tc>
          <w:tcPr>
            <w:tcW w:type="dxa" w:w="5300"/>
            <w:shd w:fill="F7F8FB" w:val="clear"/>
            <w:tcMar>
              <w:top w:type="dxa" w:w="70"/>
              <w:left w:type="dxa" w:w="110"/>
              <w:bottom w:type="dxa" w:w="70"/>
              <w:right w:type="dxa" w:w="110"/>
            </w:tcMar>
            <w:vAlign w:val="top"/>
          </w:tcPr>
          <w:p>
            <w:pPr>
              <w:spacing w:after="0" w:line="250"/>
            </w:pPr>
            <w:r>
              <w:rPr>
                <w:color w:val="1F2430"/>
                <w:sz w:val="19"/>
                <w:szCs w:val="19"/>
              </w:rPr>
              <w:t xml:space="preserve">Role on the object; identity on the release event, in a separate append-only ledger. Pioneer exports the object register with nobody named in it; Beauty exports the ledger and can answer “who approved this claim, and when”. One schema serves both, because the two were never the same fact.</w:t>
            </w:r>
          </w:p>
        </w:tc>
      </w:tr>
      <w:tr>
        <w:tc>
          <w:tcPr>
            <w:tcW w:type="dxa" w:w="420"/>
            <w:shd w:fill="FFFFFF" w:val="clear"/>
            <w:tcMar>
              <w:top w:type="dxa" w:w="70"/>
              <w:left w:type="dxa" w:w="110"/>
              <w:bottom w:type="dxa" w:w="70"/>
              <w:right w:type="dxa" w:w="110"/>
            </w:tcMar>
            <w:vAlign w:val="top"/>
          </w:tcPr>
          <w:p>
            <w:pPr>
              <w:spacing w:after="0" w:line="250"/>
            </w:pPr>
            <w:r>
              <w:rPr>
                <w:color w:val="1F2430"/>
                <w:sz w:val="19"/>
                <w:szCs w:val="19"/>
              </w:rPr>
              <w:t xml:space="preserve">3</w:t>
            </w:r>
          </w:p>
        </w:tc>
        <w:tc>
          <w:tcPr>
            <w:tcW w:type="dxa" w:w="3300"/>
            <w:shd w:fill="FFFFFF" w:val="clear"/>
            <w:tcMar>
              <w:top w:type="dxa" w:w="70"/>
              <w:left w:type="dxa" w:w="110"/>
              <w:bottom w:type="dxa" w:w="70"/>
              <w:right w:type="dxa" w:w="110"/>
            </w:tcMar>
            <w:vAlign w:val="top"/>
          </w:tcPr>
          <w:p>
            <w:pPr>
              <w:spacing w:after="0" w:line="250"/>
            </w:pPr>
            <w:r>
              <w:rPr>
                <w:color w:val="1F2430"/>
                <w:sz w:val="19"/>
                <w:szCs w:val="19"/>
              </w:rPr>
              <w:t xml:space="preserve">Pioneer prohibits high leading risk outright. AUREN's escalation ladder is the product. Beauty runs personas at staff only.</w:t>
            </w:r>
          </w:p>
        </w:tc>
        <w:tc>
          <w:tcPr>
            <w:tcW w:type="dxa" w:w="5300"/>
            <w:shd w:fill="FFFFFF" w:val="clear"/>
            <w:tcMar>
              <w:top w:type="dxa" w:w="70"/>
              <w:left w:type="dxa" w:w="110"/>
              <w:bottom w:type="dxa" w:w="70"/>
              <w:right w:type="dxa" w:w="110"/>
            </w:tcMar>
            <w:vAlign w:val="top"/>
          </w:tcPr>
          <w:p>
            <w:pPr>
              <w:spacing w:after="0" w:line="250"/>
            </w:pPr>
            <w:r>
              <w:rPr>
                <w:color w:val="1F2430"/>
                <w:sz w:val="19"/>
                <w:szCs w:val="19"/>
              </w:rPr>
              <w:t xml:space="preserve">The vertical pack declares doctrine. A challenge object inside a neutral vertical is a hard gate failure, and the console does not render the form there at all.</w:t>
            </w:r>
          </w:p>
        </w:tc>
      </w:tr>
      <w:tr>
        <w:tc>
          <w:tcPr>
            <w:tcW w:type="dxa" w:w="420"/>
            <w:shd w:fill="F7F8FB" w:val="clear"/>
            <w:tcMar>
              <w:top w:type="dxa" w:w="70"/>
              <w:left w:type="dxa" w:w="110"/>
              <w:bottom w:type="dxa" w:w="70"/>
              <w:right w:type="dxa" w:w="110"/>
            </w:tcMar>
            <w:vAlign w:val="top"/>
          </w:tcPr>
          <w:p>
            <w:pPr>
              <w:spacing w:after="0" w:line="250"/>
            </w:pPr>
            <w:r>
              <w:rPr>
                <w:color w:val="1F2430"/>
                <w:sz w:val="19"/>
                <w:szCs w:val="19"/>
              </w:rPr>
              <w:t xml:space="preserve">4</w:t>
            </w:r>
          </w:p>
        </w:tc>
        <w:tc>
          <w:tcPr>
            <w:tcW w:type="dxa" w:w="3300"/>
            <w:shd w:fill="F7F8FB" w:val="clear"/>
            <w:tcMar>
              <w:top w:type="dxa" w:w="70"/>
              <w:left w:type="dxa" w:w="110"/>
              <w:bottom w:type="dxa" w:w="70"/>
              <w:right w:type="dxa" w:w="110"/>
            </w:tcMar>
            <w:vAlign w:val="top"/>
          </w:tcPr>
          <w:p>
            <w:pPr>
              <w:spacing w:after="0" w:line="250"/>
            </w:pPr>
            <w:r>
              <w:rPr>
                <w:color w:val="1F2430"/>
                <w:sz w:val="19"/>
                <w:szCs w:val="19"/>
              </w:rPr>
              <w:t xml:space="preserve">AUREN assesses the person and tells them. Pioneer assesses nothing about the declarant. Beauty assesses the advisor, never the customer.</w:t>
            </w:r>
          </w:p>
        </w:tc>
        <w:tc>
          <w:tcPr>
            <w:tcW w:type="dxa" w:w="5300"/>
            <w:shd w:fill="F7F8FB" w:val="clear"/>
            <w:tcMar>
              <w:top w:type="dxa" w:w="70"/>
              <w:left w:type="dxa" w:w="110"/>
              <w:bottom w:type="dxa" w:w="70"/>
              <w:right w:type="dxa" w:w="110"/>
            </w:tcMar>
            <w:vAlign w:val="top"/>
          </w:tcPr>
          <w:p>
            <w:pPr>
              <w:spacing w:after="0" w:line="250"/>
            </w:pPr>
            <w:r>
              <w:rPr>
                <w:color w:val="1F2430"/>
                <w:sz w:val="19"/>
                <w:szCs w:val="19"/>
              </w:rPr>
              <w:t xml:space="preserve">Assessment binds to the surface, not the vertical. Beauty proves it: one vertical, two surfaces, assessment on one.</w:t>
            </w:r>
          </w:p>
        </w:tc>
      </w:tr>
    </w:tbl>
    <w:p>
      <w:pPr>
        <w:pStyle w:val="Heading2"/>
      </w:pPr>
      <w:r>
        <w:t xml:space="preserve">3.5  The publish gate — ten tests, seven blocking</w:t>
      </w:r>
    </w:p>
    <w:p>
      <w:pPr>
        <w:spacing w:after="140" w:before="0" w:line="276"/>
      </w:pPr>
      <w:r>
        <w:rPr>
          <w:color w:val="1F2430"/>
          <w:sz w:val="21"/>
          <w:szCs w:val="21"/>
        </w:rPr>
        <w:t xml:space="preserve">Generalised from Beauty Intelligence §3.3 (eight tests, four hard) across all three papers, then extended by the Candidate-set test that the first run proved was missing. Beauty's framing is carried into the implementation verbatim:</w:t>
      </w:r>
    </w:p>
    <w:p>
      <w:pPr>
        <w:pBdr>
          <w:left w:val="single" w:color="6B5BB5" w:sz="18" w:space="8"/>
        </w:pBdr>
        <w:shd w:fill="F2EFFA" w:val="clear"/>
        <w:spacing w:after="180" w:before="160" w:line="276"/>
        <w:ind w:left="170" w:right="170"/>
      </w:pPr>
      <w:r>
        <w:rPr>
          <w:i/>
          <w:iCs/>
          <w:color w:val="2A2140"/>
          <w:sz w:val="21"/>
          <w:szCs w:val="21"/>
        </w:rPr>
        <w:t xml:space="preserve">The gate is not a report generated after release; it is the condition of release.</w:t>
      </w:r>
    </w:p>
    <w:p>
      <w:pPr>
        <w:spacing w:after="140" w:before="0" w:line="276"/>
      </w:pPr>
      <w:r>
        <w:rPr>
          <w:color w:val="1F2430"/>
          <w:sz w:val="21"/>
          <w:szCs w:val="21"/>
        </w:rPr>
        <w:t xml:space="preserve">A hard failure blocks publication and shows the failing probe, what the system did, and why it failed — to the person who has to fix it. Four of the hard gates bind BYOND contractually as well as the client, per the same paper. Nothing in the module offers a waive path, deliberately.</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200"/>
        <w:gridCol w:w="1300"/>
        <w:gridCol w:w="5520"/>
      </w:tblGrid>
      <w:tr>
        <w:trPr>
          <w:tblHeader/>
        </w:trPr>
        <w:tc>
          <w:tcPr>
            <w:tcW w:type="dxa" w:w="2200"/>
            <w:shd w:fill="EDEFF4" w:val="clear"/>
            <w:tcMar>
              <w:top w:type="dxa" w:w="70"/>
              <w:left w:type="dxa" w:w="110"/>
              <w:bottom w:type="dxa" w:w="70"/>
              <w:right w:type="dxa" w:w="110"/>
            </w:tcMar>
            <w:vAlign w:val="top"/>
          </w:tcPr>
          <w:p>
            <w:pPr>
              <w:spacing w:after="0" w:line="250"/>
            </w:pPr>
            <w:r>
              <w:rPr>
                <w:b/>
                <w:bCs/>
                <w:color w:val="16233A"/>
                <w:sz w:val="18"/>
                <w:szCs w:val="18"/>
              </w:rPr>
              <w:t xml:space="preserve">Test</w:t>
            </w:r>
          </w:p>
        </w:tc>
        <w:tc>
          <w:tcPr>
            <w:tcW w:type="dxa" w:w="1300"/>
            <w:shd w:fill="EDEFF4" w:val="clear"/>
            <w:tcMar>
              <w:top w:type="dxa" w:w="70"/>
              <w:left w:type="dxa" w:w="110"/>
              <w:bottom w:type="dxa" w:w="70"/>
              <w:right w:type="dxa" w:w="110"/>
            </w:tcMar>
            <w:vAlign w:val="top"/>
          </w:tcPr>
          <w:p>
            <w:pPr>
              <w:spacing w:after="0" w:line="250"/>
            </w:pPr>
            <w:r>
              <w:rPr>
                <w:b/>
                <w:bCs/>
                <w:color w:val="16233A"/>
                <w:sz w:val="18"/>
                <w:szCs w:val="18"/>
              </w:rPr>
              <w:t xml:space="preserve">Blocking</w:t>
            </w:r>
          </w:p>
        </w:tc>
        <w:tc>
          <w:tcPr>
            <w:tcW w:type="dxa" w:w="5520"/>
            <w:shd w:fill="EDEFF4" w:val="clear"/>
            <w:tcMar>
              <w:top w:type="dxa" w:w="70"/>
              <w:left w:type="dxa" w:w="110"/>
              <w:bottom w:type="dxa" w:w="70"/>
              <w:right w:type="dxa" w:w="110"/>
            </w:tcMar>
            <w:vAlign w:val="top"/>
          </w:tcPr>
          <w:p>
            <w:pPr>
              <w:spacing w:after="0" w:line="250"/>
            </w:pPr>
            <w:r>
              <w:rPr>
                <w:b/>
                <w:bCs/>
                <w:color w:val="16233A"/>
                <w:sz w:val="18"/>
                <w:szCs w:val="18"/>
              </w:rPr>
              <w:t xml:space="preserve">Asserts</w:t>
            </w:r>
          </w:p>
        </w:tc>
      </w:tr>
      <w:tr>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Candidate set</w:t>
            </w:r>
          </w:p>
        </w:tc>
        <w:tc>
          <w:tcPr>
            <w:tcW w:type="dxa" w:w="1300"/>
            <w:shd w:fill="FFFFFF" w:val="clear"/>
            <w:tcMar>
              <w:top w:type="dxa" w:w="70"/>
              <w:left w:type="dxa" w:w="110"/>
              <w:bottom w:type="dxa" w:w="70"/>
              <w:right w:type="dxa" w:w="110"/>
            </w:tcMar>
            <w:vAlign w:val="top"/>
          </w:tcPr>
          <w:p>
            <w:pPr>
              <w:spacing w:after="0" w:line="250"/>
            </w:pPr>
            <w:r>
              <w:rPr>
                <w:b/>
                <w:bCs/>
                <w:color w:val="9B2C2C"/>
                <w:sz w:val="19"/>
                <w:szCs w:val="19"/>
              </w:rPr>
              <w:t xml:space="preserve">yes</w:t>
            </w:r>
          </w:p>
        </w:tc>
        <w:tc>
          <w:tcPr>
            <w:tcW w:type="dxa" w:w="5520"/>
            <w:shd w:fill="FFFFFF" w:val="clear"/>
            <w:tcMar>
              <w:top w:type="dxa" w:w="70"/>
              <w:left w:type="dxa" w:w="110"/>
              <w:bottom w:type="dxa" w:w="70"/>
              <w:right w:type="dxa" w:w="110"/>
            </w:tcMar>
            <w:vAlign w:val="top"/>
          </w:tcPr>
          <w:p>
            <w:pPr>
              <w:spacing w:after="0" w:line="250"/>
            </w:pPr>
            <w:r>
              <w:rPr>
                <w:color w:val="1F2430"/>
                <w:sz w:val="19"/>
                <w:szCs w:val="19"/>
              </w:rPr>
              <w:t xml:space="preserve">At least one object has reached EFFECTIVE and is in the bundle.</w:t>
            </w:r>
          </w:p>
        </w:tc>
      </w:tr>
      <w:tr>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Coverage</w:t>
            </w:r>
          </w:p>
        </w:tc>
        <w:tc>
          <w:tcPr>
            <w:tcW w:type="dxa" w:w="1300"/>
            <w:shd w:fill="F7F8FB" w:val="clear"/>
            <w:tcMar>
              <w:top w:type="dxa" w:w="70"/>
              <w:left w:type="dxa" w:w="110"/>
              <w:bottom w:type="dxa" w:w="70"/>
              <w:right w:type="dxa" w:w="110"/>
            </w:tcMar>
            <w:vAlign w:val="top"/>
          </w:tcPr>
          <w:p>
            <w:pPr>
              <w:spacing w:after="0" w:line="250"/>
            </w:pPr>
            <w:r>
              <w:rPr>
                <w:b/>
                <w:bCs/>
                <w:color w:val="9B2C2C"/>
                <w:sz w:val="19"/>
                <w:szCs w:val="19"/>
              </w:rPr>
              <w:t xml:space="preserve">yes</w:t>
            </w:r>
          </w:p>
        </w:tc>
        <w:tc>
          <w:tcPr>
            <w:tcW w:type="dxa" w:w="5520"/>
            <w:shd w:fill="F7F8FB" w:val="clear"/>
            <w:tcMar>
              <w:top w:type="dxa" w:w="70"/>
              <w:left w:type="dxa" w:w="110"/>
              <w:bottom w:type="dxa" w:w="70"/>
              <w:right w:type="dxa" w:w="110"/>
            </w:tcMar>
            <w:vAlign w:val="top"/>
          </w:tcPr>
          <w:p>
            <w:pPr>
              <w:spacing w:after="0" w:line="250"/>
            </w:pPr>
            <w:r>
              <w:rPr>
                <w:color w:val="1F2430"/>
                <w:sz w:val="19"/>
                <w:szCs w:val="19"/>
              </w:rPr>
              <w:t xml:space="preserve">Every mandatory, capturable element has a question that can elicit it.</w:t>
            </w:r>
          </w:p>
        </w:tc>
      </w:tr>
      <w:tr>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Anchor integrity</w:t>
            </w:r>
          </w:p>
        </w:tc>
        <w:tc>
          <w:tcPr>
            <w:tcW w:type="dxa" w:w="1300"/>
            <w:shd w:fill="FFFFFF" w:val="clear"/>
            <w:tcMar>
              <w:top w:type="dxa" w:w="70"/>
              <w:left w:type="dxa" w:w="110"/>
              <w:bottom w:type="dxa" w:w="70"/>
              <w:right w:type="dxa" w:w="110"/>
            </w:tcMar>
            <w:vAlign w:val="top"/>
          </w:tcPr>
          <w:p>
            <w:pPr>
              <w:spacing w:after="0" w:line="250"/>
            </w:pPr>
            <w:r>
              <w:rPr>
                <w:b/>
                <w:bCs/>
                <w:color w:val="9B2C2C"/>
                <w:sz w:val="19"/>
                <w:szCs w:val="19"/>
              </w:rPr>
              <w:t xml:space="preserve">yes</w:t>
            </w:r>
          </w:p>
        </w:tc>
        <w:tc>
          <w:tcPr>
            <w:tcW w:type="dxa" w:w="5520"/>
            <w:shd w:fill="FFFFFF" w:val="clear"/>
            <w:tcMar>
              <w:top w:type="dxa" w:w="70"/>
              <w:left w:type="dxa" w:w="110"/>
              <w:bottom w:type="dxa" w:w="70"/>
              <w:right w:type="dxa" w:w="110"/>
            </w:tcMar>
            <w:vAlign w:val="top"/>
          </w:tcPr>
          <w:p>
            <w:pPr>
              <w:spacing w:after="0" w:line="250"/>
            </w:pPr>
            <w:r>
              <w:rPr>
                <w:color w:val="1F2430"/>
                <w:sz w:val="19"/>
                <w:szCs w:val="19"/>
              </w:rPr>
              <w:t xml:space="preserve">Every element binds to a clause in the vertical's anchor authority.</w:t>
            </w:r>
          </w:p>
        </w:tc>
      </w:tr>
      <w:tr>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Prohibited formulation</w:t>
            </w:r>
          </w:p>
        </w:tc>
        <w:tc>
          <w:tcPr>
            <w:tcW w:type="dxa" w:w="1300"/>
            <w:shd w:fill="F7F8FB" w:val="clear"/>
            <w:tcMar>
              <w:top w:type="dxa" w:w="70"/>
              <w:left w:type="dxa" w:w="110"/>
              <w:bottom w:type="dxa" w:w="70"/>
              <w:right w:type="dxa" w:w="110"/>
            </w:tcMar>
            <w:vAlign w:val="top"/>
          </w:tcPr>
          <w:p>
            <w:pPr>
              <w:spacing w:after="0" w:line="250"/>
            </w:pPr>
            <w:r>
              <w:rPr>
                <w:b/>
                <w:bCs/>
                <w:color w:val="9B2C2C"/>
                <w:sz w:val="19"/>
                <w:szCs w:val="19"/>
              </w:rPr>
              <w:t xml:space="preserve">yes</w:t>
            </w:r>
          </w:p>
        </w:tc>
        <w:tc>
          <w:tcPr>
            <w:tcW w:type="dxa" w:w="5520"/>
            <w:shd w:fill="F7F8FB" w:val="clear"/>
            <w:tcMar>
              <w:top w:type="dxa" w:w="70"/>
              <w:left w:type="dxa" w:w="110"/>
              <w:bottom w:type="dxa" w:w="70"/>
              <w:right w:type="dxa" w:w="110"/>
            </w:tcMar>
            <w:vAlign w:val="top"/>
          </w:tcPr>
          <w:p>
            <w:pPr>
              <w:spacing w:after="0" w:line="250"/>
            </w:pPr>
            <w:r>
              <w:rPr>
                <w:color w:val="1F2430"/>
                <w:sz w:val="19"/>
                <w:szCs w:val="19"/>
              </w:rPr>
              <w:t xml:space="preserve">No unrationalised leading risk, no ladder above ceiling, no forbidden phrasing in any language.</w:t>
            </w:r>
          </w:p>
        </w:tc>
      </w:tr>
      <w:tr>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Scope integrity</w:t>
            </w:r>
          </w:p>
        </w:tc>
        <w:tc>
          <w:tcPr>
            <w:tcW w:type="dxa" w:w="1300"/>
            <w:shd w:fill="FFFFFF" w:val="clear"/>
            <w:tcMar>
              <w:top w:type="dxa" w:w="70"/>
              <w:left w:type="dxa" w:w="110"/>
              <w:bottom w:type="dxa" w:w="70"/>
              <w:right w:type="dxa" w:w="110"/>
            </w:tcMar>
            <w:vAlign w:val="top"/>
          </w:tcPr>
          <w:p>
            <w:pPr>
              <w:spacing w:after="0" w:line="250"/>
            </w:pPr>
            <w:r>
              <w:rPr>
                <w:b/>
                <w:bCs/>
                <w:color w:val="9B2C2C"/>
                <w:sz w:val="19"/>
                <w:szCs w:val="19"/>
              </w:rPr>
              <w:t xml:space="preserve">yes</w:t>
            </w:r>
          </w:p>
        </w:tc>
        <w:tc>
          <w:tcPr>
            <w:tcW w:type="dxa" w:w="5520"/>
            <w:shd w:fill="FFFFFF" w:val="clear"/>
            <w:tcMar>
              <w:top w:type="dxa" w:w="70"/>
              <w:left w:type="dxa" w:w="110"/>
              <w:bottom w:type="dxa" w:w="70"/>
              <w:right w:type="dxa" w:w="110"/>
            </w:tcMar>
            <w:vAlign w:val="top"/>
          </w:tcPr>
          <w:p>
            <w:pPr>
              <w:spacing w:after="0" w:line="250"/>
            </w:pPr>
            <w:r>
              <w:rPr>
                <w:color w:val="1F2430"/>
                <w:sz w:val="19"/>
                <w:szCs w:val="19"/>
              </w:rPr>
              <w:t xml:space="preserve">No object reachable outside its declared mode, market or doctrine.</w:t>
            </w:r>
          </w:p>
        </w:tc>
      </w:tr>
      <w:tr>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Boundary refusal</w:t>
            </w:r>
          </w:p>
        </w:tc>
        <w:tc>
          <w:tcPr>
            <w:tcW w:type="dxa" w:w="1300"/>
            <w:shd w:fill="F7F8FB" w:val="clear"/>
            <w:tcMar>
              <w:top w:type="dxa" w:w="70"/>
              <w:left w:type="dxa" w:w="110"/>
              <w:bottom w:type="dxa" w:w="70"/>
              <w:right w:type="dxa" w:w="110"/>
            </w:tcMar>
            <w:vAlign w:val="top"/>
          </w:tcPr>
          <w:p>
            <w:pPr>
              <w:spacing w:after="0" w:line="250"/>
            </w:pPr>
            <w:r>
              <w:rPr>
                <w:b/>
                <w:bCs/>
                <w:color w:val="9B2C2C"/>
                <w:sz w:val="19"/>
                <w:szCs w:val="19"/>
              </w:rPr>
              <w:t xml:space="preserve">yes</w:t>
            </w:r>
          </w:p>
        </w:tc>
        <w:tc>
          <w:tcPr>
            <w:tcW w:type="dxa" w:w="5520"/>
            <w:shd w:fill="F7F8FB" w:val="clear"/>
            <w:tcMar>
              <w:top w:type="dxa" w:w="70"/>
              <w:left w:type="dxa" w:w="110"/>
              <w:bottom w:type="dxa" w:w="70"/>
              <w:right w:type="dxa" w:w="110"/>
            </w:tcMar>
            <w:vAlign w:val="top"/>
          </w:tcPr>
          <w:p>
            <w:pPr>
              <w:spacing w:after="0" w:line="250"/>
            </w:pPr>
            <w:r>
              <w:rPr>
                <w:color w:val="1F2430"/>
                <w:sz w:val="19"/>
                <w:szCs w:val="19"/>
              </w:rPr>
              <w:t xml:space="preserve">The hard boundary is declared and proven in every deployed language.</w:t>
            </w:r>
          </w:p>
        </w:tc>
      </w:tr>
      <w:tr>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Version consistency</w:t>
            </w:r>
          </w:p>
        </w:tc>
        <w:tc>
          <w:tcPr>
            <w:tcW w:type="dxa" w:w="1300"/>
            <w:shd w:fill="FFFFFF" w:val="clear"/>
            <w:tcMar>
              <w:top w:type="dxa" w:w="70"/>
              <w:left w:type="dxa" w:w="110"/>
              <w:bottom w:type="dxa" w:w="70"/>
              <w:right w:type="dxa" w:w="110"/>
            </w:tcMar>
            <w:vAlign w:val="top"/>
          </w:tcPr>
          <w:p>
            <w:pPr>
              <w:spacing w:after="0" w:line="250"/>
            </w:pPr>
            <w:r>
              <w:rPr>
                <w:b/>
                <w:bCs/>
                <w:color w:val="9B2C2C"/>
                <w:sz w:val="19"/>
                <w:szCs w:val="19"/>
              </w:rPr>
              <w:t xml:space="preserve">yes</w:t>
            </w:r>
          </w:p>
        </w:tc>
        <w:tc>
          <w:tcPr>
            <w:tcW w:type="dxa" w:w="5520"/>
            <w:shd w:fill="FFFFFF" w:val="clear"/>
            <w:tcMar>
              <w:top w:type="dxa" w:w="70"/>
              <w:left w:type="dxa" w:w="110"/>
              <w:bottom w:type="dxa" w:w="70"/>
              <w:right w:type="dxa" w:w="110"/>
            </w:tcMar>
            <w:vAlign w:val="top"/>
          </w:tcPr>
          <w:p>
            <w:pPr>
              <w:spacing w:after="0" w:line="250"/>
            </w:pPr>
            <w:r>
              <w:rPr>
                <w:color w:val="1F2430"/>
                <w:sz w:val="19"/>
                <w:szCs w:val="19"/>
              </w:rPr>
              <w:t xml:space="preserve">Every reference resolves to an object present in the same bundle.</w:t>
            </w:r>
          </w:p>
        </w:tc>
      </w:tr>
      <w:tr>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Adversarial probe</w:t>
            </w:r>
          </w:p>
        </w:tc>
        <w:tc>
          <w:tcPr>
            <w:tcW w:type="dxa" w:w="1300"/>
            <w:shd w:fill="F7F8FB" w:val="clear"/>
            <w:tcMar>
              <w:top w:type="dxa" w:w="70"/>
              <w:left w:type="dxa" w:w="110"/>
              <w:bottom w:type="dxa" w:w="70"/>
              <w:right w:type="dxa" w:w="110"/>
            </w:tcMar>
            <w:vAlign w:val="top"/>
          </w:tcPr>
          <w:p>
            <w:pPr>
              <w:spacing w:after="0" w:line="250"/>
            </w:pPr>
            <w:r>
              <w:rPr>
                <w:color w:val="8A6A1F"/>
                <w:sz w:val="19"/>
                <w:szCs w:val="19"/>
              </w:rPr>
              <w:t xml:space="preserve">advisory</w:t>
            </w:r>
          </w:p>
        </w:tc>
        <w:tc>
          <w:tcPr>
            <w:tcW w:type="dxa" w:w="5520"/>
            <w:shd w:fill="F7F8FB" w:val="clear"/>
            <w:tcMar>
              <w:top w:type="dxa" w:w="70"/>
              <w:left w:type="dxa" w:w="110"/>
              <w:bottom w:type="dxa" w:w="70"/>
              <w:right w:type="dxa" w:w="110"/>
            </w:tcMar>
            <w:vAlign w:val="top"/>
          </w:tcPr>
          <w:p>
            <w:pPr>
              <w:spacing w:after="0" w:line="250"/>
            </w:pPr>
            <w:r>
              <w:rPr>
                <w:color w:val="1F2430"/>
                <w:sz w:val="19"/>
                <w:szCs w:val="19"/>
              </w:rPr>
              <w:t xml:space="preserve">The released set holds under hostile and leading questioning.</w:t>
            </w:r>
          </w:p>
        </w:tc>
      </w:tr>
      <w:tr>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Translation fidelity</w:t>
            </w:r>
          </w:p>
        </w:tc>
        <w:tc>
          <w:tcPr>
            <w:tcW w:type="dxa" w:w="1300"/>
            <w:shd w:fill="FFFFFF" w:val="clear"/>
            <w:tcMar>
              <w:top w:type="dxa" w:w="70"/>
              <w:left w:type="dxa" w:w="110"/>
              <w:bottom w:type="dxa" w:w="70"/>
              <w:right w:type="dxa" w:w="110"/>
            </w:tcMar>
            <w:vAlign w:val="top"/>
          </w:tcPr>
          <w:p>
            <w:pPr>
              <w:spacing w:after="0" w:line="250"/>
            </w:pPr>
            <w:r>
              <w:rPr>
                <w:color w:val="8A6A1F"/>
                <w:sz w:val="19"/>
                <w:szCs w:val="19"/>
              </w:rPr>
              <w:t xml:space="preserve">advisory</w:t>
            </w:r>
          </w:p>
        </w:tc>
        <w:tc>
          <w:tcPr>
            <w:tcW w:type="dxa" w:w="5520"/>
            <w:shd w:fill="FFFFFF" w:val="clear"/>
            <w:tcMar>
              <w:top w:type="dxa" w:w="70"/>
              <w:left w:type="dxa" w:w="110"/>
              <w:bottom w:type="dxa" w:w="70"/>
              <w:right w:type="dxa" w:w="110"/>
            </w:tcMar>
            <w:vAlign w:val="top"/>
          </w:tcPr>
          <w:p>
            <w:pPr>
              <w:spacing w:after="0" w:line="250"/>
            </w:pPr>
            <w:r>
              <w:rPr>
                <w:color w:val="1F2430"/>
                <w:sz w:val="19"/>
                <w:szCs w:val="19"/>
              </w:rPr>
              <w:t xml:space="preserve">Every deployable variant has passed native review.</w:t>
            </w:r>
          </w:p>
        </w:tc>
      </w:tr>
      <w:tr>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Traceability</w:t>
            </w:r>
          </w:p>
        </w:tc>
        <w:tc>
          <w:tcPr>
            <w:tcW w:type="dxa" w:w="1300"/>
            <w:shd w:fill="F7F8FB" w:val="clear"/>
            <w:tcMar>
              <w:top w:type="dxa" w:w="70"/>
              <w:left w:type="dxa" w:w="110"/>
              <w:bottom w:type="dxa" w:w="70"/>
              <w:right w:type="dxa" w:w="110"/>
            </w:tcMar>
            <w:vAlign w:val="top"/>
          </w:tcPr>
          <w:p>
            <w:pPr>
              <w:spacing w:after="0" w:line="250"/>
            </w:pPr>
            <w:r>
              <w:rPr>
                <w:color w:val="8A6A1F"/>
                <w:sz w:val="19"/>
                <w:szCs w:val="19"/>
              </w:rPr>
              <w:t xml:space="preserve">advisory</w:t>
            </w:r>
          </w:p>
        </w:tc>
        <w:tc>
          <w:tcPr>
            <w:tcW w:type="dxa" w:w="5520"/>
            <w:shd w:fill="F7F8FB" w:val="clear"/>
            <w:tcMar>
              <w:top w:type="dxa" w:w="70"/>
              <w:left w:type="dxa" w:w="110"/>
              <w:bottom w:type="dxa" w:w="70"/>
              <w:right w:type="dxa" w:w="110"/>
            </w:tcMar>
            <w:vAlign w:val="top"/>
          </w:tcPr>
          <w:p>
            <w:pPr>
              <w:spacing w:after="0" w:line="250"/>
            </w:pPr>
            <w:r>
              <w:rPr>
                <w:color w:val="1F2430"/>
                <w:sz w:val="19"/>
                <w:szCs w:val="19"/>
              </w:rPr>
              <w:t xml:space="preserve">Every determination resolves to an object, a version and a verbatim span.</w:t>
            </w:r>
          </w:p>
        </w:tc>
      </w:tr>
    </w:tbl>
    <w:p>
      <w:pPr>
        <w:pStyle w:val="Heading3"/>
      </w:pPr>
      <w:r>
        <w:t xml:space="preserve">A green tick on an empty set is a lie</w:t>
      </w:r>
    </w:p>
    <w:p>
      <w:pPr>
        <w:spacing w:after="140" w:before="0" w:line="276"/>
      </w:pPr>
      <w:r>
        <w:rPr>
          <w:color w:val="1F2430"/>
          <w:sz w:val="21"/>
          <w:szCs w:val="21"/>
        </w:rPr>
        <w:t xml:space="preserve">The Candidate-set test exists because the first implementation reported nine passing gates against Pioneer and Beauty — both of which had zero EFFECTIVE objects. Every test passed because every test had nothing to check.</w:t>
      </w:r>
    </w:p>
    <w:p>
      <w:pPr>
        <w:spacing w:after="140" w:before="0" w:line="276"/>
      </w:pPr>
      <w:r>
        <w:rPr>
          <w:color w:val="1F2430"/>
          <w:sz w:val="21"/>
          <w:szCs w:val="21"/>
        </w:rPr>
        <w:t xml:space="preserve">An unassessed test now renders as n/a, never as a pass, and an empty bundle is a hard failure in its own right. Worth dwelling on: this is the exact form of false assurance the whole apparatus exists to prevent, and it appeared inside the apparatus. It is the strongest available argument for why the gate must be mechanical and adversarially reviewed rather than a checklist someone maintains.</w:t>
      </w:r>
    </w:p>
    <w:p>
      <w:pPr>
        <w:pStyle w:val="Heading2"/>
      </w:pPr>
      <w:r>
        <w:t xml:space="preserve">3.6  Release bundles, the ledger, and rollback</w:t>
      </w:r>
    </w:p>
    <w:p>
      <w:pPr>
        <w:spacing w:after="140" w:before="0" w:line="276"/>
      </w:pPr>
      <w:r>
        <w:rPr>
          <w:color w:val="1F2430"/>
          <w:sz w:val="21"/>
          <w:szCs w:val="21"/>
        </w:rPr>
        <w:t xml:space="preserve">A bundle is an immutable, content-addressed snapshot of the EFFECTIVE set. The runtime loads a bundle id and nothing else. Rollback is pointing at the previous id — it is not a rebuild and it is not a deploy.</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900"/>
        <w:gridCol w:w="7120"/>
      </w:tblGrid>
      <w:tr>
        <w:trPr>
          <w:tblHeader/>
        </w:trPr>
        <w:tc>
          <w:tcPr>
            <w:tcW w:type="dxa" w:w="1900"/>
            <w:shd w:fill="EDEFF4" w:val="clear"/>
            <w:tcMar>
              <w:top w:type="dxa" w:w="70"/>
              <w:left w:type="dxa" w:w="110"/>
              <w:bottom w:type="dxa" w:w="70"/>
              <w:right w:type="dxa" w:w="110"/>
            </w:tcMar>
            <w:vAlign w:val="top"/>
          </w:tcPr>
          <w:p>
            <w:pPr>
              <w:spacing w:after="0" w:line="250"/>
            </w:pPr>
            <w:r>
              <w:rPr>
                <w:b/>
                <w:bCs/>
                <w:color w:val="16233A"/>
                <w:sz w:val="18"/>
                <w:szCs w:val="18"/>
              </w:rPr>
              <w:t xml:space="preserve">Property</w:t>
            </w:r>
          </w:p>
        </w:tc>
        <w:tc>
          <w:tcPr>
            <w:tcW w:type="dxa" w:w="7120"/>
            <w:shd w:fill="EDEFF4" w:val="clear"/>
            <w:tcMar>
              <w:top w:type="dxa" w:w="70"/>
              <w:left w:type="dxa" w:w="110"/>
              <w:bottom w:type="dxa" w:w="70"/>
              <w:right w:type="dxa" w:w="110"/>
            </w:tcMar>
            <w:vAlign w:val="top"/>
          </w:tcPr>
          <w:p>
            <w:pPr>
              <w:spacing w:after="0" w:line="250"/>
            </w:pPr>
            <w:r>
              <w:rPr>
                <w:b/>
                <w:bCs/>
                <w:color w:val="16233A"/>
                <w:sz w:val="18"/>
                <w:szCs w:val="18"/>
              </w:rPr>
              <w:t xml:space="preserve">Why it is built this way</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Content-addressed</w:t>
            </w:r>
          </w:p>
        </w:tc>
        <w:tc>
          <w:tcPr>
            <w:tcW w:type="dxa" w:w="7120"/>
            <w:shd w:fill="FFFFFF" w:val="clear"/>
            <w:tcMar>
              <w:top w:type="dxa" w:w="70"/>
              <w:left w:type="dxa" w:w="110"/>
              <w:bottom w:type="dxa" w:w="70"/>
              <w:right w:type="dxa" w:w="110"/>
            </w:tcMar>
            <w:vAlign w:val="top"/>
          </w:tcPr>
          <w:p>
            <w:pPr>
              <w:spacing w:after="0" w:line="250"/>
            </w:pPr>
            <w:r>
              <w:rPr>
                <w:color w:val="1F2430"/>
                <w:sz w:val="19"/>
                <w:szCs w:val="19"/>
              </w:rPr>
              <w:t xml:space="preserve">The same object set always produces the same bundle id. “Nothing changed” becomes visible rather than asserted. The prototype and the application route both produce bundle-auren-e6362ee3 from the same library, which is the cheapest possible proof they have not drifted.</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Session-stamped</w:t>
            </w:r>
          </w:p>
        </w:tc>
        <w:tc>
          <w:tcPr>
            <w:tcW w:type="dxa" w:w="7120"/>
            <w:shd w:fill="F7F8FB" w:val="clear"/>
            <w:tcMar>
              <w:top w:type="dxa" w:w="70"/>
              <w:left w:type="dxa" w:w="110"/>
              <w:bottom w:type="dxa" w:w="70"/>
              <w:right w:type="dxa" w:w="110"/>
            </w:tcMar>
            <w:vAlign w:val="top"/>
          </w:tcPr>
          <w:p>
            <w:pPr>
              <w:spacing w:after="0" w:line="250"/>
            </w:pPr>
            <w:r>
              <w:rPr>
                <w:color w:val="1F2430"/>
                <w:sz w:val="19"/>
                <w:szCs w:val="19"/>
              </w:rPr>
              <w:t xml:space="preserve">Every session records the bundle it ran on, so a historical determination is reproducible against the knowledge state at the time of capture. Pioneer calls this a directly court-relevant property, and it is the single most valuable audit feature in the platform.</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Append-only ledger</w:t>
            </w:r>
          </w:p>
        </w:tc>
        <w:tc>
          <w:tcPr>
            <w:tcW w:type="dxa" w:w="7120"/>
            <w:shd w:fill="FFFFFF" w:val="clear"/>
            <w:tcMar>
              <w:top w:type="dxa" w:w="70"/>
              <w:left w:type="dxa" w:w="110"/>
              <w:bottom w:type="dxa" w:w="70"/>
              <w:right w:type="dxa" w:w="110"/>
            </w:tcMar>
            <w:vAlign w:val="top"/>
          </w:tcPr>
          <w:p>
            <w:pPr>
              <w:spacing w:after="0" w:line="250"/>
            </w:pPr>
            <w:r>
              <w:rPr>
                <w:color w:val="1F2430"/>
                <w:sz w:val="19"/>
                <w:szCs w:val="19"/>
              </w:rPr>
              <w:t xml:space="preserve">Rolled-back releases stay in the ledger with a rollback flag. The record is never rewritten.</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Named approver on the event</w:t>
            </w:r>
          </w:p>
        </w:tc>
        <w:tc>
          <w:tcPr>
            <w:tcW w:type="dxa" w:w="7120"/>
            <w:shd w:fill="F7F8FB" w:val="clear"/>
            <w:tcMar>
              <w:top w:type="dxa" w:w="70"/>
              <w:left w:type="dxa" w:w="110"/>
              <w:bottom w:type="dxa" w:w="70"/>
              <w:right w:type="dxa" w:w="110"/>
            </w:tcMar>
            <w:vAlign w:val="top"/>
          </w:tcPr>
          <w:p>
            <w:pPr>
              <w:spacing w:after="0" w:line="250"/>
            </w:pPr>
            <w:r>
              <w:rPr>
                <w:color w:val="1F2430"/>
                <w:sz w:val="19"/>
                <w:szCs w:val="19"/>
              </w:rPr>
              <w:t xml:space="preserve">The identity that Pioneer forbids on the object lives here, where Beauty needs it.</w:t>
            </w:r>
          </w:p>
        </w:tc>
      </w:tr>
    </w:tbl>
    <w:p>
      <w:pPr>
        <w:pStyle w:val="Heading2"/>
      </w:pPr>
      <w:r>
        <w:t xml:space="preserve">3.7  What the gate found in the shipped AUREN library</w:t>
      </w:r>
    </w:p>
    <w:p>
      <w:pPr>
        <w:spacing w:after="140" w:before="0" w:line="276"/>
      </w:pPr>
      <w:r>
        <w:rPr>
          <w:color w:val="1F2430"/>
          <w:sz w:val="21"/>
          <w:szCs w:val="21"/>
        </w:rPr>
        <w:t xml:space="preserve">The console was pointed at the AUREN library that is running in the learner prototype, not at a fixture. It blocked it.</w:t>
      </w:r>
    </w:p>
    <w:p>
      <w:pPr>
        <w:pBdr>
          <w:left w:val="single" w:color="6B5BB5" w:sz="18" w:space="8"/>
        </w:pBdr>
        <w:shd w:fill="F2EFFA" w:val="clear"/>
        <w:spacing w:after="180" w:before="160" w:line="276"/>
        <w:ind w:left="170" w:right="170"/>
      </w:pPr>
      <w:r>
        <w:rPr>
          <w:b/>
          <w:bCs/>
          <w:color w:val="6B5BB5"/>
          <w:sz w:val="16"/>
          <w:szCs w:val="16"/>
        </w:rPr>
        <w:t xml:space="preserve">FINDING  </w:t>
      </w:r>
      <w:r>
        <w:rPr>
          <w:i w:val="false"/>
          <w:iCs w:val="false"/>
          <w:color w:val="2A2140"/>
          <w:sz w:val="21"/>
          <w:szCs w:val="21"/>
        </w:rPr>
        <w:t xml:space="preserve">Coverage — blocked. Four mandatory elements have no question that can elicit them: E-URG-01 resists urgency, E-AUTH-01 questions authority claims, E-SOC-01 discounts social proof, E-PAY-01 payment-destination scrutiny. They can never be resolved in a session.</w:t>
      </w:r>
    </w:p>
    <w:p>
      <w:pPr>
        <w:spacing w:after="140" w:before="0" w:line="276"/>
      </w:pPr>
      <w:r>
        <w:rPr>
          <w:color w:val="1F2430"/>
          <w:sz w:val="21"/>
          <w:szCs w:val="21"/>
        </w:rPr>
        <w:t xml:space="preserve">That is true. The object file defines eight elements and four questions. The four un-questioned elements are scored on the Evidential Scorecard as not-testable-this-session, which is honest — but they were never authored, and nothing before this gate said so out loud. The advisory findings are equally real: five of eight mandatory elements are never tested under pressure, and every non-English variant sits at fidelity pending.</w:t>
      </w:r>
    </w:p>
    <w:p>
      <w:pPr>
        <w:spacing w:after="140" w:before="0" w:line="276"/>
      </w:pPr>
      <w:r>
        <w:rPr>
          <w:b/>
          <w:bCs/>
          <w:color w:val="16233A"/>
          <w:sz w:val="21"/>
          <w:szCs w:val="21"/>
        </w:rPr>
        <w:t xml:space="preserve">Clearing it demonstrates the point better than passing would have. </w:t>
      </w:r>
      <w:r>
        <w:rPr>
          <w:sz w:val="21"/>
          <w:szCs w:val="21"/>
        </w:rPr>
        <w:t xml:space="preserve">Retiring the four elements immediately fails Version consistency, because their challenges and signatures now dangle. The reviewer has to retire the dependents too — nine objects in all — and only then does the bundle release. A cascade made visible is the console working.</w:t>
      </w:r>
    </w:p>
    <w:p>
      <w:pPr>
        <w:spacing w:after="140" w:before="0" w:line="276"/>
      </w:pPr>
      <w:r>
        <w:rPr>
          <w:color w:val="1F2430"/>
          <w:sz w:val="21"/>
          <w:szCs w:val="21"/>
        </w:rPr>
        <w:t xml:space="preserve">Pioneer and Beauty behave differently and deliberately. Pioneer's library is seeded from the KB Spec worked examples at their real status — DRAFT and LEGAL_REVIEW, Bahasa Malaysia variants pending — so nothing is EFFECTIVE and the report shows the tests as not-assessed rather than passing. Beauty's library deliberately includes a market-scope violation: a question released into Malaysia and Singapore whose target claim is approved only in the UAE and Saudi Arabia. Scope integrity catches it. That is the conflict L'Oréal's paper cares most about, caught by the schema instead of by a reviewer's memory.</w:t>
      </w:r>
    </w:p>
    <w:p>
      <w:pPr>
        <w:pStyle w:val="Heading1"/>
        <w:pageBreakBefore/>
      </w:pPr>
      <w:r>
        <w:t xml:space="preserve">Part IV — How to use it</w:t>
      </w:r>
    </w:p>
    <w:p>
      <w:pPr>
        <w:spacing w:after="140" w:before="0" w:line="276"/>
      </w:pPr>
      <w:r>
        <w:rPr>
          <w:color w:val="1F2430"/>
          <w:sz w:val="21"/>
          <w:szCs w:val="21"/>
        </w:rPr>
        <w:t xml:space="preserve">This part is the operating manual. Sections 4.1 to 4.3 are for anyone with a browser; 4.4 onwards is for the team.</w:t>
      </w:r>
    </w:p>
    <w:p>
      <w:pPr>
        <w:pStyle w:val="Heading2"/>
      </w:pPr>
      <w:r>
        <w:t xml:space="preserve">4.1  Opening the two prototypes</w:t>
      </w:r>
    </w:p>
    <w:p>
      <w:pPr>
        <w:spacing w:after="140" w:before="0" w:line="276"/>
      </w:pPr>
      <w:r>
        <w:rPr>
          <w:color w:val="1F2430"/>
          <w:sz w:val="21"/>
          <w:szCs w:val="21"/>
        </w:rPr>
        <w:t xml:space="preserve">Both are single self-contained HTML files. No server, no key, no install. They open on a phone.</w:t>
      </w:r>
    </w:p>
    <w:p>
      <w:pPr>
        <w:spacing w:after="140" w:before="0" w:line="276"/>
      </w:pPr>
      <w:r>
        <w:rPr>
          <w:b/>
          <w:bCs/>
          <w:sz w:val="21"/>
          <w:szCs w:val="21"/>
        </w:rPr>
        <w:t xml:space="preserve">AUREN rehearsal — the learner loop:  </w:t>
      </w:r>
      <w:hyperlink w:history="1" r:id="rIdguelplwiwko6ykn6lbu4m">
        <w:r>
          <w:rPr>
            <w:color w:val="3B5BA5"/>
            <w:sz w:val="20"/>
            <w:szCs w:val="20"/>
            <w:u w:val="single"/>
          </w:rPr>
          <w:t xml:space="preserve">https://claude.ai/code/artifact/84754cd0-ee85-4c03-a426-1a9e51d734ed</w:t>
        </w:r>
      </w:hyperlink>
    </w:p>
    <w:p>
      <w:pPr>
        <w:spacing w:after="140" w:before="0" w:line="276"/>
      </w:pPr>
      <w:r>
        <w:rPr>
          <w:b/>
          <w:bCs/>
          <w:sz w:val="21"/>
          <w:szCs w:val="21"/>
        </w:rPr>
        <w:t xml:space="preserve">Knowledge Authority — the console:  </w:t>
      </w:r>
      <w:hyperlink w:history="1" r:id="rIdcte-xl35oeybgvxxbd6oi">
        <w:r>
          <w:rPr>
            <w:color w:val="3B5BA5"/>
            <w:sz w:val="20"/>
            <w:szCs w:val="20"/>
            <w:u w:val="single"/>
          </w:rPr>
          <w:t xml:space="preserve">https://claude.ai/code/artifact/d94944df-a68c-4ee6-b63c-aca37c4261eb</w:t>
        </w:r>
      </w:hyperlink>
    </w:p>
    <w:p>
      <w:pPr>
        <w:spacing w:after="60"/>
      </w:pP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3200"/>
        <w:gridCol w:w="5820"/>
      </w:tblGrid>
      <w:tr>
        <w:trPr>
          <w:tblHeader/>
        </w:trPr>
        <w:tc>
          <w:tcPr>
            <w:tcW w:type="dxa" w:w="3200"/>
            <w:shd w:fill="EDEFF4" w:val="clear"/>
            <w:tcMar>
              <w:top w:type="dxa" w:w="70"/>
              <w:left w:type="dxa" w:w="110"/>
              <w:bottom w:type="dxa" w:w="70"/>
              <w:right w:type="dxa" w:w="110"/>
            </w:tcMar>
            <w:vAlign w:val="top"/>
          </w:tcPr>
          <w:p>
            <w:pPr>
              <w:spacing w:after="0" w:line="250"/>
            </w:pPr>
            <w:r>
              <w:rPr>
                <w:b/>
                <w:bCs/>
                <w:color w:val="16233A"/>
                <w:sz w:val="18"/>
                <w:szCs w:val="18"/>
              </w:rPr>
              <w:t xml:space="preserve">Before you demo</w:t>
            </w:r>
          </w:p>
        </w:tc>
        <w:tc>
          <w:tcPr>
            <w:tcW w:type="dxa" w:w="5820"/>
            <w:shd w:fill="EDEFF4" w:val="clear"/>
            <w:tcMar>
              <w:top w:type="dxa" w:w="70"/>
              <w:left w:type="dxa" w:w="110"/>
              <w:bottom w:type="dxa" w:w="70"/>
              <w:right w:type="dxa" w:w="110"/>
            </w:tcMar>
            <w:vAlign w:val="top"/>
          </w:tcPr>
          <w:p>
            <w:pPr>
              <w:spacing w:after="0" w:line="250"/>
            </w:pPr>
            <w:r>
              <w:rPr>
                <w:b/>
                <w:bCs/>
                <w:color w:val="16233A"/>
                <w:sz w:val="18"/>
                <w:szCs w:val="18"/>
              </w:rPr>
              <w:t xml:space="preserve">Why</w:t>
            </w:r>
          </w:p>
        </w:tc>
      </w:tr>
      <w:tr>
        <w:tc>
          <w:tcPr>
            <w:tcW w:type="dxa" w:w="3200"/>
            <w:shd w:fill="FFFFFF" w:val="clear"/>
            <w:tcMar>
              <w:top w:type="dxa" w:w="70"/>
              <w:left w:type="dxa" w:w="110"/>
              <w:bottom w:type="dxa" w:w="70"/>
              <w:right w:type="dxa" w:w="110"/>
            </w:tcMar>
            <w:vAlign w:val="top"/>
          </w:tcPr>
          <w:p>
            <w:pPr>
              <w:spacing w:after="0" w:line="250"/>
            </w:pPr>
            <w:r>
              <w:rPr>
                <w:color w:val="1F2430"/>
                <w:sz w:val="19"/>
                <w:szCs w:val="19"/>
              </w:rPr>
              <w:t xml:space="preserve">Use Chrome or Edge, on a laptop or an Android phone.</w:t>
            </w:r>
          </w:p>
        </w:tc>
        <w:tc>
          <w:tcPr>
            <w:tcW w:type="dxa" w:w="5820"/>
            <w:shd w:fill="FFFFFF" w:val="clear"/>
            <w:tcMar>
              <w:top w:type="dxa" w:w="70"/>
              <w:left w:type="dxa" w:w="110"/>
              <w:bottom w:type="dxa" w:w="70"/>
              <w:right w:type="dxa" w:w="110"/>
            </w:tcMar>
            <w:vAlign w:val="top"/>
          </w:tcPr>
          <w:p>
            <w:pPr>
              <w:spacing w:after="0" w:line="250"/>
            </w:pPr>
            <w:r>
              <w:rPr>
                <w:color w:val="1F2430"/>
                <w:sz w:val="19"/>
                <w:szCs w:val="19"/>
              </w:rPr>
              <w:t xml:space="preserve">Speech recognition is not implemented in every browser. Where it is missing the beat still advances by voice using the authored line, but push-to-talk will not capture the room.</w:t>
            </w:r>
          </w:p>
        </w:tc>
      </w:tr>
      <w:tr>
        <w:tc>
          <w:tcPr>
            <w:tcW w:type="dxa" w:w="3200"/>
            <w:shd w:fill="F7F8FB" w:val="clear"/>
            <w:tcMar>
              <w:top w:type="dxa" w:w="70"/>
              <w:left w:type="dxa" w:w="110"/>
              <w:bottom w:type="dxa" w:w="70"/>
              <w:right w:type="dxa" w:w="110"/>
            </w:tcMar>
            <w:vAlign w:val="top"/>
          </w:tcPr>
          <w:p>
            <w:pPr>
              <w:spacing w:after="0" w:line="250"/>
            </w:pPr>
            <w:r>
              <w:rPr>
                <w:color w:val="1F2430"/>
                <w:sz w:val="19"/>
                <w:szCs w:val="19"/>
              </w:rPr>
              <w:t xml:space="preserve">Allow the microphone when prompted, and unmute.</w:t>
            </w:r>
          </w:p>
        </w:tc>
        <w:tc>
          <w:tcPr>
            <w:tcW w:type="dxa" w:w="5820"/>
            <w:shd w:fill="F7F8FB" w:val="clear"/>
            <w:tcMar>
              <w:top w:type="dxa" w:w="70"/>
              <w:left w:type="dxa" w:w="110"/>
              <w:bottom w:type="dxa" w:w="70"/>
              <w:right w:type="dxa" w:w="110"/>
            </w:tcMar>
            <w:vAlign w:val="top"/>
          </w:tcPr>
          <w:p>
            <w:pPr>
              <w:spacing w:after="0" w:line="250"/>
            </w:pPr>
            <w:r>
              <w:rPr>
                <w:color w:val="1F2430"/>
                <w:sz w:val="19"/>
                <w:szCs w:val="19"/>
              </w:rPr>
              <w:t xml:space="preserve">The first tap is an audio-unlock gesture. Browsers block synthesised speech until the user has interacted.</w:t>
            </w:r>
          </w:p>
        </w:tc>
      </w:tr>
      <w:tr>
        <w:tc>
          <w:tcPr>
            <w:tcW w:type="dxa" w:w="3200"/>
            <w:shd w:fill="FFFFFF" w:val="clear"/>
            <w:tcMar>
              <w:top w:type="dxa" w:w="70"/>
              <w:left w:type="dxa" w:w="110"/>
              <w:bottom w:type="dxa" w:w="70"/>
              <w:right w:type="dxa" w:w="110"/>
            </w:tcMar>
            <w:vAlign w:val="top"/>
          </w:tcPr>
          <w:p>
            <w:pPr>
              <w:spacing w:after="0" w:line="250"/>
            </w:pPr>
            <w:r>
              <w:rPr>
                <w:color w:val="1F2430"/>
                <w:sz w:val="19"/>
                <w:szCs w:val="19"/>
              </w:rPr>
              <w:t xml:space="preserve">Pick the language on the landing screen, not later.</w:t>
            </w:r>
          </w:p>
        </w:tc>
        <w:tc>
          <w:tcPr>
            <w:tcW w:type="dxa" w:w="5820"/>
            <w:shd w:fill="FFFFFF" w:val="clear"/>
            <w:tcMar>
              <w:top w:type="dxa" w:w="70"/>
              <w:left w:type="dxa" w:w="110"/>
              <w:bottom w:type="dxa" w:w="70"/>
              <w:right w:type="dxa" w:w="110"/>
            </w:tcMar>
            <w:vAlign w:val="top"/>
          </w:tcPr>
          <w:p>
            <w:pPr>
              <w:spacing w:after="0" w:line="250"/>
            </w:pPr>
            <w:r>
              <w:rPr>
                <w:color w:val="1F2430"/>
                <w:sz w:val="19"/>
                <w:szCs w:val="19"/>
              </w:rPr>
              <w:t xml:space="preserve">Language is a session-level property of every scored determination. Switching mid-session is not a display change; the engine restarts the session.</w:t>
            </w:r>
          </w:p>
        </w:tc>
      </w:tr>
      <w:tr>
        <w:tc>
          <w:tcPr>
            <w:tcW w:type="dxa" w:w="3200"/>
            <w:shd w:fill="F7F8FB" w:val="clear"/>
            <w:tcMar>
              <w:top w:type="dxa" w:w="70"/>
              <w:left w:type="dxa" w:w="110"/>
              <w:bottom w:type="dxa" w:w="70"/>
              <w:right w:type="dxa" w:w="110"/>
            </w:tcMar>
            <w:vAlign w:val="top"/>
          </w:tcPr>
          <w:p>
            <w:pPr>
              <w:spacing w:after="0" w:line="250"/>
            </w:pPr>
            <w:r>
              <w:rPr>
                <w:color w:val="1F2430"/>
                <w:sz w:val="19"/>
                <w:szCs w:val="19"/>
              </w:rPr>
              <w:t xml:space="preserve">Have headphones if the room is live.</w:t>
            </w:r>
          </w:p>
        </w:tc>
        <w:tc>
          <w:tcPr>
            <w:tcW w:type="dxa" w:w="5820"/>
            <w:shd w:fill="F7F8FB" w:val="clear"/>
            <w:tcMar>
              <w:top w:type="dxa" w:w="70"/>
              <w:left w:type="dxa" w:w="110"/>
              <w:bottom w:type="dxa" w:w="70"/>
              <w:right w:type="dxa" w:w="110"/>
            </w:tcMar>
            <w:vAlign w:val="top"/>
          </w:tcPr>
          <w:p>
            <w:pPr>
              <w:spacing w:after="0" w:line="250"/>
            </w:pPr>
            <w:r>
              <w:rPr>
                <w:color w:val="1F2430"/>
                <w:sz w:val="19"/>
                <w:szCs w:val="19"/>
              </w:rPr>
              <w:t xml:space="preserve">Echo suppression is handled, but a loud room still degrades recognition.</w:t>
            </w:r>
          </w:p>
        </w:tc>
      </w:tr>
    </w:tbl>
    <w:p>
      <w:pPr>
        <w:pStyle w:val="Heading2"/>
      </w:pPr>
      <w:r>
        <w:t xml:space="preserve">4.2  The admin journey, screen by screen</w:t>
      </w:r>
    </w:p>
    <w:p>
      <w:pPr>
        <w:spacing w:after="140" w:before="0" w:line="276"/>
      </w:pPr>
      <w:r>
        <w:rPr>
          <w:color w:val="1F2430"/>
          <w:sz w:val="21"/>
          <w:szCs w:val="21"/>
        </w:rPr>
        <w:t xml:space="preserve">This is the sequence to walk a client through. Each step is a screen in the console, in the order the console presents them.</w:t>
      </w:r>
    </w:p>
    <w:p>
      <w:pPr>
        <w:pStyle w:val="Heading3"/>
      </w:pPr>
      <w:r>
        <w:t xml:space="preserve">Step 1 — Sign in</w:t>
      </w:r>
    </w:p>
    <w:p>
      <w:pPr>
        <w:spacing w:after="140" w:before="0" w:line="276"/>
      </w:pPr>
      <w:r>
        <w:rPr>
          <w:color w:val="1F2430"/>
          <w:sz w:val="21"/>
          <w:szCs w:val="21"/>
        </w:rPr>
        <w:t xml:space="preserve">Name plus a role: domain reviewer, legal reviewer, safety reviewer, regulatory approver, or platform admin. The role is not decoration — it is the thing that appears on the object's approver list and on the release event, and the permission boundary is deliberately visible in the top bar for the whole session.</w:t>
      </w:r>
    </w:p>
    <w:p>
      <w:pPr>
        <w:pStyle w:val="Heading3"/>
      </w:pPr>
      <w:r>
        <w:t xml:space="preserve">Step 2 — Choose the workspace: Governance or Operations</w:t>
      </w:r>
    </w:p>
    <w:p>
      <w:pPr>
        <w:spacing w:after="140" w:before="0" w:line="276"/>
      </w:pPr>
      <w:r>
        <w:rPr>
          <w:color w:val="1F2430"/>
          <w:sz w:val="21"/>
          <w:szCs w:val="21"/>
        </w:rPr>
        <w:t xml:space="preserve">The switch sits in the top bar. Governance reads the knowledge plane; Operations reads the data plane — records, cohort analytics, remediation queues. In the prototype Operations is deliberately empty, and the note on that screen explains why they are separated:</w:t>
      </w:r>
    </w:p>
    <w:p>
      <w:pPr>
        <w:pBdr>
          <w:left w:val="single" w:color="6B5BB5" w:sz="18" w:space="8"/>
        </w:pBdr>
        <w:shd w:fill="F2EFFA" w:val="clear"/>
        <w:spacing w:after="180" w:before="160" w:line="276"/>
        <w:ind w:left="170" w:right="170"/>
      </w:pPr>
      <w:r>
        <w:rPr>
          <w:b/>
          <w:bCs/>
          <w:color w:val="6B5BB5"/>
          <w:sz w:val="16"/>
          <w:szCs w:val="16"/>
        </w:rPr>
        <w:t xml:space="preserve">DESIGN RULE  </w:t>
      </w:r>
      <w:r>
        <w:rPr>
          <w:i w:val="false"/>
          <w:iCs w:val="false"/>
          <w:color w:val="2A2140"/>
          <w:sz w:val="21"/>
          <w:szCs w:val="21"/>
        </w:rPr>
        <w:t xml:space="preserve">An error in the Operations workspace is an inconvenience; an error in the one next door is a regulatory event. They do not share a screen, an undo history or a permission set.</w:t>
      </w:r>
    </w:p>
    <w:p>
      <w:pPr>
        <w:pStyle w:val="Heading3"/>
      </w:pPr>
      <w:r>
        <w:t xml:space="preserve">Step 3 — Choose the vertical</w:t>
      </w:r>
    </w:p>
    <w:p>
      <w:pPr>
        <w:spacing w:after="140" w:before="0" w:line="276"/>
      </w:pPr>
      <w:r>
        <w:rPr>
          <w:color w:val="1F2430"/>
          <w:sz w:val="21"/>
          <w:szCs w:val="21"/>
        </w:rPr>
        <w:t xml:space="preserve">AUREN, Project Pioneer or Beauty Intelligence, from the left rail. Each shows its doctrine and its object count, and the rail carries the vertical's human-authority statement and anchor authority underneath — so the reviewer can never forget which rules they are working under. Switching vertical resets the panel to the library and clears any selection.</w:t>
      </w:r>
    </w:p>
    <w:p>
      <w:pPr>
        <w:pStyle w:val="Heading3"/>
      </w:pPr>
      <w:r>
        <w:t xml:space="preserve">Step 4 — Read the object library</w:t>
      </w:r>
    </w:p>
    <w:p>
      <w:pPr>
        <w:spacing w:after="140" w:before="0" w:line="276"/>
      </w:pPr>
      <w:r>
        <w:rPr>
          <w:color w:val="1F2430"/>
          <w:sz w:val="21"/>
          <w:szCs w:val="21"/>
        </w:rPr>
        <w:t xml:space="preserve">Four counters sit above the table and they are the health summary of the pack:</w:t>
      </w:r>
    </w:p>
    <w:p>
      <w:pPr>
        <w:pStyle w:val="ListParagraph"/>
        <w:numPr>
          <w:ilvl w:val="0"/>
          <w:numId w:val="3"/>
        </w:numPr>
        <w:spacing w:after="70" w:line="268"/>
      </w:pPr>
      <w:r>
        <w:rPr>
          <w:color w:val="1F2430"/>
          <w:sz w:val="21"/>
          <w:szCs w:val="21"/>
        </w:rPr>
        <w:t xml:space="preserve">Effective — in the bundle.</w:t>
      </w:r>
    </w:p>
    <w:p>
      <w:pPr>
        <w:pStyle w:val="ListParagraph"/>
        <w:numPr>
          <w:ilvl w:val="0"/>
          <w:numId w:val="3"/>
        </w:numPr>
        <w:spacing w:after="70" w:line="268"/>
      </w:pPr>
      <w:r>
        <w:rPr>
          <w:color w:val="1F2430"/>
          <w:sz w:val="21"/>
          <w:szCs w:val="21"/>
        </w:rPr>
        <w:t xml:space="preserve">In review — not released.</w:t>
      </w:r>
    </w:p>
    <w:p>
      <w:pPr>
        <w:pStyle w:val="ListParagraph"/>
        <w:numPr>
          <w:ilvl w:val="0"/>
          <w:numId w:val="3"/>
        </w:numPr>
        <w:spacing w:after="70" w:line="268"/>
      </w:pPr>
      <w:r>
        <w:rPr>
          <w:color w:val="1F2430"/>
          <w:sz w:val="21"/>
          <w:szCs w:val="21"/>
        </w:rPr>
        <w:t xml:space="preserve">Elements without an anchor. This should always be zero; anything else cannot be released.</w:t>
      </w:r>
    </w:p>
    <w:p>
      <w:pPr>
        <w:pStyle w:val="ListParagraph"/>
        <w:numPr>
          <w:ilvl w:val="0"/>
          <w:numId w:val="3"/>
        </w:numPr>
        <w:spacing w:after="70" w:line="268"/>
      </w:pPr>
      <w:r>
        <w:rPr>
          <w:color w:val="1F2430"/>
          <w:sz w:val="21"/>
          <w:szCs w:val="21"/>
        </w:rPr>
        <w:t xml:space="preserve">Questions with a pending variant. This is the translation-fidelity exposure.</w:t>
      </w:r>
    </w:p>
    <w:p>
      <w:pPr>
        <w:spacing w:after="140" w:before="0" w:line="276"/>
      </w:pPr>
      <w:r>
        <w:rPr>
          <w:color w:val="1F2430"/>
          <w:sz w:val="21"/>
          <w:szCs w:val="21"/>
        </w:rPr>
        <w:t xml:space="preserve">The table lists every object with its id, kind, lifecycle status, anchor or source, and eligibility (modes and markets). Click any id to open its detail.</w:t>
      </w:r>
    </w:p>
    <w:p>
      <w:pPr>
        <w:pStyle w:val="Heading3"/>
      </w:pPr>
      <w:r>
        <w:t xml:space="preserve">Step 5 — Work an object</w:t>
      </w:r>
    </w:p>
    <w:p>
      <w:pPr>
        <w:spacing w:after="140" w:before="0" w:line="276"/>
      </w:pPr>
      <w:r>
        <w:rPr>
          <w:color w:val="1F2430"/>
          <w:sz w:val="21"/>
          <w:szCs w:val="21"/>
        </w:rPr>
        <w:t xml:space="preserve">The detail panel shows the full governance block — version, status, approver roles, source, effective date, review due — the eligibility across all three axes, the language variants with their fidelity, and the kind-specific fields. Two controls:</w:t>
      </w:r>
    </w:p>
    <w:p>
      <w:pPr>
        <w:pStyle w:val="ListParagraph"/>
        <w:numPr>
          <w:ilvl w:val="0"/>
          <w:numId w:val="2"/>
        </w:numPr>
        <w:spacing w:after="90" w:line="268"/>
      </w:pPr>
      <w:r>
        <w:rPr>
          <w:color w:val="1F2430"/>
          <w:sz w:val="21"/>
          <w:szCs w:val="21"/>
        </w:rPr>
        <w:t xml:space="preserve">Advance — move one step along the chain. The next status is computed, never chosen; a reviewer cannot skip legal review to reach EFFECTIVE.</w:t>
      </w:r>
    </w:p>
    <w:p>
      <w:pPr>
        <w:pStyle w:val="ListParagraph"/>
        <w:numPr>
          <w:ilvl w:val="0"/>
          <w:numId w:val="2"/>
        </w:numPr>
        <w:spacing w:after="90" w:line="268"/>
      </w:pPr>
      <w:r>
        <w:rPr>
          <w:color w:val="1F2430"/>
          <w:sz w:val="21"/>
          <w:szCs w:val="21"/>
        </w:rPr>
        <w:t xml:space="preserve">Retire — the emergency withdrawal. One step, from any status, taking effect at the next session start.</w:t>
      </w:r>
    </w:p>
    <w:p>
      <w:pPr>
        <w:spacing w:after="140" w:before="0" w:line="276"/>
      </w:pPr>
      <w:r>
        <w:rPr>
          <w:color w:val="1F2430"/>
          <w:sz w:val="21"/>
          <w:szCs w:val="21"/>
        </w:rPr>
        <w:t xml:space="preserve">Advancing or retiring anything invalidates the current gate report and the console discards it. A verdict describing a library that no longer exists is worse than no verdict.</w:t>
      </w:r>
    </w:p>
    <w:p>
      <w:pPr>
        <w:pStyle w:val="Heading3"/>
      </w:pPr>
      <w:r>
        <w:t xml:space="preserve">Step 6 — Run the publish gate</w:t>
      </w:r>
    </w:p>
    <w:p>
      <w:pPr>
        <w:spacing w:after="140" w:before="0" w:line="276"/>
      </w:pPr>
      <w:r>
        <w:rPr>
          <w:color w:val="1F2430"/>
          <w:sz w:val="21"/>
          <w:szCs w:val="21"/>
        </w:rPr>
        <w:t xml:space="preserve">The button sits at the top of the library. The report renders ten tests with their severity, what each asserts, how many objects each examined, and — for a failure — the specific object and the specific reason. Three states to read:</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300"/>
        <w:gridCol w:w="4400"/>
        <w:gridCol w:w="3320"/>
      </w:tblGrid>
      <w:tr>
        <w:trPr>
          <w:tblHeader/>
        </w:trPr>
        <w:tc>
          <w:tcPr>
            <w:tcW w:type="dxa" w:w="1300"/>
            <w:shd w:fill="EDEFF4" w:val="clear"/>
            <w:tcMar>
              <w:top w:type="dxa" w:w="70"/>
              <w:left w:type="dxa" w:w="110"/>
              <w:bottom w:type="dxa" w:w="70"/>
              <w:right w:type="dxa" w:w="110"/>
            </w:tcMar>
            <w:vAlign w:val="top"/>
          </w:tcPr>
          <w:p>
            <w:pPr>
              <w:spacing w:after="0" w:line="250"/>
            </w:pPr>
            <w:r>
              <w:rPr>
                <w:b/>
                <w:bCs/>
                <w:color w:val="16233A"/>
                <w:sz w:val="18"/>
                <w:szCs w:val="18"/>
              </w:rPr>
              <w:t xml:space="preserve">State</w:t>
            </w:r>
          </w:p>
        </w:tc>
        <w:tc>
          <w:tcPr>
            <w:tcW w:type="dxa" w:w="4400"/>
            <w:shd w:fill="EDEFF4" w:val="clear"/>
            <w:tcMar>
              <w:top w:type="dxa" w:w="70"/>
              <w:left w:type="dxa" w:w="110"/>
              <w:bottom w:type="dxa" w:w="70"/>
              <w:right w:type="dxa" w:w="110"/>
            </w:tcMar>
            <w:vAlign w:val="top"/>
          </w:tcPr>
          <w:p>
            <w:pPr>
              <w:spacing w:after="0" w:line="250"/>
            </w:pPr>
            <w:r>
              <w:rPr>
                <w:b/>
                <w:bCs/>
                <w:color w:val="16233A"/>
                <w:sz w:val="18"/>
                <w:szCs w:val="18"/>
              </w:rPr>
              <w:t xml:space="preserve">Meaning</w:t>
            </w:r>
          </w:p>
        </w:tc>
        <w:tc>
          <w:tcPr>
            <w:tcW w:type="dxa" w:w="3320"/>
            <w:shd w:fill="EDEFF4" w:val="clear"/>
            <w:tcMar>
              <w:top w:type="dxa" w:w="70"/>
              <w:left w:type="dxa" w:w="110"/>
              <w:bottom w:type="dxa" w:w="70"/>
              <w:right w:type="dxa" w:w="110"/>
            </w:tcMar>
            <w:vAlign w:val="top"/>
          </w:tcPr>
          <w:p>
            <w:pPr>
              <w:spacing w:after="0" w:line="250"/>
            </w:pPr>
            <w:r>
              <w:rPr>
                <w:b/>
                <w:bCs/>
                <w:color w:val="16233A"/>
                <w:sz w:val="18"/>
                <w:szCs w:val="18"/>
              </w:rPr>
              <w:t xml:space="preserve">What to do</w:t>
            </w:r>
          </w:p>
        </w:tc>
      </w:tr>
      <w:tr>
        <w:tc>
          <w:tcPr>
            <w:tcW w:type="dxa" w:w="1300"/>
            <w:shd w:fill="FFFFFF" w:val="clear"/>
            <w:tcMar>
              <w:top w:type="dxa" w:w="70"/>
              <w:left w:type="dxa" w:w="110"/>
              <w:bottom w:type="dxa" w:w="70"/>
              <w:right w:type="dxa" w:w="110"/>
            </w:tcMar>
            <w:vAlign w:val="top"/>
          </w:tcPr>
          <w:p>
            <w:pPr>
              <w:spacing w:after="0" w:line="250"/>
            </w:pPr>
            <w:r>
              <w:rPr>
                <w:b/>
                <w:bCs/>
                <w:color w:val="2E6B3E"/>
                <w:sz w:val="19"/>
                <w:szCs w:val="19"/>
              </w:rPr>
              <w:t xml:space="preserve">pass</w:t>
            </w:r>
          </w:p>
        </w:tc>
        <w:tc>
          <w:tcPr>
            <w:tcW w:type="dxa" w:w="4400"/>
            <w:shd w:fill="FFFFFF" w:val="clear"/>
            <w:tcMar>
              <w:top w:type="dxa" w:w="70"/>
              <w:left w:type="dxa" w:w="110"/>
              <w:bottom w:type="dxa" w:w="70"/>
              <w:right w:type="dxa" w:w="110"/>
            </w:tcMar>
            <w:vAlign w:val="top"/>
          </w:tcPr>
          <w:p>
            <w:pPr>
              <w:spacing w:after="0" w:line="250"/>
            </w:pPr>
            <w:r>
              <w:rPr>
                <w:color w:val="1F2430"/>
                <w:sz w:val="19"/>
                <w:szCs w:val="19"/>
              </w:rPr>
              <w:t xml:space="preserve">The test examined at least one object and found nothing.</w:t>
            </w:r>
          </w:p>
        </w:tc>
        <w:tc>
          <w:tcPr>
            <w:tcW w:type="dxa" w:w="3320"/>
            <w:shd w:fill="FFFFFF" w:val="clear"/>
            <w:tcMar>
              <w:top w:type="dxa" w:w="70"/>
              <w:left w:type="dxa" w:w="110"/>
              <w:bottom w:type="dxa" w:w="70"/>
              <w:right w:type="dxa" w:w="110"/>
            </w:tcMar>
            <w:vAlign w:val="top"/>
          </w:tcPr>
          <w:p>
            <w:pPr>
              <w:spacing w:after="0" w:line="250"/>
            </w:pPr>
            <w:r>
              <w:rPr>
                <w:color w:val="1F2430"/>
                <w:sz w:val="19"/>
                <w:szCs w:val="19"/>
              </w:rPr>
              <w:t xml:space="preserve">Nothing.</w:t>
            </w:r>
          </w:p>
        </w:tc>
      </w:tr>
      <w:tr>
        <w:tc>
          <w:tcPr>
            <w:tcW w:type="dxa" w:w="1300"/>
            <w:shd w:fill="F7F8FB" w:val="clear"/>
            <w:tcMar>
              <w:top w:type="dxa" w:w="70"/>
              <w:left w:type="dxa" w:w="110"/>
              <w:bottom w:type="dxa" w:w="70"/>
              <w:right w:type="dxa" w:w="110"/>
            </w:tcMar>
            <w:vAlign w:val="top"/>
          </w:tcPr>
          <w:p>
            <w:pPr>
              <w:spacing w:after="0" w:line="250"/>
            </w:pPr>
            <w:r>
              <w:rPr>
                <w:b/>
                <w:bCs/>
                <w:color w:val="8A6A1F"/>
                <w:sz w:val="19"/>
                <w:szCs w:val="19"/>
              </w:rPr>
              <w:t xml:space="preserve">n/a</w:t>
            </w:r>
          </w:p>
        </w:tc>
        <w:tc>
          <w:tcPr>
            <w:tcW w:type="dxa" w:w="4400"/>
            <w:shd w:fill="F7F8FB" w:val="clear"/>
            <w:tcMar>
              <w:top w:type="dxa" w:w="70"/>
              <w:left w:type="dxa" w:w="110"/>
              <w:bottom w:type="dxa" w:w="70"/>
              <w:right w:type="dxa" w:w="110"/>
            </w:tcMar>
            <w:vAlign w:val="top"/>
          </w:tcPr>
          <w:p>
            <w:pPr>
              <w:spacing w:after="0" w:line="250"/>
            </w:pPr>
            <w:r>
              <w:rPr>
                <w:color w:val="1F2430"/>
                <w:sz w:val="19"/>
                <w:szCs w:val="19"/>
              </w:rPr>
              <w:t xml:space="preserve">The test had nothing to examine. This is never a pass.</w:t>
            </w:r>
          </w:p>
        </w:tc>
        <w:tc>
          <w:tcPr>
            <w:tcW w:type="dxa" w:w="3320"/>
            <w:shd w:fill="F7F8FB" w:val="clear"/>
            <w:tcMar>
              <w:top w:type="dxa" w:w="70"/>
              <w:left w:type="dxa" w:w="110"/>
              <w:bottom w:type="dxa" w:w="70"/>
              <w:right w:type="dxa" w:w="110"/>
            </w:tcMar>
            <w:vAlign w:val="top"/>
          </w:tcPr>
          <w:p>
            <w:pPr>
              <w:spacing w:after="0" w:line="250"/>
            </w:pPr>
            <w:r>
              <w:rPr>
                <w:color w:val="1F2430"/>
                <w:sz w:val="19"/>
                <w:szCs w:val="19"/>
              </w:rPr>
              <w:t xml:space="preserve">Get objects to EFFECTIVE. An n/a on a hard test means the bundle is empty.</w:t>
            </w:r>
          </w:p>
        </w:tc>
      </w:tr>
      <w:tr>
        <w:tc>
          <w:tcPr>
            <w:tcW w:type="dxa" w:w="1300"/>
            <w:shd w:fill="FFFFFF" w:val="clear"/>
            <w:tcMar>
              <w:top w:type="dxa" w:w="70"/>
              <w:left w:type="dxa" w:w="110"/>
              <w:bottom w:type="dxa" w:w="70"/>
              <w:right w:type="dxa" w:w="110"/>
            </w:tcMar>
            <w:vAlign w:val="top"/>
          </w:tcPr>
          <w:p>
            <w:pPr>
              <w:spacing w:after="0" w:line="250"/>
            </w:pPr>
            <w:r>
              <w:rPr>
                <w:b/>
                <w:bCs/>
                <w:color w:val="9B2C2C"/>
                <w:sz w:val="19"/>
                <w:szCs w:val="19"/>
              </w:rPr>
              <w:t xml:space="preserve">fail</w:t>
            </w:r>
          </w:p>
        </w:tc>
        <w:tc>
          <w:tcPr>
            <w:tcW w:type="dxa" w:w="4400"/>
            <w:shd w:fill="FFFFFF" w:val="clear"/>
            <w:tcMar>
              <w:top w:type="dxa" w:w="70"/>
              <w:left w:type="dxa" w:w="110"/>
              <w:bottom w:type="dxa" w:w="70"/>
              <w:right w:type="dxa" w:w="110"/>
            </w:tcMar>
            <w:vAlign w:val="top"/>
          </w:tcPr>
          <w:p>
            <w:pPr>
              <w:spacing w:after="0" w:line="250"/>
            </w:pPr>
            <w:r>
              <w:rPr>
                <w:color w:val="1F2430"/>
                <w:sz w:val="19"/>
                <w:szCs w:val="19"/>
              </w:rPr>
              <w:t xml:space="preserve">Named objects failed, with the reason. Hard failures block release.</w:t>
            </w:r>
          </w:p>
        </w:tc>
        <w:tc>
          <w:tcPr>
            <w:tcW w:type="dxa" w:w="3320"/>
            <w:shd w:fill="FFFFFF" w:val="clear"/>
            <w:tcMar>
              <w:top w:type="dxa" w:w="70"/>
              <w:left w:type="dxa" w:w="110"/>
              <w:bottom w:type="dxa" w:w="70"/>
              <w:right w:type="dxa" w:w="110"/>
            </w:tcMar>
            <w:vAlign w:val="top"/>
          </w:tcPr>
          <w:p>
            <w:pPr>
              <w:spacing w:after="0" w:line="250"/>
            </w:pPr>
            <w:r>
              <w:rPr>
                <w:color w:val="1F2430"/>
                <w:sz w:val="19"/>
                <w:szCs w:val="19"/>
              </w:rPr>
              <w:t xml:space="preserve">Fix the object, or retire it and its dependents.</w:t>
            </w:r>
          </w:p>
        </w:tc>
      </w:tr>
    </w:tbl>
    <w:p>
      <w:pPr>
        <w:pStyle w:val="Heading3"/>
      </w:pPr>
      <w:r>
        <w:t xml:space="preserve">Step 7 — Release</w:t>
      </w:r>
    </w:p>
    <w:p>
      <w:pPr>
        <w:spacing w:after="140" w:before="0" w:line="276"/>
      </w:pPr>
      <w:r>
        <w:rPr>
          <w:color w:val="1F2430"/>
          <w:sz w:val="21"/>
          <w:szCs w:val="21"/>
        </w:rPr>
        <w:t xml:space="preserve">The Release button is disabled while any hard gate fails. There is no waive path and no override — not for the client, and not for BYOND. When it is enabled, signing writes a release event carrying the bundle id, the named approver, the timestamp and the markets.</w:t>
      </w:r>
    </w:p>
    <w:p>
      <w:pPr>
        <w:pStyle w:val="Heading3"/>
      </w:pPr>
      <w:r>
        <w:t xml:space="preserve">Step 8 — The ledger</w:t>
      </w:r>
    </w:p>
    <w:p>
      <w:pPr>
        <w:spacing w:after="140" w:before="0" w:line="276"/>
      </w:pPr>
      <w:r>
        <w:rPr>
          <w:color w:val="1F2430"/>
          <w:sz w:val="21"/>
          <w:szCs w:val="21"/>
        </w:rPr>
        <w:t xml:space="preserve">Append-only. Every release, with who signed it, when, into which markets, and how many objects were in the bundle. Rollback is one control per entry: it points the runtime back at the previous bundle and stamps the rolled-back entry rather than deleting it.</w:t>
      </w:r>
    </w:p>
    <w:p>
      <w:pPr>
        <w:pStyle w:val="Heading2"/>
      </w:pPr>
      <w:r>
        <w:t xml:space="preserve">4.3  The four-minute demo script</w:t>
      </w:r>
    </w:p>
    <w:p>
      <w:pPr>
        <w:spacing w:after="140" w:before="0" w:line="276"/>
      </w:pPr>
      <w:r>
        <w:rPr>
          <w:color w:val="1F2430"/>
          <w:sz w:val="21"/>
          <w:szCs w:val="21"/>
        </w:rPr>
        <w:t xml:space="preserve">What to click in front of a compliance-led buyer, and what to say. This is the sequence that has the highest chance of closing, because it leads with a failure.</w:t>
      </w:r>
    </w:p>
    <w:p>
      <w:pPr>
        <w:pStyle w:val="ListParagraph"/>
        <w:numPr>
          <w:ilvl w:val="0"/>
          <w:numId w:val="2"/>
        </w:numPr>
        <w:spacing w:after="90" w:line="268"/>
      </w:pPr>
      <w:r>
        <w:rPr>
          <w:color w:val="1F2430"/>
          <w:sz w:val="21"/>
          <w:szCs w:val="21"/>
        </w:rPr>
        <w:t xml:space="preserve">Sign in as a legal reviewer. Say: “the role is on the record, not the login.”</w:t>
      </w:r>
    </w:p>
    <w:p>
      <w:pPr>
        <w:pStyle w:val="ListParagraph"/>
        <w:numPr>
          <w:ilvl w:val="0"/>
          <w:numId w:val="2"/>
        </w:numPr>
        <w:spacing w:after="90" w:line="268"/>
      </w:pPr>
      <w:r>
        <w:rPr>
          <w:color w:val="1F2430"/>
          <w:sz w:val="21"/>
          <w:szCs w:val="21"/>
        </w:rPr>
        <w:t xml:space="preserve">Open AUREN. Run the publish gate. It blocks. Say: “this is the library running in the demo you just saw. The gate stopped it.”</w:t>
      </w:r>
    </w:p>
    <w:p>
      <w:pPr>
        <w:pStyle w:val="ListParagraph"/>
        <w:numPr>
          <w:ilvl w:val="0"/>
          <w:numId w:val="2"/>
        </w:numPr>
        <w:spacing w:after="90" w:line="268"/>
      </w:pPr>
      <w:r>
        <w:rPr>
          <w:color w:val="1F2430"/>
          <w:sz w:val="21"/>
          <w:szCs w:val="21"/>
        </w:rPr>
        <w:t xml:space="preserve">Read the Coverage failure aloud — four mandatory elements with no question that can elicit them. Say: “nothing else in the pipeline noticed that.”</w:t>
      </w:r>
    </w:p>
    <w:p>
      <w:pPr>
        <w:pStyle w:val="ListParagraph"/>
        <w:numPr>
          <w:ilvl w:val="0"/>
          <w:numId w:val="2"/>
        </w:numPr>
        <w:spacing w:after="90" w:line="268"/>
      </w:pPr>
      <w:r>
        <w:rPr>
          <w:color w:val="1F2430"/>
          <w:sz w:val="21"/>
          <w:szCs w:val="21"/>
        </w:rPr>
        <w:t xml:space="preserve">Retire the four elements. Re-run. Version consistency now fails, because their challenges and signatures dangle. Say: “governed content has dependencies, and the gate knows them.”</w:t>
      </w:r>
    </w:p>
    <w:p>
      <w:pPr>
        <w:pStyle w:val="ListParagraph"/>
        <w:numPr>
          <w:ilvl w:val="0"/>
          <w:numId w:val="2"/>
        </w:numPr>
        <w:spacing w:after="90" w:line="268"/>
      </w:pPr>
      <w:r>
        <w:rPr>
          <w:color w:val="1F2430"/>
          <w:sz w:val="21"/>
          <w:szCs w:val="21"/>
        </w:rPr>
        <w:t xml:space="preserve">Retire the dependents — nine objects in total. Re-run. Green. Release. Say: “that is what a controlled change costs, and it should cost that.”</w:t>
      </w:r>
    </w:p>
    <w:p>
      <w:pPr>
        <w:pStyle w:val="ListParagraph"/>
        <w:numPr>
          <w:ilvl w:val="0"/>
          <w:numId w:val="2"/>
        </w:numPr>
        <w:spacing w:after="90" w:line="268"/>
      </w:pPr>
      <w:r>
        <w:rPr>
          <w:color w:val="1F2430"/>
          <w:sz w:val="21"/>
          <w:szCs w:val="21"/>
        </w:rPr>
        <w:t xml:space="preserve">Open Pioneer. The report shows tests as n/a, not as passes. Say: “this library has never been approved, so we refuse to tell you it passed.”</w:t>
      </w:r>
    </w:p>
    <w:p>
      <w:pPr>
        <w:pStyle w:val="ListParagraph"/>
        <w:numPr>
          <w:ilvl w:val="0"/>
          <w:numId w:val="2"/>
        </w:numPr>
        <w:spacing w:after="90" w:line="268"/>
      </w:pPr>
      <w:r>
        <w:rPr>
          <w:color w:val="1F2430"/>
          <w:sz w:val="21"/>
          <w:szCs w:val="21"/>
        </w:rPr>
        <w:t xml:space="preserve">Open Beauty. Scope integrity fails: a question released into Malaysia and Singapore whose claim is approved only in the UAE and Saudi Arabia. Say: “this is the mistake that generates a regulatory letter, caught by the schema instead of by somebody's memory.”</w:t>
      </w:r>
    </w:p>
    <w:p>
      <w:pPr>
        <w:pBdr>
          <w:left w:val="single" w:color="6B5BB5" w:sz="18" w:space="8"/>
        </w:pBdr>
        <w:shd w:fill="F2EFFA" w:val="clear"/>
        <w:spacing w:after="180" w:before="160" w:line="276"/>
        <w:ind w:left="170" w:right="170"/>
      </w:pPr>
      <w:r>
        <w:rPr>
          <w:b/>
          <w:bCs/>
          <w:color w:val="6B5BB5"/>
          <w:sz w:val="16"/>
          <w:szCs w:val="16"/>
        </w:rPr>
        <w:t xml:space="preserve">SALES NOTE  </w:t>
      </w:r>
      <w:r>
        <w:rPr>
          <w:i w:val="false"/>
          <w:iCs w:val="false"/>
          <w:color w:val="2A2140"/>
          <w:sz w:val="21"/>
          <w:szCs w:val="21"/>
        </w:rPr>
        <w:t xml:space="preserve">Do not demo a pass. A gate that has never blocked anything reads as decoration to exactly the buyer you are trying to convince.</w:t>
      </w:r>
    </w:p>
    <w:p>
      <w:pPr>
        <w:pStyle w:val="Heading2"/>
      </w:pPr>
      <w:r>
        <w:t xml:space="preserve">4.4  The learner journey (AUREN), for reference</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500"/>
        <w:gridCol w:w="1300"/>
        <w:gridCol w:w="6220"/>
      </w:tblGrid>
      <w:tr>
        <w:trPr>
          <w:tblHeader/>
        </w:trPr>
        <w:tc>
          <w:tcPr>
            <w:tcW w:type="dxa" w:w="1500"/>
            <w:shd w:fill="EDEFF4" w:val="clear"/>
            <w:tcMar>
              <w:top w:type="dxa" w:w="70"/>
              <w:left w:type="dxa" w:w="110"/>
              <w:bottom w:type="dxa" w:w="70"/>
              <w:right w:type="dxa" w:w="110"/>
            </w:tcMar>
            <w:vAlign w:val="top"/>
          </w:tcPr>
          <w:p>
            <w:pPr>
              <w:spacing w:after="0" w:line="250"/>
            </w:pPr>
            <w:r>
              <w:rPr>
                <w:b/>
                <w:bCs/>
                <w:color w:val="16233A"/>
                <w:sz w:val="18"/>
                <w:szCs w:val="18"/>
              </w:rPr>
              <w:t xml:space="preserve">Stage</w:t>
            </w:r>
          </w:p>
        </w:tc>
        <w:tc>
          <w:tcPr>
            <w:tcW w:type="dxa" w:w="1300"/>
            <w:shd w:fill="EDEFF4" w:val="clear"/>
            <w:tcMar>
              <w:top w:type="dxa" w:w="70"/>
              <w:left w:type="dxa" w:w="110"/>
              <w:bottom w:type="dxa" w:w="70"/>
              <w:right w:type="dxa" w:w="110"/>
            </w:tcMar>
            <w:vAlign w:val="top"/>
          </w:tcPr>
          <w:p>
            <w:pPr>
              <w:spacing w:after="0" w:line="250"/>
            </w:pPr>
            <w:r>
              <w:rPr>
                <w:b/>
                <w:bCs/>
                <w:color w:val="16233A"/>
                <w:sz w:val="18"/>
                <w:szCs w:val="18"/>
              </w:rPr>
              <w:t xml:space="preserve">Engine state</w:t>
            </w:r>
          </w:p>
        </w:tc>
        <w:tc>
          <w:tcPr>
            <w:tcW w:type="dxa" w:w="6220"/>
            <w:shd w:fill="EDEFF4" w:val="clear"/>
            <w:tcMar>
              <w:top w:type="dxa" w:w="70"/>
              <w:left w:type="dxa" w:w="110"/>
              <w:bottom w:type="dxa" w:w="70"/>
              <w:right w:type="dxa" w:w="110"/>
            </w:tcMar>
            <w:vAlign w:val="top"/>
          </w:tcPr>
          <w:p>
            <w:pPr>
              <w:spacing w:after="0" w:line="250"/>
            </w:pPr>
            <w:r>
              <w:rPr>
                <w:b/>
                <w:bCs/>
                <w:color w:val="16233A"/>
                <w:sz w:val="18"/>
                <w:szCs w:val="18"/>
              </w:rPr>
              <w:t xml:space="preserve">What the learner experiences</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Landing</w:t>
            </w:r>
          </w:p>
        </w:tc>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w:t>
            </w:r>
          </w:p>
        </w:tc>
        <w:tc>
          <w:tcPr>
            <w:tcW w:type="dxa" w:w="6220"/>
            <w:shd w:fill="FFFFFF" w:val="clear"/>
            <w:tcMar>
              <w:top w:type="dxa" w:w="70"/>
              <w:left w:type="dxa" w:w="110"/>
              <w:bottom w:type="dxa" w:w="70"/>
              <w:right w:type="dxa" w:w="110"/>
            </w:tcMar>
            <w:vAlign w:val="top"/>
          </w:tcPr>
          <w:p>
            <w:pPr>
              <w:spacing w:after="0" w:line="250"/>
            </w:pPr>
            <w:r>
              <w:rPr>
                <w:color w:val="1F2430"/>
                <w:sz w:val="19"/>
                <w:szCs w:val="19"/>
              </w:rPr>
              <w:t xml:space="preserve">Brand, thesis, language choice, fidelity status. Primary path is account-free.</w:t>
            </w:r>
          </w:p>
        </w:tc>
      </w:tr>
      <w:tr>
        <w:tc>
          <w:tcPr>
            <w:tcW w:type="dxa" w:w="1500"/>
            <w:shd w:fill="F7F8FB" w:val="clear"/>
            <w:tcMar>
              <w:top w:type="dxa" w:w="70"/>
              <w:left w:type="dxa" w:w="110"/>
              <w:bottom w:type="dxa" w:w="70"/>
              <w:right w:type="dxa" w:w="110"/>
            </w:tcMar>
            <w:vAlign w:val="top"/>
          </w:tcPr>
          <w:p>
            <w:pPr>
              <w:spacing w:after="0" w:line="250"/>
            </w:pPr>
            <w:r>
              <w:rPr>
                <w:color w:val="1F2430"/>
                <w:sz w:val="19"/>
                <w:szCs w:val="19"/>
              </w:rPr>
              <w:t xml:space="preserve">Welcome and consent</w:t>
            </w:r>
          </w:p>
        </w:tc>
        <w:tc>
          <w:tcPr>
            <w:tcW w:type="dxa" w:w="1300"/>
            <w:shd w:fill="F7F8FB" w:val="clear"/>
            <w:tcMar>
              <w:top w:type="dxa" w:w="70"/>
              <w:left w:type="dxa" w:w="110"/>
              <w:bottom w:type="dxa" w:w="70"/>
              <w:right w:type="dxa" w:w="110"/>
            </w:tcMar>
            <w:vAlign w:val="top"/>
          </w:tcPr>
          <w:p>
            <w:pPr>
              <w:spacing w:after="0" w:line="250"/>
            </w:pPr>
            <w:r>
              <w:rPr>
                <w:color w:val="1F2430"/>
                <w:sz w:val="19"/>
                <w:szCs w:val="19"/>
              </w:rPr>
              <w:t xml:space="preserve">S0</w:t>
            </w:r>
          </w:p>
        </w:tc>
        <w:tc>
          <w:tcPr>
            <w:tcW w:type="dxa" w:w="6220"/>
            <w:shd w:fill="F7F8FB" w:val="clear"/>
            <w:tcMar>
              <w:top w:type="dxa" w:w="70"/>
              <w:left w:type="dxa" w:w="110"/>
              <w:bottom w:type="dxa" w:w="70"/>
              <w:right w:type="dxa" w:w="110"/>
            </w:tcMar>
            <w:vAlign w:val="top"/>
          </w:tcPr>
          <w:p>
            <w:pPr>
              <w:spacing w:after="0" w:line="250"/>
            </w:pPr>
            <w:r>
              <w:rPr>
                <w:color w:val="1F2430"/>
                <w:sz w:val="19"/>
                <w:szCs w:val="19"/>
              </w:rPr>
              <w:t xml:space="preserve">The framing line, the name, and consent to be pressured — the governance signal, made an act rather than a menu.</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Understand</w:t>
            </w:r>
          </w:p>
        </w:tc>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S1</w:t>
            </w:r>
          </w:p>
        </w:tc>
        <w:tc>
          <w:tcPr>
            <w:tcW w:type="dxa" w:w="6220"/>
            <w:shd w:fill="FFFFFF" w:val="clear"/>
            <w:tcMar>
              <w:top w:type="dxa" w:w="70"/>
              <w:left w:type="dxa" w:w="110"/>
              <w:bottom w:type="dxa" w:w="70"/>
              <w:right w:type="dxa" w:w="110"/>
            </w:tcMar>
            <w:vAlign w:val="top"/>
          </w:tcPr>
          <w:p>
            <w:pPr>
              <w:spacing w:after="0" w:line="250"/>
            </w:pPr>
            <w:r>
              <w:rPr>
                <w:color w:val="1F2430"/>
                <w:sz w:val="19"/>
                <w:szCs w:val="19"/>
              </w:rPr>
              <w:t xml:space="preserve">Free narrative. The learner talks. The system does not structure it.</w:t>
            </w:r>
          </w:p>
        </w:tc>
      </w:tr>
      <w:tr>
        <w:tc>
          <w:tcPr>
            <w:tcW w:type="dxa" w:w="1500"/>
            <w:shd w:fill="F7F8FB" w:val="clear"/>
            <w:tcMar>
              <w:top w:type="dxa" w:w="70"/>
              <w:left w:type="dxa" w:w="110"/>
              <w:bottom w:type="dxa" w:w="70"/>
              <w:right w:type="dxa" w:w="110"/>
            </w:tcMar>
            <w:vAlign w:val="top"/>
          </w:tcPr>
          <w:p>
            <w:pPr>
              <w:spacing w:after="0" w:line="250"/>
            </w:pPr>
            <w:r>
              <w:rPr>
                <w:color w:val="1F2430"/>
                <w:sz w:val="19"/>
                <w:szCs w:val="19"/>
              </w:rPr>
              <w:t xml:space="preserve">Diagnose</w:t>
            </w:r>
          </w:p>
        </w:tc>
        <w:tc>
          <w:tcPr>
            <w:tcW w:type="dxa" w:w="1300"/>
            <w:shd w:fill="F7F8FB" w:val="clear"/>
            <w:tcMar>
              <w:top w:type="dxa" w:w="70"/>
              <w:left w:type="dxa" w:w="110"/>
              <w:bottom w:type="dxa" w:w="70"/>
              <w:right w:type="dxa" w:w="110"/>
            </w:tcMar>
            <w:vAlign w:val="top"/>
          </w:tcPr>
          <w:p>
            <w:pPr>
              <w:spacing w:after="0" w:line="250"/>
            </w:pPr>
            <w:r>
              <w:rPr>
                <w:color w:val="1F2430"/>
                <w:sz w:val="19"/>
                <w:szCs w:val="19"/>
              </w:rPr>
              <w:t xml:space="preserve">S2</w:t>
            </w:r>
          </w:p>
        </w:tc>
        <w:tc>
          <w:tcPr>
            <w:tcW w:type="dxa" w:w="6220"/>
            <w:shd w:fill="F7F8FB" w:val="clear"/>
            <w:tcMar>
              <w:top w:type="dxa" w:w="70"/>
              <w:left w:type="dxa" w:w="110"/>
              <w:bottom w:type="dxa" w:w="70"/>
              <w:right w:type="dxa" w:w="110"/>
            </w:tcMar>
            <w:vAlign w:val="top"/>
          </w:tcPr>
          <w:p>
            <w:pPr>
              <w:spacing w:after="0" w:line="250"/>
            </w:pPr>
            <w:r>
              <w:rPr>
                <w:color w:val="1F2430"/>
                <w:sz w:val="19"/>
                <w:szCs w:val="19"/>
              </w:rPr>
              <w:t xml:space="preserve">The element-completion loop, capped at four elements.</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Stress</w:t>
            </w:r>
          </w:p>
        </w:tc>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S3</w:t>
            </w:r>
          </w:p>
        </w:tc>
        <w:tc>
          <w:tcPr>
            <w:tcW w:type="dxa" w:w="6220"/>
            <w:shd w:fill="FFFFFF" w:val="clear"/>
            <w:tcMar>
              <w:top w:type="dxa" w:w="70"/>
              <w:left w:type="dxa" w:w="110"/>
              <w:bottom w:type="dxa" w:w="70"/>
              <w:right w:type="dxa" w:w="110"/>
            </w:tcMar>
            <w:vAlign w:val="top"/>
          </w:tcPr>
          <w:p>
            <w:pPr>
              <w:spacing w:after="0" w:line="250"/>
            </w:pPr>
            <w:r>
              <w:rPr>
                <w:color w:val="1F2430"/>
                <w:sz w:val="19"/>
                <w:szCs w:val="19"/>
              </w:rPr>
              <w:t xml:space="preserve">The persona takes over — a different voice, an approved escalation ladder, a hard ceiling and a distress exit. The reasoning map freezes.</w:t>
            </w:r>
          </w:p>
        </w:tc>
      </w:tr>
      <w:tr>
        <w:tc>
          <w:tcPr>
            <w:tcW w:type="dxa" w:w="1500"/>
            <w:shd w:fill="F7F8FB" w:val="clear"/>
            <w:tcMar>
              <w:top w:type="dxa" w:w="70"/>
              <w:left w:type="dxa" w:w="110"/>
              <w:bottom w:type="dxa" w:w="70"/>
              <w:right w:type="dxa" w:w="110"/>
            </w:tcMar>
            <w:vAlign w:val="top"/>
          </w:tcPr>
          <w:p>
            <w:pPr>
              <w:spacing w:after="0" w:line="250"/>
            </w:pPr>
            <w:r>
              <w:rPr>
                <w:color w:val="1F2430"/>
                <w:sz w:val="19"/>
                <w:szCs w:val="19"/>
              </w:rPr>
              <w:t xml:space="preserve">Coach</w:t>
            </w:r>
          </w:p>
        </w:tc>
        <w:tc>
          <w:tcPr>
            <w:tcW w:type="dxa" w:w="1300"/>
            <w:shd w:fill="F7F8FB" w:val="clear"/>
            <w:tcMar>
              <w:top w:type="dxa" w:w="70"/>
              <w:left w:type="dxa" w:w="110"/>
              <w:bottom w:type="dxa" w:w="70"/>
              <w:right w:type="dxa" w:w="110"/>
            </w:tcMar>
            <w:vAlign w:val="top"/>
          </w:tcPr>
          <w:p>
            <w:pPr>
              <w:spacing w:after="0" w:line="250"/>
            </w:pPr>
            <w:r>
              <w:rPr>
                <w:color w:val="1F2430"/>
                <w:sz w:val="19"/>
                <w:szCs w:val="19"/>
              </w:rPr>
              <w:t xml:space="preserve">S4</w:t>
            </w:r>
          </w:p>
        </w:tc>
        <w:tc>
          <w:tcPr>
            <w:tcW w:type="dxa" w:w="6220"/>
            <w:shd w:fill="F7F8FB" w:val="clear"/>
            <w:tcMar>
              <w:top w:type="dxa" w:w="70"/>
              <w:left w:type="dxa" w:w="110"/>
              <w:bottom w:type="dxa" w:w="70"/>
              <w:right w:type="dxa" w:w="110"/>
            </w:tcMar>
            <w:vAlign w:val="top"/>
          </w:tcPr>
          <w:p>
            <w:pPr>
              <w:spacing w:after="0" w:line="250"/>
            </w:pPr>
            <w:r>
              <w:rPr>
                <w:color w:val="1F2430"/>
                <w:sz w:val="19"/>
                <w:szCs w:val="19"/>
              </w:rPr>
              <w:t xml:space="preserve">Three staged beats: their own sentence alone, then the failure signature named, then the map unfreezes.</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Retest</w:t>
            </w:r>
          </w:p>
        </w:tc>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S5</w:t>
            </w:r>
          </w:p>
        </w:tc>
        <w:tc>
          <w:tcPr>
            <w:tcW w:type="dxa" w:w="6220"/>
            <w:shd w:fill="FFFFFF" w:val="clear"/>
            <w:tcMar>
              <w:top w:type="dxa" w:w="70"/>
              <w:left w:type="dxa" w:w="110"/>
              <w:bottom w:type="dxa" w:w="70"/>
              <w:right w:type="dxa" w:w="110"/>
            </w:tcMar>
            <w:vAlign w:val="top"/>
          </w:tcPr>
          <w:p>
            <w:pPr>
              <w:spacing w:after="0" w:line="250"/>
            </w:pPr>
            <w:r>
              <w:rPr>
                <w:color w:val="1F2430"/>
                <w:sz w:val="19"/>
                <w:szCs w:val="19"/>
              </w:rPr>
              <w:t xml:space="preserve">A surface-distant retest. If it does not transfer, that is carried honestly rather than re-coached into a pass.</w:t>
            </w:r>
          </w:p>
        </w:tc>
      </w:tr>
      <w:tr>
        <w:tc>
          <w:tcPr>
            <w:tcW w:type="dxa" w:w="1500"/>
            <w:shd w:fill="F7F8FB" w:val="clear"/>
            <w:tcMar>
              <w:top w:type="dxa" w:w="70"/>
              <w:left w:type="dxa" w:w="110"/>
              <w:bottom w:type="dxa" w:w="70"/>
              <w:right w:type="dxa" w:w="110"/>
            </w:tcMar>
            <w:vAlign w:val="top"/>
          </w:tcPr>
          <w:p>
            <w:pPr>
              <w:spacing w:after="0" w:line="250"/>
            </w:pPr>
            <w:r>
              <w:rPr>
                <w:color w:val="1F2430"/>
                <w:sz w:val="19"/>
                <w:szCs w:val="19"/>
              </w:rPr>
              <w:t xml:space="preserve">Evidence</w:t>
            </w:r>
          </w:p>
        </w:tc>
        <w:tc>
          <w:tcPr>
            <w:tcW w:type="dxa" w:w="1300"/>
            <w:shd w:fill="F7F8FB" w:val="clear"/>
            <w:tcMar>
              <w:top w:type="dxa" w:w="70"/>
              <w:left w:type="dxa" w:w="110"/>
              <w:bottom w:type="dxa" w:w="70"/>
              <w:right w:type="dxa" w:w="110"/>
            </w:tcMar>
            <w:vAlign w:val="top"/>
          </w:tcPr>
          <w:p>
            <w:pPr>
              <w:spacing w:after="0" w:line="250"/>
            </w:pPr>
            <w:r>
              <w:rPr>
                <w:color w:val="1F2430"/>
                <w:sz w:val="19"/>
                <w:szCs w:val="19"/>
              </w:rPr>
              <w:t xml:space="preserve">S6–S7</w:t>
            </w:r>
          </w:p>
        </w:tc>
        <w:tc>
          <w:tcPr>
            <w:tcW w:type="dxa" w:w="6220"/>
            <w:shd w:fill="F7F8FB" w:val="clear"/>
            <w:tcMar>
              <w:top w:type="dxa" w:w="70"/>
              <w:left w:type="dxa" w:w="110"/>
              <w:bottom w:type="dxa" w:w="70"/>
              <w:right w:type="dxa" w:w="110"/>
            </w:tcMar>
            <w:vAlign w:val="top"/>
          </w:tcPr>
          <w:p>
            <w:pPr>
              <w:spacing w:after="0" w:line="250"/>
            </w:pPr>
            <w:r>
              <w:rPr>
                <w:color w:val="1F2430"/>
                <w:sz w:val="19"/>
                <w:szCs w:val="19"/>
              </w:rPr>
              <w:t xml:space="preserve">Verdict sentence first. Then the four-column evidence chain, every cell bound to the learner's own words. Then the explainability block.</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Certify</w:t>
            </w:r>
          </w:p>
        </w:tc>
        <w:tc>
          <w:tcPr>
            <w:tcW w:type="dxa" w:w="1300"/>
            <w:shd w:fill="FFFFFF" w:val="clear"/>
            <w:tcMar>
              <w:top w:type="dxa" w:w="70"/>
              <w:left w:type="dxa" w:w="110"/>
              <w:bottom w:type="dxa" w:w="70"/>
              <w:right w:type="dxa" w:w="110"/>
            </w:tcMar>
            <w:vAlign w:val="top"/>
          </w:tcPr>
          <w:p>
            <w:pPr>
              <w:spacing w:after="0" w:line="250"/>
            </w:pPr>
            <w:r>
              <w:rPr>
                <w:color w:val="1F2430"/>
                <w:sz w:val="19"/>
                <w:szCs w:val="19"/>
              </w:rPr>
              <w:t xml:space="preserve">P0–P1</w:t>
            </w:r>
          </w:p>
        </w:tc>
        <w:tc>
          <w:tcPr>
            <w:tcW w:type="dxa" w:w="6220"/>
            <w:shd w:fill="FFFFFF" w:val="clear"/>
            <w:tcMar>
              <w:top w:type="dxa" w:w="70"/>
              <w:left w:type="dxa" w:w="110"/>
              <w:bottom w:type="dxa" w:w="70"/>
              <w:right w:type="dxa" w:w="110"/>
            </w:tcMar>
            <w:vAlign w:val="top"/>
          </w:tcPr>
          <w:p>
            <w:pPr>
              <w:spacing w:after="0" w:line="250"/>
            </w:pPr>
            <w:r>
              <w:rPr>
                <w:color w:val="1F2430"/>
                <w:sz w:val="19"/>
                <w:szCs w:val="19"/>
              </w:rPr>
              <w:t xml:space="preserve">Optional identity verification. Binds the result to a person; never improves the result.</w:t>
            </w:r>
          </w:p>
        </w:tc>
      </w:tr>
    </w:tbl>
    <w:p>
      <w:pPr>
        <w:pStyle w:val="Heading2"/>
      </w:pPr>
      <w:r>
        <w:t xml:space="preserve">4.5  Runbook — adding a vertical</w:t>
      </w:r>
    </w:p>
    <w:p>
      <w:pPr>
        <w:spacing w:after="140" w:before="0" w:line="276"/>
      </w:pPr>
      <w:r>
        <w:rPr>
          <w:color w:val="1F2430"/>
          <w:sz w:val="21"/>
          <w:szCs w:val="21"/>
        </w:rPr>
        <w:t xml:space="preserve">The honest sequence. Steps 1 to 3 are the expensive ones and no software shortens them.</w:t>
      </w:r>
    </w:p>
    <w:p>
      <w:pPr>
        <w:pStyle w:val="ListParagraph"/>
        <w:numPr>
          <w:ilvl w:val="0"/>
          <w:numId w:val="2"/>
        </w:numPr>
        <w:spacing w:after="90" w:line="268"/>
      </w:pPr>
      <w:r>
        <w:rPr>
          <w:color w:val="1F2430"/>
          <w:sz w:val="21"/>
          <w:szCs w:val="21"/>
        </w:rPr>
        <w:t xml:space="preserve">Identify the anchor authority. The statute, the framework, the claims library. If there is no anchor, there is no vertical — stop here.</w:t>
      </w:r>
    </w:p>
    <w:p>
      <w:pPr>
        <w:pStyle w:val="ListParagraph"/>
        <w:numPr>
          <w:ilvl w:val="0"/>
          <w:numId w:val="2"/>
        </w:numPr>
        <w:spacing w:after="90" w:line="268"/>
      </w:pPr>
      <w:r>
        <w:rPr>
          <w:color w:val="1F2430"/>
          <w:sz w:val="21"/>
          <w:szCs w:val="21"/>
        </w:rPr>
        <w:t xml:space="preserve">Author the element set with the client's own experts. What does the determination turn on? Which elements are mandatory? Which are legitimately not capturable?</w:t>
      </w:r>
    </w:p>
    <w:p>
      <w:pPr>
        <w:pStyle w:val="ListParagraph"/>
        <w:numPr>
          <w:ilvl w:val="0"/>
          <w:numId w:val="2"/>
        </w:numPr>
        <w:spacing w:after="90" w:line="268"/>
      </w:pPr>
      <w:r>
        <w:rPr>
          <w:color w:val="1F2430"/>
          <w:sz w:val="21"/>
          <w:szCs w:val="21"/>
        </w:rPr>
        <w:t xml:space="preserve">Run legal review on the elements and their anchors, clause by clause. This is the months, not the dashboard.</w:t>
      </w:r>
    </w:p>
    <w:p>
      <w:pPr>
        <w:pStyle w:val="ListParagraph"/>
        <w:numPr>
          <w:ilvl w:val="0"/>
          <w:numId w:val="2"/>
        </w:numPr>
        <w:spacing w:after="90" w:line="268"/>
      </w:pPr>
      <w:r>
        <w:rPr>
          <w:color w:val="1F2430"/>
          <w:sz w:val="21"/>
          <w:szCs w:val="21"/>
        </w:rPr>
        <w:t xml:space="preserve">Declare the vertical pack: doctrine, modes, languages, markets, anchor authority, output object, surfaces (which assess, which are adversarial), and where the human authority sits. This is one data file.</w:t>
      </w:r>
    </w:p>
    <w:p>
      <w:pPr>
        <w:pStyle w:val="ListParagraph"/>
        <w:numPr>
          <w:ilvl w:val="0"/>
          <w:numId w:val="2"/>
        </w:numPr>
        <w:spacing w:after="90" w:line="268"/>
      </w:pPr>
      <w:r>
        <w:rPr>
          <w:color w:val="1F2430"/>
          <w:sz w:val="21"/>
          <w:szCs w:val="21"/>
        </w:rPr>
        <w:t xml:space="preserve">Author question objects against the elements, with leading-risk grades and preconditions. Every question is an approvable string.</w:t>
      </w:r>
    </w:p>
    <w:p>
      <w:pPr>
        <w:pStyle w:val="ListParagraph"/>
        <w:numPr>
          <w:ilvl w:val="0"/>
          <w:numId w:val="2"/>
        </w:numPr>
        <w:spacing w:after="90" w:line="268"/>
      </w:pPr>
      <w:r>
        <w:rPr>
          <w:color w:val="1F2430"/>
          <w:sz w:val="21"/>
          <w:szCs w:val="21"/>
        </w:rPr>
        <w:t xml:space="preserve">Translate, then get each variant natively reviewed to fidelity passed. A variant that is not passed is not deployable, and the gate will say so.</w:t>
      </w:r>
    </w:p>
    <w:p>
      <w:pPr>
        <w:pStyle w:val="ListParagraph"/>
        <w:numPr>
          <w:ilvl w:val="0"/>
          <w:numId w:val="2"/>
        </w:numPr>
        <w:spacing w:after="90" w:line="268"/>
      </w:pPr>
      <w:r>
        <w:rPr>
          <w:color w:val="1F2430"/>
          <w:sz w:val="21"/>
          <w:szCs w:val="21"/>
        </w:rPr>
        <w:t xml:space="preserve">Walk the objects through the chain to EFFECTIVE, with the right role at each step.</w:t>
      </w:r>
    </w:p>
    <w:p>
      <w:pPr>
        <w:pStyle w:val="ListParagraph"/>
        <w:numPr>
          <w:ilvl w:val="0"/>
          <w:numId w:val="2"/>
        </w:numPr>
        <w:spacing w:after="90" w:line="268"/>
      </w:pPr>
      <w:r>
        <w:rPr>
          <w:color w:val="1F2430"/>
          <w:sz w:val="21"/>
          <w:szCs w:val="21"/>
        </w:rPr>
        <w:t xml:space="preserve">Run the gate. Fix what it names. It will name something.</w:t>
      </w:r>
    </w:p>
    <w:p>
      <w:pPr>
        <w:pStyle w:val="ListParagraph"/>
        <w:numPr>
          <w:ilvl w:val="0"/>
          <w:numId w:val="2"/>
        </w:numPr>
        <w:spacing w:after="90" w:line="268"/>
      </w:pPr>
      <w:r>
        <w:rPr>
          <w:color w:val="1F2430"/>
          <w:sz w:val="21"/>
          <w:szCs w:val="21"/>
        </w:rPr>
        <w:t xml:space="preserve">Release. The runtime picks up the bundle id.</w:t>
      </w:r>
    </w:p>
    <w:p>
      <w:pPr>
        <w:spacing w:after="140" w:before="0" w:line="276"/>
      </w:pPr>
      <w:r>
        <w:rPr>
          <w:b/>
          <w:bCs/>
          <w:sz w:val="21"/>
          <w:szCs w:val="21"/>
        </w:rPr>
        <w:t xml:space="preserve">Engineering cost of step 4 onward: a data file and a library file. </w:t>
      </w:r>
      <w:r>
        <w:rPr>
          <w:sz w:val="21"/>
          <w:szCs w:val="21"/>
        </w:rPr>
        <w:t xml:space="preserve">No component changes, no engine changes. That is the entire platform claim, and it is testable — the three packs in the console differ only in data.</w:t>
      </w:r>
    </w:p>
    <w:p>
      <w:pPr>
        <w:pStyle w:val="Heading2"/>
      </w:pPr>
      <w:r>
        <w:t xml:space="preserve">4.6  Runbook — adding a language</w:t>
      </w:r>
    </w:p>
    <w:p>
      <w:pPr>
        <w:pStyle w:val="ListParagraph"/>
        <w:numPr>
          <w:ilvl w:val="0"/>
          <w:numId w:val="2"/>
        </w:numPr>
        <w:spacing w:after="90" w:line="268"/>
      </w:pPr>
      <w:r>
        <w:rPr>
          <w:color w:val="1F2430"/>
          <w:sz w:val="21"/>
          <w:szCs w:val="21"/>
        </w:rPr>
        <w:t xml:space="preserve">Add the language to the vertical pack's language list.</w:t>
      </w:r>
    </w:p>
    <w:p>
      <w:pPr>
        <w:pStyle w:val="ListParagraph"/>
        <w:numPr>
          <w:ilvl w:val="0"/>
          <w:numId w:val="2"/>
        </w:numPr>
        <w:spacing w:after="90" w:line="268"/>
      </w:pPr>
      <w:r>
        <w:rPr>
          <w:color w:val="1F2430"/>
          <w:sz w:val="21"/>
          <w:szCs w:val="21"/>
        </w:rPr>
        <w:t xml:space="preserve">Add the wording variant to every question object, at fidelity pending.</w:t>
      </w:r>
    </w:p>
    <w:p>
      <w:pPr>
        <w:pStyle w:val="ListParagraph"/>
        <w:numPr>
          <w:ilvl w:val="0"/>
          <w:numId w:val="2"/>
        </w:numPr>
        <w:spacing w:after="90" w:line="268"/>
      </w:pPr>
      <w:r>
        <w:rPr>
          <w:color w:val="1F2430"/>
          <w:sz w:val="21"/>
          <w:szCs w:val="21"/>
        </w:rPr>
        <w:t xml:space="preserve">Add the satisfaction cues in the new language. Skipping this is the silent killer: the interface looks perfectly translated and every element fails for every learner in that language.</w:t>
      </w:r>
    </w:p>
    <w:p>
      <w:pPr>
        <w:pStyle w:val="ListParagraph"/>
        <w:numPr>
          <w:ilvl w:val="0"/>
          <w:numId w:val="2"/>
        </w:numPr>
        <w:spacing w:after="90" w:line="268"/>
      </w:pPr>
      <w:r>
        <w:rPr>
          <w:color w:val="1F2430"/>
          <w:sz w:val="21"/>
          <w:szCs w:val="21"/>
        </w:rPr>
        <w:t xml:space="preserve">Add the resistance-detection patterns. This is behaviour, not translation.</w:t>
      </w:r>
    </w:p>
    <w:p>
      <w:pPr>
        <w:pStyle w:val="ListParagraph"/>
        <w:numPr>
          <w:ilvl w:val="0"/>
          <w:numId w:val="2"/>
        </w:numPr>
        <w:spacing w:after="90" w:line="268"/>
      </w:pPr>
      <w:r>
        <w:rPr>
          <w:color w:val="1F2430"/>
          <w:sz w:val="21"/>
          <w:szCs w:val="21"/>
        </w:rPr>
        <w:t xml:space="preserve">Add the boundary probes in the new language — the gate proves the refusal holds per language, not once.</w:t>
      </w:r>
    </w:p>
    <w:p>
      <w:pPr>
        <w:pStyle w:val="ListParagraph"/>
        <w:numPr>
          <w:ilvl w:val="0"/>
          <w:numId w:val="2"/>
        </w:numPr>
        <w:spacing w:after="90" w:line="268"/>
      </w:pPr>
      <w:r>
        <w:rPr>
          <w:color w:val="1F2430"/>
          <w:sz w:val="21"/>
          <w:szCs w:val="21"/>
        </w:rPr>
        <w:t xml:space="preserve">Native review. Set fidelity to passed only on sign-off.</w:t>
      </w:r>
    </w:p>
    <w:p>
      <w:pPr>
        <w:pStyle w:val="ListParagraph"/>
        <w:numPr>
          <w:ilvl w:val="0"/>
          <w:numId w:val="2"/>
        </w:numPr>
        <w:spacing w:after="90" w:line="268"/>
      </w:pPr>
      <w:r>
        <w:rPr>
          <w:color w:val="1F2430"/>
          <w:sz w:val="21"/>
          <w:szCs w:val="21"/>
        </w:rPr>
        <w:t xml:space="preserve">For right-to-left scripts: verify letter-spacing is neutralised and that a script-appropriate font sits after the Latin faces in the stack. Flipping direction alone produces text that is technically correct and visually broken.</w:t>
      </w:r>
    </w:p>
    <w:p>
      <w:pPr>
        <w:pStyle w:val="Heading2"/>
      </w:pPr>
      <w:r>
        <w:t xml:space="preserve">4.7  Runbook — emergency withdrawal</w:t>
      </w:r>
    </w:p>
    <w:p>
      <w:pPr>
        <w:spacing w:after="140" w:before="0" w:line="276"/>
      </w:pPr>
      <w:r>
        <w:rPr>
          <w:color w:val="1F2430"/>
          <w:sz w:val="21"/>
          <w:szCs w:val="21"/>
        </w:rPr>
        <w:t xml:space="preserve">A live object is found to be harmful or wrong.</w:t>
      </w:r>
    </w:p>
    <w:p>
      <w:pPr>
        <w:pStyle w:val="ListParagraph"/>
        <w:numPr>
          <w:ilvl w:val="0"/>
          <w:numId w:val="2"/>
        </w:numPr>
        <w:spacing w:after="90" w:line="268"/>
      </w:pPr>
      <w:r>
        <w:rPr>
          <w:color w:val="1F2430"/>
          <w:sz w:val="21"/>
          <w:szCs w:val="21"/>
        </w:rPr>
        <w:t xml:space="preserve">Open the object. Retire. It takes effect at the next session start; sessions in flight are not torn down mid-interview.</w:t>
      </w:r>
    </w:p>
    <w:p>
      <w:pPr>
        <w:pStyle w:val="ListParagraph"/>
        <w:numPr>
          <w:ilvl w:val="0"/>
          <w:numId w:val="2"/>
        </w:numPr>
        <w:spacing w:after="90" w:line="268"/>
      </w:pPr>
      <w:r>
        <w:rPr>
          <w:color w:val="1F2430"/>
          <w:sz w:val="21"/>
          <w:szCs w:val="21"/>
        </w:rPr>
        <w:t xml:space="preserve">Run the gate. If retiring it left dangling references, Version consistency fails and names them.</w:t>
      </w:r>
    </w:p>
    <w:p>
      <w:pPr>
        <w:pStyle w:val="ListParagraph"/>
        <w:numPr>
          <w:ilvl w:val="0"/>
          <w:numId w:val="2"/>
        </w:numPr>
        <w:spacing w:after="90" w:line="268"/>
      </w:pPr>
      <w:r>
        <w:rPr>
          <w:color w:val="1F2430"/>
          <w:sz w:val="21"/>
          <w:szCs w:val="21"/>
        </w:rPr>
        <w:t xml:space="preserve">Retire or supersede the dependents until the gate is clean.</w:t>
      </w:r>
    </w:p>
    <w:p>
      <w:pPr>
        <w:pStyle w:val="ListParagraph"/>
        <w:numPr>
          <w:ilvl w:val="0"/>
          <w:numId w:val="2"/>
        </w:numPr>
        <w:spacing w:after="90" w:line="268"/>
      </w:pPr>
      <w:r>
        <w:rPr>
          <w:color w:val="1F2430"/>
          <w:sz w:val="21"/>
          <w:szCs w:val="21"/>
        </w:rPr>
        <w:t xml:space="preserve">Release. Or, if the previous bundle was safe, roll back to it from the ledger — that is instant and needs no gate run, because it is a set that already passed.</w:t>
      </w:r>
    </w:p>
    <w:p>
      <w:pPr>
        <w:pStyle w:val="Heading2"/>
      </w:pPr>
      <w:r>
        <w:t xml:space="preserve">4.8  Roles and separation of duties</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900"/>
        <w:gridCol w:w="2400"/>
        <w:gridCol w:w="4720"/>
      </w:tblGrid>
      <w:tr>
        <w:trPr>
          <w:tblHeader/>
        </w:trPr>
        <w:tc>
          <w:tcPr>
            <w:tcW w:type="dxa" w:w="1900"/>
            <w:shd w:fill="EDEFF4" w:val="clear"/>
            <w:tcMar>
              <w:top w:type="dxa" w:w="70"/>
              <w:left w:type="dxa" w:w="110"/>
              <w:bottom w:type="dxa" w:w="70"/>
              <w:right w:type="dxa" w:w="110"/>
            </w:tcMar>
            <w:vAlign w:val="top"/>
          </w:tcPr>
          <w:p>
            <w:pPr>
              <w:spacing w:after="0" w:line="250"/>
            </w:pPr>
            <w:r>
              <w:rPr>
                <w:b/>
                <w:bCs/>
                <w:color w:val="16233A"/>
                <w:sz w:val="18"/>
                <w:szCs w:val="18"/>
              </w:rPr>
              <w:t xml:space="preserve">Role</w:t>
            </w:r>
          </w:p>
        </w:tc>
        <w:tc>
          <w:tcPr>
            <w:tcW w:type="dxa" w:w="2400"/>
            <w:shd w:fill="EDEFF4" w:val="clear"/>
            <w:tcMar>
              <w:top w:type="dxa" w:w="70"/>
              <w:left w:type="dxa" w:w="110"/>
              <w:bottom w:type="dxa" w:w="70"/>
              <w:right w:type="dxa" w:w="110"/>
            </w:tcMar>
            <w:vAlign w:val="top"/>
          </w:tcPr>
          <w:p>
            <w:pPr>
              <w:spacing w:after="0" w:line="250"/>
            </w:pPr>
            <w:r>
              <w:rPr>
                <w:b/>
                <w:bCs/>
                <w:color w:val="16233A"/>
                <w:sz w:val="18"/>
                <w:szCs w:val="18"/>
              </w:rPr>
              <w:t xml:space="preserve">Typically</w:t>
            </w:r>
          </w:p>
        </w:tc>
        <w:tc>
          <w:tcPr>
            <w:tcW w:type="dxa" w:w="4720"/>
            <w:shd w:fill="EDEFF4" w:val="clear"/>
            <w:tcMar>
              <w:top w:type="dxa" w:w="70"/>
              <w:left w:type="dxa" w:w="110"/>
              <w:bottom w:type="dxa" w:w="70"/>
              <w:right w:type="dxa" w:w="110"/>
            </w:tcMar>
            <w:vAlign w:val="top"/>
          </w:tcPr>
          <w:p>
            <w:pPr>
              <w:spacing w:after="0" w:line="250"/>
            </w:pPr>
            <w:r>
              <w:rPr>
                <w:b/>
                <w:bCs/>
                <w:color w:val="16233A"/>
                <w:sz w:val="18"/>
                <w:szCs w:val="18"/>
              </w:rPr>
              <w:t xml:space="preserve">Owns</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Domain reviewer</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Client subject-matter expert</w:t>
            </w:r>
          </w:p>
        </w:tc>
        <w:tc>
          <w:tcPr>
            <w:tcW w:type="dxa" w:w="4720"/>
            <w:shd w:fill="FFFFFF" w:val="clear"/>
            <w:tcMar>
              <w:top w:type="dxa" w:w="70"/>
              <w:left w:type="dxa" w:w="110"/>
              <w:bottom w:type="dxa" w:w="70"/>
              <w:right w:type="dxa" w:w="110"/>
            </w:tcMar>
            <w:vAlign w:val="top"/>
          </w:tcPr>
          <w:p>
            <w:pPr>
              <w:spacing w:after="0" w:line="250"/>
            </w:pPr>
            <w:r>
              <w:rPr>
                <w:color w:val="1F2430"/>
                <w:sz w:val="19"/>
                <w:szCs w:val="19"/>
              </w:rPr>
              <w:t xml:space="preserve">Element set, element wording, what the determination turns on.</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Legal reviewer</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Client counsel, or AGC for Pioneer</w:t>
            </w:r>
          </w:p>
        </w:tc>
        <w:tc>
          <w:tcPr>
            <w:tcW w:type="dxa" w:w="4720"/>
            <w:shd w:fill="F7F8FB" w:val="clear"/>
            <w:tcMar>
              <w:top w:type="dxa" w:w="70"/>
              <w:left w:type="dxa" w:w="110"/>
              <w:bottom w:type="dxa" w:w="70"/>
              <w:right w:type="dxa" w:w="110"/>
            </w:tcMar>
            <w:vAlign w:val="top"/>
          </w:tcPr>
          <w:p>
            <w:pPr>
              <w:spacing w:after="0" w:line="250"/>
            </w:pPr>
            <w:r>
              <w:rPr>
                <w:color w:val="1F2430"/>
                <w:sz w:val="19"/>
                <w:szCs w:val="19"/>
              </w:rPr>
              <w:t xml:space="preserve">Authority anchors, leading-risk rationales, boundary objects.</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Safety reviewer</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Client or BYOND</w:t>
            </w:r>
          </w:p>
        </w:tc>
        <w:tc>
          <w:tcPr>
            <w:tcW w:type="dxa" w:w="4720"/>
            <w:shd w:fill="FFFFFF" w:val="clear"/>
            <w:tcMar>
              <w:top w:type="dxa" w:w="70"/>
              <w:left w:type="dxa" w:w="110"/>
              <w:bottom w:type="dxa" w:w="70"/>
              <w:right w:type="dxa" w:w="110"/>
            </w:tcMar>
            <w:vAlign w:val="top"/>
          </w:tcPr>
          <w:p>
            <w:pPr>
              <w:spacing w:after="0" w:line="250"/>
            </w:pPr>
            <w:r>
              <w:rPr>
                <w:color w:val="1F2430"/>
                <w:sz w:val="19"/>
                <w:szCs w:val="19"/>
              </w:rPr>
              <w:t xml:space="preserve">Escalation ladders, ceilings, distress exits, forbidden phrasings.</w:t>
            </w:r>
          </w:p>
        </w:tc>
      </w:tr>
      <w:tr>
        <w:tc>
          <w:tcPr>
            <w:tcW w:type="dxa" w:w="1900"/>
            <w:shd w:fill="F7F8FB" w:val="clear"/>
            <w:tcMar>
              <w:top w:type="dxa" w:w="70"/>
              <w:left w:type="dxa" w:w="110"/>
              <w:bottom w:type="dxa" w:w="70"/>
              <w:right w:type="dxa" w:w="110"/>
            </w:tcMar>
            <w:vAlign w:val="top"/>
          </w:tcPr>
          <w:p>
            <w:pPr>
              <w:spacing w:after="0" w:line="250"/>
            </w:pPr>
            <w:r>
              <w:rPr>
                <w:color w:val="1F2430"/>
                <w:sz w:val="19"/>
                <w:szCs w:val="19"/>
              </w:rPr>
              <w:t xml:space="preserve">Regulatory approver</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Client compliance</w:t>
            </w:r>
          </w:p>
        </w:tc>
        <w:tc>
          <w:tcPr>
            <w:tcW w:type="dxa" w:w="4720"/>
            <w:shd w:fill="F7F8FB" w:val="clear"/>
            <w:tcMar>
              <w:top w:type="dxa" w:w="70"/>
              <w:left w:type="dxa" w:w="110"/>
              <w:bottom w:type="dxa" w:w="70"/>
              <w:right w:type="dxa" w:w="110"/>
            </w:tcMar>
            <w:vAlign w:val="top"/>
          </w:tcPr>
          <w:p>
            <w:pPr>
              <w:spacing w:after="0" w:line="250"/>
            </w:pPr>
            <w:r>
              <w:rPr>
                <w:color w:val="1F2430"/>
                <w:sz w:val="19"/>
                <w:szCs w:val="19"/>
              </w:rPr>
              <w:t xml:space="preserve">The release signature. The name on the ledger.</w:t>
            </w:r>
          </w:p>
        </w:tc>
      </w:tr>
      <w:tr>
        <w:tc>
          <w:tcPr>
            <w:tcW w:type="dxa" w:w="1900"/>
            <w:shd w:fill="FFFFFF" w:val="clear"/>
            <w:tcMar>
              <w:top w:type="dxa" w:w="70"/>
              <w:left w:type="dxa" w:w="110"/>
              <w:bottom w:type="dxa" w:w="70"/>
              <w:right w:type="dxa" w:w="110"/>
            </w:tcMar>
            <w:vAlign w:val="top"/>
          </w:tcPr>
          <w:p>
            <w:pPr>
              <w:spacing w:after="0" w:line="250"/>
            </w:pPr>
            <w:r>
              <w:rPr>
                <w:color w:val="1F2430"/>
                <w:sz w:val="19"/>
                <w:szCs w:val="19"/>
              </w:rPr>
              <w:t xml:space="preserve">Platform admin (BYOND)</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Internal</w:t>
            </w:r>
          </w:p>
        </w:tc>
        <w:tc>
          <w:tcPr>
            <w:tcW w:type="dxa" w:w="4720"/>
            <w:shd w:fill="FFFFFF" w:val="clear"/>
            <w:tcMar>
              <w:top w:type="dxa" w:w="70"/>
              <w:left w:type="dxa" w:w="110"/>
              <w:bottom w:type="dxa" w:w="70"/>
              <w:right w:type="dxa" w:w="110"/>
            </w:tcMar>
            <w:vAlign w:val="top"/>
          </w:tcPr>
          <w:p>
            <w:pPr>
              <w:spacing w:after="0" w:line="250"/>
            </w:pPr>
            <w:r>
              <w:rPr>
                <w:color w:val="1F2430"/>
                <w:sz w:val="19"/>
                <w:szCs w:val="19"/>
              </w:rPr>
              <w:t xml:space="preserve">Vertical packs, schema, gate. Not content — and this boundary is the one to hold, because the moment BYOND authors client content BYOND owns the liability.</w:t>
            </w:r>
          </w:p>
        </w:tc>
      </w:tr>
    </w:tbl>
    <w:p>
      <w:pPr>
        <w:pStyle w:val="Heading2"/>
      </w:pPr>
      <w:r>
        <w:t xml:space="preserve">4.9  Developer commands</w:t>
      </w:r>
    </w:p>
    <w:p>
      <w:pPr>
        <w:shd w:fill="F4F5F8" w:val="clear"/>
        <w:spacing w:after="60" w:before="60" w:line="240"/>
        <w:ind w:left="170"/>
      </w:pPr>
      <w:r>
        <w:rPr>
          <w:rFonts w:ascii="Consolas" w:cs="Consolas" w:eastAsia="Consolas" w:hAnsi="Consolas"/>
          <w:color w:val="27324A"/>
          <w:sz w:val="18"/>
          <w:szCs w:val="18"/>
        </w:rPr>
        <w:t xml:space="preserve">npm run dev         Next.js dev server — /auren and /console</w:t>
      </w:r>
    </w:p>
    <w:p>
      <w:pPr>
        <w:shd w:fill="F4F5F8" w:val="clear"/>
        <w:spacing w:after="60" w:before="60" w:line="240"/>
        <w:ind w:left="170"/>
      </w:pPr>
      <w:r>
        <w:rPr>
          <w:rFonts w:ascii="Consolas" w:cs="Consolas" w:eastAsia="Consolas" w:hAnsi="Consolas"/>
          <w:color w:val="27324A"/>
          <w:sz w:val="18"/>
          <w:szCs w:val="18"/>
        </w:rPr>
        <w:t xml:space="preserve">npm run build       Production build</w:t>
      </w:r>
    </w:p>
    <w:p>
      <w:pPr>
        <w:shd w:fill="F4F5F8" w:val="clear"/>
        <w:spacing w:after="60" w:before="60" w:line="240"/>
        <w:ind w:left="170"/>
      </w:pPr>
      <w:r>
        <w:rPr>
          <w:rFonts w:ascii="Consolas" w:cs="Consolas" w:eastAsia="Consolas" w:hAnsi="Consolas"/>
          <w:color w:val="27324A"/>
          <w:sz w:val="18"/>
          <w:szCs w:val="18"/>
        </w:rPr>
        <w:t xml:space="preserve">npm run typecheck   tsc --noEmit</w:t>
      </w:r>
    </w:p>
    <w:p>
      <w:pPr>
        <w:shd w:fill="F4F5F8" w:val="clear"/>
        <w:spacing w:after="60" w:before="60" w:line="240"/>
        <w:ind w:left="170"/>
      </w:pPr>
      <w:r>
        <w:rPr>
          <w:rFonts w:ascii="Consolas" w:cs="Consolas" w:eastAsia="Consolas" w:hAnsi="Consolas"/>
          <w:color w:val="27324A"/>
          <w:sz w:val="18"/>
          <w:szCs w:val="18"/>
        </w:rPr>
        <w:t xml:space="preserve">npm run locale      Compile the AUREN objects + i18n into the learner prototype</w:t>
      </w:r>
    </w:p>
    <w:p>
      <w:pPr>
        <w:shd w:fill="F4F5F8" w:val="clear"/>
        <w:spacing w:after="60" w:before="60" w:line="240"/>
        <w:ind w:left="170"/>
      </w:pPr>
      <w:r>
        <w:rPr>
          <w:rFonts w:ascii="Consolas" w:cs="Consolas" w:eastAsia="Consolas" w:hAnsi="Consolas"/>
          <w:color w:val="27324A"/>
          <w:sz w:val="18"/>
          <w:szCs w:val="18"/>
        </w:rPr>
        <w:t xml:space="preserve">npm run console     Compile schema, verticals, library, gate, release into</w:t>
      </w:r>
    </w:p>
    <w:p>
      <w:pPr>
        <w:shd w:fill="F4F5F8" w:val="clear"/>
        <w:spacing w:after="60" w:before="60" w:line="240"/>
        <w:ind w:left="170"/>
      </w:pPr>
      <w:r>
        <w:rPr>
          <w:rFonts w:ascii="Consolas" w:cs="Consolas" w:eastAsia="Consolas" w:hAnsi="Consolas"/>
          <w:color w:val="27324A"/>
          <w:sz w:val="18"/>
          <w:szCs w:val="18"/>
        </w:rPr>
        <w:t xml:space="preserve">                    the console prototype</w:t>
      </w:r>
    </w:p>
    <w:p>
      <w:pPr>
        <w:spacing w:after="80"/>
      </w:pPr>
    </w:p>
    <w:p>
      <w:pPr>
        <w:pBdr>
          <w:left w:val="single" w:color="6B5BB5" w:sz="18" w:space="8"/>
        </w:pBdr>
        <w:shd w:fill="F2EFFA" w:val="clear"/>
        <w:spacing w:after="180" w:before="160" w:line="276"/>
        <w:ind w:left="170" w:right="170"/>
      </w:pPr>
      <w:r>
        <w:rPr>
          <w:b/>
          <w:bCs/>
          <w:color w:val="6B5BB5"/>
          <w:sz w:val="16"/>
          <w:szCs w:val="16"/>
        </w:rPr>
        <w:t xml:space="preserve">RULE  </w:t>
      </w:r>
      <w:r>
        <w:rPr>
          <w:i w:val="false"/>
          <w:iCs w:val="false"/>
          <w:color w:val="2A2140"/>
          <w:sz w:val="21"/>
          <w:szCs w:val="21"/>
        </w:rPr>
        <w:t xml:space="preserve">Never hand-edit the generated blocks in either prototype. They sit between explicit markers and the next generator run overwrites them. A demo that has drifted from the product is worse than no demo.</w:t>
      </w:r>
    </w:p>
    <w:p>
      <w:pPr>
        <w:spacing w:after="140" w:before="0" w:line="276"/>
      </w:pPr>
      <w:r>
        <w:rPr>
          <w:color w:val="1F2430"/>
          <w:sz w:val="21"/>
          <w:szCs w:val="21"/>
        </w:rPr>
        <w:t xml:space="preserve">The generators exist so that the thing you show a client and the thing you ship cannot disagree. Both console builds produce the identical content-addressed bundle id from the identical library, which is the cheapest possible drift check and it runs every time either is opened.</w:t>
      </w:r>
    </w:p>
    <w:p>
      <w:pPr>
        <w:pStyle w:val="Heading1"/>
        <w:pageBreakBefore/>
      </w:pPr>
      <w:r>
        <w:t xml:space="preserve">Part V — Architecture and backend shape</w:t>
      </w:r>
    </w:p>
    <w:p>
      <w:pPr>
        <w:pStyle w:val="Heading2"/>
      </w:pPr>
      <w:r>
        <w:t xml:space="preserve">5.1  Split the planes</w:t>
      </w:r>
    </w:p>
    <w:p>
      <w:pPr>
        <w:spacing w:after="140" w:before="0" w:line="276"/>
      </w:pPr>
      <w:r>
        <w:rPr>
          <w:color w:val="1F2430"/>
          <w:sz w:val="21"/>
          <w:szCs w:val="21"/>
        </w:rPr>
        <w:t xml:space="preserve">This is the decision that lets one platform serve a police force and a beauty brand without either of them walking away from the room.</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4510"/>
        <w:gridCol w:w="4510"/>
      </w:tblGrid>
      <w:tr>
        <w:trPr>
          <w:tblHeader/>
        </w:trPr>
        <w:tc>
          <w:tcPr>
            <w:tcW w:type="dxa" w:w="4510"/>
            <w:shd w:fill="EDEFF4" w:val="clear"/>
            <w:tcMar>
              <w:top w:type="dxa" w:w="70"/>
              <w:left w:type="dxa" w:w="110"/>
              <w:bottom w:type="dxa" w:w="70"/>
              <w:right w:type="dxa" w:w="110"/>
            </w:tcMar>
            <w:vAlign w:val="top"/>
          </w:tcPr>
          <w:p>
            <w:pPr>
              <w:spacing w:after="0" w:line="250"/>
            </w:pPr>
            <w:r>
              <w:rPr>
                <w:b/>
                <w:bCs/>
                <w:color w:val="16233A"/>
                <w:sz w:val="18"/>
                <w:szCs w:val="18"/>
              </w:rPr>
              <w:t xml:space="preserve">Knowledge plane</w:t>
            </w:r>
          </w:p>
        </w:tc>
        <w:tc>
          <w:tcPr>
            <w:tcW w:type="dxa" w:w="4510"/>
            <w:shd w:fill="EDEFF4" w:val="clear"/>
            <w:tcMar>
              <w:top w:type="dxa" w:w="70"/>
              <w:left w:type="dxa" w:w="110"/>
              <w:bottom w:type="dxa" w:w="70"/>
              <w:right w:type="dxa" w:w="110"/>
            </w:tcMar>
            <w:vAlign w:val="top"/>
          </w:tcPr>
          <w:p>
            <w:pPr>
              <w:spacing w:after="0" w:line="250"/>
            </w:pPr>
            <w:r>
              <w:rPr>
                <w:b/>
                <w:bCs/>
                <w:color w:val="16233A"/>
                <w:sz w:val="18"/>
                <w:szCs w:val="18"/>
              </w:rPr>
              <w:t xml:space="preserve">Data plane</w:t>
            </w:r>
          </w:p>
        </w:tc>
      </w:tr>
      <w:tr>
        <w:tc>
          <w:tcPr>
            <w:tcW w:type="dxa" w:w="4510"/>
            <w:shd w:fill="FFFFFF" w:val="clear"/>
            <w:tcMar>
              <w:top w:type="dxa" w:w="70"/>
              <w:left w:type="dxa" w:w="110"/>
              <w:bottom w:type="dxa" w:w="70"/>
              <w:right w:type="dxa" w:w="110"/>
            </w:tcMar>
            <w:vAlign w:val="top"/>
          </w:tcPr>
          <w:p>
            <w:pPr>
              <w:spacing w:after="0" w:line="250"/>
            </w:pPr>
            <w:r>
              <w:rPr>
                <w:color w:val="1F2430"/>
                <w:sz w:val="19"/>
                <w:szCs w:val="19"/>
              </w:rPr>
              <w:t xml:space="preserve">Object registry, release bundles, gate runner, release ledger</w:t>
            </w:r>
          </w:p>
        </w:tc>
        <w:tc>
          <w:tcPr>
            <w:tcW w:type="dxa" w:w="4510"/>
            <w:shd w:fill="FFFFFF" w:val="clear"/>
            <w:tcMar>
              <w:top w:type="dxa" w:w="70"/>
              <w:left w:type="dxa" w:w="110"/>
              <w:bottom w:type="dxa" w:w="70"/>
              <w:right w:type="dxa" w:w="110"/>
            </w:tcMar>
            <w:vAlign w:val="top"/>
          </w:tcPr>
          <w:p>
            <w:pPr>
              <w:spacing w:after="0" w:line="250"/>
            </w:pPr>
            <w:r>
              <w:rPr>
                <w:color w:val="1F2430"/>
                <w:sz w:val="19"/>
                <w:szCs w:val="19"/>
              </w:rPr>
              <w:t xml:space="preserve">Session runtime, record store, evidence binder, analytics</w:t>
            </w:r>
          </w:p>
        </w:tc>
      </w:tr>
      <w:tr>
        <w:tc>
          <w:tcPr>
            <w:tcW w:type="dxa" w:w="4510"/>
            <w:shd w:fill="F7F8FB" w:val="clear"/>
            <w:tcMar>
              <w:top w:type="dxa" w:w="70"/>
              <w:left w:type="dxa" w:w="110"/>
              <w:bottom w:type="dxa" w:w="70"/>
              <w:right w:type="dxa" w:w="110"/>
            </w:tcMar>
            <w:vAlign w:val="top"/>
          </w:tcPr>
          <w:p>
            <w:pPr>
              <w:spacing w:after="0" w:line="250"/>
            </w:pPr>
            <w:r>
              <w:rPr>
                <w:b/>
                <w:bCs/>
                <w:color w:val="1F2430"/>
                <w:sz w:val="19"/>
                <w:szCs w:val="19"/>
              </w:rPr>
              <w:t xml:space="preserve">Versioned, exportable, no personal data at all</w:t>
            </w:r>
          </w:p>
        </w:tc>
        <w:tc>
          <w:tcPr>
            <w:tcW w:type="dxa" w:w="4510"/>
            <w:shd w:fill="F7F8FB" w:val="clear"/>
            <w:tcMar>
              <w:top w:type="dxa" w:w="70"/>
              <w:left w:type="dxa" w:w="110"/>
              <w:bottom w:type="dxa" w:w="70"/>
              <w:right w:type="dxa" w:w="110"/>
            </w:tcMar>
            <w:vAlign w:val="top"/>
          </w:tcPr>
          <w:p>
            <w:pPr>
              <w:spacing w:after="0" w:line="250"/>
            </w:pPr>
            <w:r>
              <w:rPr>
                <w:b/>
                <w:bCs/>
                <w:color w:val="1F2430"/>
                <w:sz w:val="19"/>
                <w:szCs w:val="19"/>
              </w:rPr>
              <w:t xml:space="preserve">Tenant-isolated, jurisdiction-resident, never linked across tenants</w:t>
            </w:r>
          </w:p>
        </w:tc>
      </w:tr>
      <w:tr>
        <w:tc>
          <w:tcPr>
            <w:tcW w:type="dxa" w:w="4510"/>
            <w:shd w:fill="FFFFFF" w:val="clear"/>
            <w:tcMar>
              <w:top w:type="dxa" w:w="70"/>
              <w:left w:type="dxa" w:w="110"/>
              <w:bottom w:type="dxa" w:w="70"/>
              <w:right w:type="dxa" w:w="110"/>
            </w:tcMar>
            <w:vAlign w:val="top"/>
          </w:tcPr>
          <w:p>
            <w:pPr>
              <w:spacing w:after="0" w:line="250"/>
            </w:pPr>
            <w:r>
              <w:rPr>
                <w:color w:val="1F2430"/>
                <w:sz w:val="19"/>
                <w:szCs w:val="19"/>
              </w:rPr>
              <w:t xml:space="preserve">Centrally built; ships to a sovereign environment as a signed bundle</w:t>
            </w:r>
          </w:p>
        </w:tc>
        <w:tc>
          <w:tcPr>
            <w:tcW w:type="dxa" w:w="4510"/>
            <w:shd w:fill="FFFFFF" w:val="clear"/>
            <w:tcMar>
              <w:top w:type="dxa" w:w="70"/>
              <w:left w:type="dxa" w:w="110"/>
              <w:bottom w:type="dxa" w:w="70"/>
              <w:right w:type="dxa" w:w="110"/>
            </w:tcMar>
            <w:vAlign w:val="top"/>
          </w:tcPr>
          <w:p>
            <w:pPr>
              <w:spacing w:after="0" w:line="250"/>
            </w:pPr>
            <w:r>
              <w:rPr>
                <w:color w:val="1F2430"/>
                <w:sz w:val="19"/>
                <w:szCs w:val="19"/>
              </w:rPr>
              <w:t xml:space="preserve">Deployed per tenant and per jurisdiction</w:t>
            </w:r>
          </w:p>
        </w:tc>
      </w:tr>
      <w:tr>
        <w:tc>
          <w:tcPr>
            <w:tcW w:type="dxa" w:w="4510"/>
            <w:shd w:fill="F7F8FB" w:val="clear"/>
            <w:tcMar>
              <w:top w:type="dxa" w:w="70"/>
              <w:left w:type="dxa" w:w="110"/>
              <w:bottom w:type="dxa" w:w="70"/>
              <w:right w:type="dxa" w:w="110"/>
            </w:tcMar>
            <w:vAlign w:val="top"/>
          </w:tcPr>
          <w:p>
            <w:pPr>
              <w:spacing w:after="0" w:line="250"/>
            </w:pPr>
            <w:r>
              <w:rPr>
                <w:color w:val="1F2430"/>
                <w:sz w:val="19"/>
                <w:szCs w:val="19"/>
              </w:rPr>
              <w:t xml:space="preserve">Reviewed by the client's counsel</w:t>
            </w:r>
          </w:p>
        </w:tc>
        <w:tc>
          <w:tcPr>
            <w:tcW w:type="dxa" w:w="4510"/>
            <w:shd w:fill="F7F8FB" w:val="clear"/>
            <w:tcMar>
              <w:top w:type="dxa" w:w="70"/>
              <w:left w:type="dxa" w:w="110"/>
              <w:bottom w:type="dxa" w:w="70"/>
              <w:right w:type="dxa" w:w="110"/>
            </w:tcMar>
            <w:vAlign w:val="top"/>
          </w:tcPr>
          <w:p>
            <w:pPr>
              <w:spacing w:after="0" w:line="250"/>
            </w:pPr>
            <w:r>
              <w:rPr>
                <w:color w:val="1F2430"/>
                <w:sz w:val="19"/>
                <w:szCs w:val="19"/>
              </w:rPr>
              <w:t xml:space="preserve">Governed by the client's data-protection regime</w:t>
            </w:r>
          </w:p>
        </w:tc>
      </w:tr>
    </w:tbl>
    <w:p>
      <w:pPr>
        <w:spacing w:after="140" w:before="0" w:line="276"/>
      </w:pPr>
      <w:r>
        <w:rPr>
          <w:color w:val="1F2430"/>
          <w:sz w:val="21"/>
          <w:szCs w:val="21"/>
        </w:rPr>
        <w:t xml:space="preserve">What people fear in “one dashboard for police and beauty” is a shared data estate. What is actually shared is a bundle of versioned text objects — the same class of artefact as a standard form or an SOP. That is Pioneer's own point, and it is the sentence to use in the room: approving governed content is a familiar institutional act.</w:t>
      </w:r>
    </w:p>
    <w:p>
      <w:pPr>
        <w:pStyle w:val="Heading2"/>
      </w:pPr>
      <w:r>
        <w:t xml:space="preserve">5.2  Deployment topology</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500"/>
        <w:gridCol w:w="2500"/>
        <w:gridCol w:w="2200"/>
        <w:gridCol w:w="2820"/>
      </w:tblGrid>
      <w:tr>
        <w:trPr>
          <w:tblHeader/>
        </w:trPr>
        <w:tc>
          <w:tcPr>
            <w:tcW w:type="dxa" w:w="1500"/>
            <w:shd w:fill="EDEFF4" w:val="clear"/>
            <w:tcMar>
              <w:top w:type="dxa" w:w="70"/>
              <w:left w:type="dxa" w:w="110"/>
              <w:bottom w:type="dxa" w:w="70"/>
              <w:right w:type="dxa" w:w="110"/>
            </w:tcMar>
            <w:vAlign w:val="top"/>
          </w:tcPr>
          <w:p>
            <w:pPr>
              <w:spacing w:after="0" w:line="250"/>
            </w:pPr>
            <w:r>
              <w:rPr>
                <w:b/>
                <w:bCs/>
                <w:color w:val="16233A"/>
                <w:sz w:val="18"/>
                <w:szCs w:val="18"/>
              </w:rPr>
              <w:t xml:space="preserve">Vertical</w:t>
            </w:r>
          </w:p>
        </w:tc>
        <w:tc>
          <w:tcPr>
            <w:tcW w:type="dxa" w:w="2500"/>
            <w:shd w:fill="EDEFF4" w:val="clear"/>
            <w:tcMar>
              <w:top w:type="dxa" w:w="70"/>
              <w:left w:type="dxa" w:w="110"/>
              <w:bottom w:type="dxa" w:w="70"/>
              <w:right w:type="dxa" w:w="110"/>
            </w:tcMar>
            <w:vAlign w:val="top"/>
          </w:tcPr>
          <w:p>
            <w:pPr>
              <w:spacing w:after="0" w:line="250"/>
            </w:pPr>
            <w:r>
              <w:rPr>
                <w:b/>
                <w:bCs/>
                <w:color w:val="16233A"/>
                <w:sz w:val="18"/>
                <w:szCs w:val="18"/>
              </w:rPr>
              <w:t xml:space="preserve">Knowledge plane</w:t>
            </w:r>
          </w:p>
        </w:tc>
        <w:tc>
          <w:tcPr>
            <w:tcW w:type="dxa" w:w="2200"/>
            <w:shd w:fill="EDEFF4" w:val="clear"/>
            <w:tcMar>
              <w:top w:type="dxa" w:w="70"/>
              <w:left w:type="dxa" w:w="110"/>
              <w:bottom w:type="dxa" w:w="70"/>
              <w:right w:type="dxa" w:w="110"/>
            </w:tcMar>
            <w:vAlign w:val="top"/>
          </w:tcPr>
          <w:p>
            <w:pPr>
              <w:spacing w:after="0" w:line="250"/>
            </w:pPr>
            <w:r>
              <w:rPr>
                <w:b/>
                <w:bCs/>
                <w:color w:val="16233A"/>
                <w:sz w:val="18"/>
                <w:szCs w:val="18"/>
              </w:rPr>
              <w:t xml:space="preserve">Data plane</w:t>
            </w:r>
          </w:p>
        </w:tc>
        <w:tc>
          <w:tcPr>
            <w:tcW w:type="dxa" w:w="2820"/>
            <w:shd w:fill="EDEFF4" w:val="clear"/>
            <w:tcMar>
              <w:top w:type="dxa" w:w="70"/>
              <w:left w:type="dxa" w:w="110"/>
              <w:bottom w:type="dxa" w:w="70"/>
              <w:right w:type="dxa" w:w="110"/>
            </w:tcMar>
            <w:vAlign w:val="top"/>
          </w:tcPr>
          <w:p>
            <w:pPr>
              <w:spacing w:after="0" w:line="250"/>
            </w:pPr>
            <w:r>
              <w:rPr>
                <w:b/>
                <w:bCs/>
                <w:color w:val="16233A"/>
                <w:sz w:val="18"/>
                <w:szCs w:val="18"/>
              </w:rPr>
              <w:t xml:space="preserve">Position to take</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AUREN</w:t>
            </w:r>
          </w:p>
        </w:tc>
        <w:tc>
          <w:tcPr>
            <w:tcW w:type="dxa" w:w="2500"/>
            <w:shd w:fill="FFFFFF" w:val="clear"/>
            <w:tcMar>
              <w:top w:type="dxa" w:w="70"/>
              <w:left w:type="dxa" w:w="110"/>
              <w:bottom w:type="dxa" w:w="70"/>
              <w:right w:type="dxa" w:w="110"/>
            </w:tcMar>
            <w:vAlign w:val="top"/>
          </w:tcPr>
          <w:p>
            <w:pPr>
              <w:spacing w:after="0" w:line="250"/>
            </w:pPr>
            <w:r>
              <w:rPr>
                <w:color w:val="1F2430"/>
                <w:sz w:val="19"/>
                <w:szCs w:val="19"/>
              </w:rPr>
              <w:t xml:space="preserve">Central</w:t>
            </w:r>
          </w:p>
        </w:tc>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Regional, per client</w:t>
            </w:r>
          </w:p>
        </w:tc>
        <w:tc>
          <w:tcPr>
            <w:tcW w:type="dxa" w:w="2820"/>
            <w:shd w:fill="FFFFFF" w:val="clear"/>
            <w:tcMar>
              <w:top w:type="dxa" w:w="70"/>
              <w:left w:type="dxa" w:w="110"/>
              <w:bottom w:type="dxa" w:w="70"/>
              <w:right w:type="dxa" w:w="110"/>
            </w:tcMar>
            <w:vAlign w:val="top"/>
          </w:tcPr>
          <w:p>
            <w:pPr>
              <w:spacing w:after="0" w:line="250"/>
            </w:pPr>
            <w:r>
              <w:rPr>
                <w:color w:val="1F2430"/>
                <w:sz w:val="19"/>
                <w:szCs w:val="19"/>
              </w:rPr>
              <w:t xml:space="preserve">Standard SaaS. The record is the learner's.</w:t>
            </w:r>
          </w:p>
        </w:tc>
      </w:tr>
      <w:tr>
        <w:tc>
          <w:tcPr>
            <w:tcW w:type="dxa" w:w="1500"/>
            <w:shd w:fill="F7F8FB" w:val="clear"/>
            <w:tcMar>
              <w:top w:type="dxa" w:w="70"/>
              <w:left w:type="dxa" w:w="110"/>
              <w:bottom w:type="dxa" w:w="70"/>
              <w:right w:type="dxa" w:w="110"/>
            </w:tcMar>
            <w:vAlign w:val="top"/>
          </w:tcPr>
          <w:p>
            <w:pPr>
              <w:spacing w:after="0" w:line="250"/>
            </w:pPr>
            <w:r>
              <w:rPr>
                <w:color w:val="1F2430"/>
                <w:sz w:val="19"/>
                <w:szCs w:val="19"/>
              </w:rPr>
              <w:t xml:space="preserve">Project Pioneer</w:t>
            </w:r>
          </w:p>
        </w:tc>
        <w:tc>
          <w:tcPr>
            <w:tcW w:type="dxa" w:w="2500"/>
            <w:shd w:fill="F7F8FB" w:val="clear"/>
            <w:tcMar>
              <w:top w:type="dxa" w:w="70"/>
              <w:left w:type="dxa" w:w="110"/>
              <w:bottom w:type="dxa" w:w="70"/>
              <w:right w:type="dxa" w:w="110"/>
            </w:tcMar>
            <w:vAlign w:val="top"/>
          </w:tcPr>
          <w:p>
            <w:pPr>
              <w:spacing w:after="0" w:line="250"/>
            </w:pPr>
            <w:r>
              <w:rPr>
                <w:color w:val="1F2430"/>
                <w:sz w:val="19"/>
                <w:szCs w:val="19"/>
              </w:rPr>
              <w:t xml:space="preserve">Central authoring, signed bundle exported</w:t>
            </w:r>
          </w:p>
        </w:tc>
        <w:tc>
          <w:tcPr>
            <w:tcW w:type="dxa" w:w="2200"/>
            <w:shd w:fill="F7F8FB" w:val="clear"/>
            <w:tcMar>
              <w:top w:type="dxa" w:w="70"/>
              <w:left w:type="dxa" w:w="110"/>
              <w:bottom w:type="dxa" w:w="70"/>
              <w:right w:type="dxa" w:w="110"/>
            </w:tcMar>
            <w:vAlign w:val="top"/>
          </w:tcPr>
          <w:p>
            <w:pPr>
              <w:spacing w:after="0" w:line="250"/>
            </w:pPr>
            <w:r>
              <w:rPr>
                <w:color w:val="1F2430"/>
                <w:sz w:val="19"/>
                <w:szCs w:val="19"/>
              </w:rPr>
              <w:t xml:space="preserve">Sovereign, on PDRM infrastructure</w:t>
            </w:r>
          </w:p>
        </w:tc>
        <w:tc>
          <w:tcPr>
            <w:tcW w:type="dxa" w:w="2820"/>
            <w:shd w:fill="F7F8FB" w:val="clear"/>
            <w:tcMar>
              <w:top w:type="dxa" w:w="70"/>
              <w:left w:type="dxa" w:w="110"/>
              <w:bottom w:type="dxa" w:w="70"/>
              <w:right w:type="dxa" w:w="110"/>
            </w:tcMar>
            <w:vAlign w:val="top"/>
          </w:tcPr>
          <w:p>
            <w:pPr>
              <w:spacing w:after="0" w:line="250"/>
            </w:pPr>
            <w:r>
              <w:rPr>
                <w:color w:val="1F2430"/>
                <w:sz w:val="19"/>
                <w:szCs w:val="19"/>
              </w:rPr>
              <w:t xml:space="preserve">Assume sovereign hosting is a requirement, price it in, and treat the bundle export as the product boundary.</w:t>
            </w:r>
          </w:p>
        </w:tc>
      </w:tr>
      <w:tr>
        <w:tc>
          <w:tcPr>
            <w:tcW w:type="dxa" w:w="1500"/>
            <w:shd w:fill="FFFFFF" w:val="clear"/>
            <w:tcMar>
              <w:top w:type="dxa" w:w="70"/>
              <w:left w:type="dxa" w:w="110"/>
              <w:bottom w:type="dxa" w:w="70"/>
              <w:right w:type="dxa" w:w="110"/>
            </w:tcMar>
            <w:vAlign w:val="top"/>
          </w:tcPr>
          <w:p>
            <w:pPr>
              <w:spacing w:after="0" w:line="250"/>
            </w:pPr>
            <w:r>
              <w:rPr>
                <w:color w:val="1F2430"/>
                <w:sz w:val="19"/>
                <w:szCs w:val="19"/>
              </w:rPr>
              <w:t xml:space="preserve">Beauty Intelligence</w:t>
            </w:r>
          </w:p>
        </w:tc>
        <w:tc>
          <w:tcPr>
            <w:tcW w:type="dxa" w:w="2500"/>
            <w:shd w:fill="FFFFFF" w:val="clear"/>
            <w:tcMar>
              <w:top w:type="dxa" w:w="70"/>
              <w:left w:type="dxa" w:w="110"/>
              <w:bottom w:type="dxa" w:w="70"/>
              <w:right w:type="dxa" w:w="110"/>
            </w:tcMar>
            <w:vAlign w:val="top"/>
          </w:tcPr>
          <w:p>
            <w:pPr>
              <w:spacing w:after="0" w:line="250"/>
            </w:pPr>
            <w:r>
              <w:rPr>
                <w:color w:val="1F2430"/>
                <w:sz w:val="19"/>
                <w:szCs w:val="19"/>
              </w:rPr>
              <w:t xml:space="preserve">Central</w:t>
            </w:r>
          </w:p>
        </w:tc>
        <w:tc>
          <w:tcPr>
            <w:tcW w:type="dxa" w:w="2200"/>
            <w:shd w:fill="FFFFFF" w:val="clear"/>
            <w:tcMar>
              <w:top w:type="dxa" w:w="70"/>
              <w:left w:type="dxa" w:w="110"/>
              <w:bottom w:type="dxa" w:w="70"/>
              <w:right w:type="dxa" w:w="110"/>
            </w:tcMar>
            <w:vAlign w:val="top"/>
          </w:tcPr>
          <w:p>
            <w:pPr>
              <w:spacing w:after="0" w:line="250"/>
            </w:pPr>
            <w:r>
              <w:rPr>
                <w:color w:val="1F2430"/>
                <w:sz w:val="19"/>
                <w:szCs w:val="19"/>
              </w:rPr>
              <w:t xml:space="preserve">Per-market, GCC and SEA separately</w:t>
            </w:r>
          </w:p>
        </w:tc>
        <w:tc>
          <w:tcPr>
            <w:tcW w:type="dxa" w:w="2820"/>
            <w:shd w:fill="FFFFFF" w:val="clear"/>
            <w:tcMar>
              <w:top w:type="dxa" w:w="70"/>
              <w:left w:type="dxa" w:w="110"/>
              <w:bottom w:type="dxa" w:w="70"/>
              <w:right w:type="dxa" w:w="110"/>
            </w:tcMar>
            <w:vAlign w:val="top"/>
          </w:tcPr>
          <w:p>
            <w:pPr>
              <w:spacing w:after="0" w:line="250"/>
            </w:pPr>
            <w:r>
              <w:rPr>
                <w:color w:val="1F2430"/>
                <w:sz w:val="19"/>
                <w:szCs w:val="19"/>
              </w:rPr>
              <w:t xml:space="preserve">Market scope is already an object-level axis, so this is configuration, not a fork.</w:t>
            </w:r>
          </w:p>
        </w:tc>
      </w:tr>
    </w:tbl>
    <w:p>
      <w:pPr>
        <w:pStyle w:val="Heading2"/>
      </w:pPr>
      <w:r>
        <w:t xml:space="preserve">5.3  The one engineering rule</w:t>
      </w:r>
    </w:p>
    <w:p>
      <w:pPr>
        <w:pBdr>
          <w:left w:val="single" w:color="6B5BB5" w:sz="18" w:space="8"/>
        </w:pBdr>
        <w:shd w:fill="F2EFFA" w:val="clear"/>
        <w:spacing w:after="180" w:before="160" w:line="276"/>
        <w:ind w:left="170" w:right="170"/>
      </w:pPr>
      <w:r>
        <w:rPr>
          <w:b/>
          <w:bCs/>
          <w:color w:val="6B5BB5"/>
          <w:sz w:val="16"/>
          <w:szCs w:val="16"/>
        </w:rPr>
        <w:t xml:space="preserve">NON-NEGOTIABLE  </w:t>
      </w:r>
      <w:r>
        <w:rPr>
          <w:i w:val="false"/>
          <w:iCs w:val="false"/>
          <w:color w:val="2A2140"/>
          <w:sz w:val="21"/>
          <w:szCs w:val="21"/>
        </w:rPr>
        <w:t xml:space="preserve">The eligibility resolver must be a library the runtime links, not a service it calls. A gate reachable over the network is a gate that gets bypassed under deadline pressure, and all three papers stake their regulatory position on it holding.</w:t>
      </w:r>
    </w:p>
    <w:p>
      <w:pPr>
        <w:pStyle w:val="Heading2"/>
      </w:pPr>
      <w:r>
        <w:t xml:space="preserve">5.4  What the runtime may and may not do</w:t>
      </w:r>
    </w:p>
    <w:p>
      <w:pPr>
        <w:pStyle w:val="ListParagraph"/>
        <w:numPr>
          <w:ilvl w:val="0"/>
          <w:numId w:val="3"/>
        </w:numPr>
        <w:spacing w:after="70" w:line="268"/>
      </w:pPr>
      <w:r>
        <w:rPr>
          <w:color w:val="1F2430"/>
          <w:sz w:val="21"/>
          <w:szCs w:val="21"/>
        </w:rPr>
        <w:t xml:space="preserve">May: load a bundle id; resolve which objects are eligible for this session's mode, language and market; speak an approved string; capture an answer; bind a determination verbatim; write a record stamped with the bundle id.</w:t>
      </w:r>
    </w:p>
    <w:p>
      <w:pPr>
        <w:pStyle w:val="ListParagraph"/>
        <w:numPr>
          <w:ilvl w:val="0"/>
          <w:numId w:val="3"/>
        </w:numPr>
        <w:spacing w:after="70" w:line="268"/>
      </w:pPr>
      <w:r>
        <w:rPr>
          <w:color w:val="1F2430"/>
          <w:sz w:val="21"/>
          <w:szCs w:val="21"/>
        </w:rPr>
        <w:t xml:space="preserve">May not: load an object that is not EFFECTIVE; author a question; rephrase an approved string; escalate beyond the declared ceiling; fire a challenge object outside its declared mode or in a neutral-doctrine vertical; reach the authority layer at session time.</w:t>
      </w:r>
    </w:p>
    <w:p>
      <w:pPr>
        <w:spacing w:after="140" w:before="0" w:line="276"/>
      </w:pPr>
      <w:r>
        <w:rPr>
          <w:color w:val="1F2430"/>
          <w:sz w:val="21"/>
          <w:szCs w:val="21"/>
        </w:rPr>
        <w:t xml:space="preserve">Everything in the second list is a hard constraint in code, not a prompt instruction. That distinction is what a regulator will ask about, and it is the answer that separates this from a wrapper around a chat model.</w:t>
      </w:r>
    </w:p>
    <w:p>
      <w:pPr>
        <w:pStyle w:val="Heading1"/>
        <w:pageBreakBefore/>
      </w:pPr>
      <w:r>
        <w:t xml:space="preserve">Part VI — Commercial logic</w:t>
      </w:r>
    </w:p>
    <w:p>
      <w:pPr>
        <w:pStyle w:val="Heading2"/>
      </w:pPr>
      <w:r>
        <w:t xml:space="preserve">6.1  How this makes money</w:t>
      </w:r>
    </w:p>
    <w:p>
      <w:pPr>
        <w:spacing w:after="140" w:before="0" w:line="276"/>
      </w:pPr>
      <w:r>
        <w:rPr>
          <w:color w:val="1F2430"/>
          <w:sz w:val="21"/>
          <w:szCs w:val="21"/>
        </w:rPr>
        <w:t xml:space="preserve">Three revenue lines, in increasing order of defensibility. The mistake to avoid is pricing only the first.</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400"/>
        <w:gridCol w:w="2700"/>
        <w:gridCol w:w="2700"/>
        <w:gridCol w:w="2220"/>
      </w:tblGrid>
      <w:tr>
        <w:trPr>
          <w:tblHeader/>
        </w:trPr>
        <w:tc>
          <w:tcPr>
            <w:tcW w:type="dxa" w:w="1400"/>
            <w:shd w:fill="EDEFF4" w:val="clear"/>
            <w:tcMar>
              <w:top w:type="dxa" w:w="70"/>
              <w:left w:type="dxa" w:w="110"/>
              <w:bottom w:type="dxa" w:w="70"/>
              <w:right w:type="dxa" w:w="110"/>
            </w:tcMar>
            <w:vAlign w:val="top"/>
          </w:tcPr>
          <w:p>
            <w:pPr>
              <w:spacing w:after="0" w:line="250"/>
            </w:pPr>
            <w:r>
              <w:rPr>
                <w:b/>
                <w:bCs/>
                <w:color w:val="16233A"/>
                <w:sz w:val="18"/>
                <w:szCs w:val="18"/>
              </w:rPr>
              <w:t xml:space="preserve">Line</w:t>
            </w:r>
          </w:p>
        </w:tc>
        <w:tc>
          <w:tcPr>
            <w:tcW w:type="dxa" w:w="2700"/>
            <w:shd w:fill="EDEFF4" w:val="clear"/>
            <w:tcMar>
              <w:top w:type="dxa" w:w="70"/>
              <w:left w:type="dxa" w:w="110"/>
              <w:bottom w:type="dxa" w:w="70"/>
              <w:right w:type="dxa" w:w="110"/>
            </w:tcMar>
            <w:vAlign w:val="top"/>
          </w:tcPr>
          <w:p>
            <w:pPr>
              <w:spacing w:after="0" w:line="250"/>
            </w:pPr>
            <w:r>
              <w:rPr>
                <w:b/>
                <w:bCs/>
                <w:color w:val="16233A"/>
                <w:sz w:val="18"/>
                <w:szCs w:val="18"/>
              </w:rPr>
              <w:t xml:space="preserve">What is sold</w:t>
            </w:r>
          </w:p>
        </w:tc>
        <w:tc>
          <w:tcPr>
            <w:tcW w:type="dxa" w:w="2700"/>
            <w:shd w:fill="EDEFF4" w:val="clear"/>
            <w:tcMar>
              <w:top w:type="dxa" w:w="70"/>
              <w:left w:type="dxa" w:w="110"/>
              <w:bottom w:type="dxa" w:w="70"/>
              <w:right w:type="dxa" w:w="110"/>
            </w:tcMar>
            <w:vAlign w:val="top"/>
          </w:tcPr>
          <w:p>
            <w:pPr>
              <w:spacing w:after="0" w:line="250"/>
            </w:pPr>
            <w:r>
              <w:rPr>
                <w:b/>
                <w:bCs/>
                <w:color w:val="16233A"/>
                <w:sz w:val="18"/>
                <w:szCs w:val="18"/>
              </w:rPr>
              <w:t xml:space="preserve">Shape</w:t>
            </w:r>
          </w:p>
        </w:tc>
        <w:tc>
          <w:tcPr>
            <w:tcW w:type="dxa" w:w="2220"/>
            <w:shd w:fill="EDEFF4" w:val="clear"/>
            <w:tcMar>
              <w:top w:type="dxa" w:w="70"/>
              <w:left w:type="dxa" w:w="110"/>
              <w:bottom w:type="dxa" w:w="70"/>
              <w:right w:type="dxa" w:w="110"/>
            </w:tcMar>
            <w:vAlign w:val="top"/>
          </w:tcPr>
          <w:p>
            <w:pPr>
              <w:spacing w:after="0" w:line="250"/>
            </w:pPr>
            <w:r>
              <w:rPr>
                <w:b/>
                <w:bCs/>
                <w:color w:val="16233A"/>
                <w:sz w:val="18"/>
                <w:szCs w:val="18"/>
              </w:rPr>
              <w:t xml:space="preserve">Margin character</w:t>
            </w:r>
          </w:p>
        </w:tc>
      </w:tr>
      <w:tr>
        <w:tc>
          <w:tcPr>
            <w:tcW w:type="dxa" w:w="1400"/>
            <w:shd w:fill="FFFFFF" w:val="clear"/>
            <w:tcMar>
              <w:top w:type="dxa" w:w="70"/>
              <w:left w:type="dxa" w:w="110"/>
              <w:bottom w:type="dxa" w:w="70"/>
              <w:right w:type="dxa" w:w="110"/>
            </w:tcMar>
            <w:vAlign w:val="top"/>
          </w:tcPr>
          <w:p>
            <w:pPr>
              <w:spacing w:after="0" w:line="250"/>
            </w:pPr>
            <w:r>
              <w:rPr>
                <w:b/>
                <w:bCs/>
                <w:color w:val="1F2430"/>
                <w:sz w:val="19"/>
                <w:szCs w:val="19"/>
              </w:rPr>
              <w:t xml:space="preserve">1. Ontology build</w:t>
            </w:r>
          </w:p>
        </w:tc>
        <w:tc>
          <w:tcPr>
            <w:tcW w:type="dxa" w:w="2700"/>
            <w:shd w:fill="FFFFFF" w:val="clear"/>
            <w:tcMar>
              <w:top w:type="dxa" w:w="70"/>
              <w:left w:type="dxa" w:w="110"/>
              <w:bottom w:type="dxa" w:w="70"/>
              <w:right w:type="dxa" w:w="110"/>
            </w:tcMar>
            <w:vAlign w:val="top"/>
          </w:tcPr>
          <w:p>
            <w:pPr>
              <w:spacing w:after="0" w:line="250"/>
            </w:pPr>
            <w:r>
              <w:rPr>
                <w:color w:val="1F2430"/>
                <w:sz w:val="19"/>
                <w:szCs w:val="19"/>
              </w:rPr>
              <w:t xml:space="preserve">The expert work of authoring and anchoring a vertical's element set with the client's counsel.</w:t>
            </w:r>
          </w:p>
        </w:tc>
        <w:tc>
          <w:tcPr>
            <w:tcW w:type="dxa" w:w="2700"/>
            <w:shd w:fill="FFFFFF" w:val="clear"/>
            <w:tcMar>
              <w:top w:type="dxa" w:w="70"/>
              <w:left w:type="dxa" w:w="110"/>
              <w:bottom w:type="dxa" w:w="70"/>
              <w:right w:type="dxa" w:w="110"/>
            </w:tcMar>
            <w:vAlign w:val="top"/>
          </w:tcPr>
          <w:p>
            <w:pPr>
              <w:spacing w:after="0" w:line="250"/>
            </w:pPr>
            <w:r>
              <w:rPr>
                <w:color w:val="1F2430"/>
                <w:sz w:val="19"/>
                <w:szCs w:val="19"/>
              </w:rPr>
              <w:t xml:space="preserve">Fixed-fee engagement, per offence family / per competence domain / per claim category.</w:t>
            </w:r>
          </w:p>
        </w:tc>
        <w:tc>
          <w:tcPr>
            <w:tcW w:type="dxa" w:w="2220"/>
            <w:shd w:fill="FFFFFF" w:val="clear"/>
            <w:tcMar>
              <w:top w:type="dxa" w:w="70"/>
              <w:left w:type="dxa" w:w="110"/>
              <w:bottom w:type="dxa" w:w="70"/>
              <w:right w:type="dxa" w:w="110"/>
            </w:tcMar>
            <w:vAlign w:val="top"/>
          </w:tcPr>
          <w:p>
            <w:pPr>
              <w:spacing w:after="0" w:line="250"/>
            </w:pPr>
            <w:r>
              <w:rPr>
                <w:color w:val="1F2430"/>
                <w:sz w:val="19"/>
                <w:szCs w:val="19"/>
              </w:rPr>
              <w:t xml:space="preserve">Services margin. Cash-positive, non-recurring, and the wedge.</w:t>
            </w:r>
          </w:p>
        </w:tc>
      </w:tr>
      <w:tr>
        <w:tc>
          <w:tcPr>
            <w:tcW w:type="dxa" w:w="1400"/>
            <w:shd w:fill="F7F8FB" w:val="clear"/>
            <w:tcMar>
              <w:top w:type="dxa" w:w="70"/>
              <w:left w:type="dxa" w:w="110"/>
              <w:bottom w:type="dxa" w:w="70"/>
              <w:right w:type="dxa" w:w="110"/>
            </w:tcMar>
            <w:vAlign w:val="top"/>
          </w:tcPr>
          <w:p>
            <w:pPr>
              <w:spacing w:after="0" w:line="250"/>
            </w:pPr>
            <w:r>
              <w:rPr>
                <w:b/>
                <w:bCs/>
                <w:color w:val="1F2430"/>
                <w:sz w:val="19"/>
                <w:szCs w:val="19"/>
              </w:rPr>
              <w:t xml:space="preserve">2. Platform licence</w:t>
            </w:r>
          </w:p>
        </w:tc>
        <w:tc>
          <w:tcPr>
            <w:tcW w:type="dxa" w:w="2700"/>
            <w:shd w:fill="F7F8FB" w:val="clear"/>
            <w:tcMar>
              <w:top w:type="dxa" w:w="70"/>
              <w:left w:type="dxa" w:w="110"/>
              <w:bottom w:type="dxa" w:w="70"/>
              <w:right w:type="dxa" w:w="110"/>
            </w:tcMar>
            <w:vAlign w:val="top"/>
          </w:tcPr>
          <w:p>
            <w:pPr>
              <w:spacing w:after="0" w:line="250"/>
            </w:pPr>
            <w:r>
              <w:rPr>
                <w:color w:val="1F2430"/>
                <w:sz w:val="19"/>
                <w:szCs w:val="19"/>
              </w:rPr>
              <w:t xml:space="preserve">Knowledge Authority plus the runtime. Per tenant, per market, per deployed language.</w:t>
            </w:r>
          </w:p>
        </w:tc>
        <w:tc>
          <w:tcPr>
            <w:tcW w:type="dxa" w:w="2700"/>
            <w:shd w:fill="F7F8FB" w:val="clear"/>
            <w:tcMar>
              <w:top w:type="dxa" w:w="70"/>
              <w:left w:type="dxa" w:w="110"/>
              <w:bottom w:type="dxa" w:w="70"/>
              <w:right w:type="dxa" w:w="110"/>
            </w:tcMar>
            <w:vAlign w:val="top"/>
          </w:tcPr>
          <w:p>
            <w:pPr>
              <w:spacing w:after="0" w:line="250"/>
            </w:pPr>
            <w:r>
              <w:rPr>
                <w:color w:val="1F2430"/>
                <w:sz w:val="19"/>
                <w:szCs w:val="19"/>
              </w:rPr>
              <w:t xml:space="preserve">Annual recurring. Sovereign deployment priced as a distinct tier.</w:t>
            </w:r>
          </w:p>
        </w:tc>
        <w:tc>
          <w:tcPr>
            <w:tcW w:type="dxa" w:w="2220"/>
            <w:shd w:fill="F7F8FB" w:val="clear"/>
            <w:tcMar>
              <w:top w:type="dxa" w:w="70"/>
              <w:left w:type="dxa" w:w="110"/>
              <w:bottom w:type="dxa" w:w="70"/>
              <w:right w:type="dxa" w:w="110"/>
            </w:tcMar>
            <w:vAlign w:val="top"/>
          </w:tcPr>
          <w:p>
            <w:pPr>
              <w:spacing w:after="0" w:line="250"/>
            </w:pPr>
            <w:r>
              <w:rPr>
                <w:color w:val="1F2430"/>
                <w:sz w:val="19"/>
                <w:szCs w:val="19"/>
              </w:rPr>
              <w:t xml:space="preserve">Software margin. This is the number an investor underwrites.</w:t>
            </w:r>
          </w:p>
        </w:tc>
      </w:tr>
      <w:tr>
        <w:tc>
          <w:tcPr>
            <w:tcW w:type="dxa" w:w="1400"/>
            <w:shd w:fill="FFFFFF" w:val="clear"/>
            <w:tcMar>
              <w:top w:type="dxa" w:w="70"/>
              <w:left w:type="dxa" w:w="110"/>
              <w:bottom w:type="dxa" w:w="70"/>
              <w:right w:type="dxa" w:w="110"/>
            </w:tcMar>
            <w:vAlign w:val="top"/>
          </w:tcPr>
          <w:p>
            <w:pPr>
              <w:spacing w:after="0" w:line="250"/>
            </w:pPr>
            <w:r>
              <w:rPr>
                <w:b/>
                <w:bCs/>
                <w:color w:val="1F2430"/>
                <w:sz w:val="19"/>
                <w:szCs w:val="19"/>
              </w:rPr>
              <w:t xml:space="preserve">3. Volume</w:t>
            </w:r>
          </w:p>
        </w:tc>
        <w:tc>
          <w:tcPr>
            <w:tcW w:type="dxa" w:w="2700"/>
            <w:shd w:fill="FFFFFF" w:val="clear"/>
            <w:tcMar>
              <w:top w:type="dxa" w:w="70"/>
              <w:left w:type="dxa" w:w="110"/>
              <w:bottom w:type="dxa" w:w="70"/>
              <w:right w:type="dxa" w:w="110"/>
            </w:tcMar>
            <w:vAlign w:val="top"/>
          </w:tcPr>
          <w:p>
            <w:pPr>
              <w:spacing w:after="0" w:line="250"/>
            </w:pPr>
            <w:r>
              <w:rPr>
                <w:color w:val="1F2430"/>
                <w:sz w:val="19"/>
                <w:szCs w:val="19"/>
              </w:rPr>
              <w:t xml:space="preserve">Sessions, records, certifications.</w:t>
            </w:r>
          </w:p>
        </w:tc>
        <w:tc>
          <w:tcPr>
            <w:tcW w:type="dxa" w:w="2700"/>
            <w:shd w:fill="FFFFFF" w:val="clear"/>
            <w:tcMar>
              <w:top w:type="dxa" w:w="70"/>
              <w:left w:type="dxa" w:w="110"/>
              <w:bottom w:type="dxa" w:w="70"/>
              <w:right w:type="dxa" w:w="110"/>
            </w:tcMar>
            <w:vAlign w:val="top"/>
          </w:tcPr>
          <w:p>
            <w:pPr>
              <w:spacing w:after="0" w:line="250"/>
            </w:pPr>
            <w:r>
              <w:rPr>
                <w:color w:val="1F2430"/>
                <w:sz w:val="19"/>
                <w:szCs w:val="19"/>
              </w:rPr>
              <w:t xml:space="preserve">Per-session or banded. Optional revenue share in high-volume consumer settings.</w:t>
            </w:r>
          </w:p>
        </w:tc>
        <w:tc>
          <w:tcPr>
            <w:tcW w:type="dxa" w:w="2220"/>
            <w:shd w:fill="FFFFFF" w:val="clear"/>
            <w:tcMar>
              <w:top w:type="dxa" w:w="70"/>
              <w:left w:type="dxa" w:w="110"/>
              <w:bottom w:type="dxa" w:w="70"/>
              <w:right w:type="dxa" w:w="110"/>
            </w:tcMar>
            <w:vAlign w:val="top"/>
          </w:tcPr>
          <w:p>
            <w:pPr>
              <w:spacing w:after="0" w:line="250"/>
            </w:pPr>
            <w:r>
              <w:rPr>
                <w:color w:val="1F2430"/>
                <w:sz w:val="19"/>
                <w:szCs w:val="19"/>
              </w:rPr>
              <w:t xml:space="preserve">Scales with adoption without scaling headcount.</w:t>
            </w:r>
          </w:p>
        </w:tc>
      </w:tr>
    </w:tbl>
    <w:p>
      <w:pPr>
        <w:spacing w:after="140" w:before="0" w:line="276"/>
      </w:pPr>
      <w:r>
        <w:rPr>
          <w:b/>
          <w:bCs/>
          <w:color w:val="16233A"/>
          <w:sz w:val="21"/>
          <w:szCs w:val="21"/>
        </w:rPr>
        <w:t xml:space="preserve">The positioning trap to avoid: </w:t>
      </w:r>
      <w:r>
        <w:rPr>
          <w:sz w:val="21"/>
          <w:szCs w:val="21"/>
        </w:rPr>
        <w:t xml:space="preserve">letting the buyer anchor value to the digital human. The avatar is what wins the room; it is not what the platform is worth. If procurement treats this as “an avatar with a script”, the price ceiling is a per-screen rate. If procurement treats it as governed knowledge infrastructure with an auditable release process, the price is a platform fee and the avatar becomes an included interface. Lead every enterprise conversation with the gate and the ledger, not with the face.</w:t>
      </w:r>
    </w:p>
    <w:p>
      <w:pPr>
        <w:pStyle w:val="Heading2"/>
      </w:pPr>
      <w:r>
        <w:t xml:space="preserve">6.2  Pricing shape</w:t>
      </w:r>
    </w:p>
    <w:p>
      <w:pPr>
        <w:pStyle w:val="ListParagraph"/>
        <w:numPr>
          <w:ilvl w:val="0"/>
          <w:numId w:val="2"/>
        </w:numPr>
        <w:spacing w:after="90" w:line="268"/>
      </w:pPr>
      <w:r>
        <w:rPr>
          <w:color w:val="1F2430"/>
          <w:sz w:val="21"/>
          <w:szCs w:val="21"/>
        </w:rPr>
        <w:t xml:space="preserve">Ontology build fee per vertical — covers the legal-workstream months. Charge it; do not absorb it to win the platform deal, because absorbing it teaches the client the expensive part is free.</w:t>
      </w:r>
    </w:p>
    <w:p>
      <w:pPr>
        <w:pStyle w:val="ListParagraph"/>
        <w:numPr>
          <w:ilvl w:val="0"/>
          <w:numId w:val="2"/>
        </w:numPr>
        <w:spacing w:after="90" w:line="268"/>
      </w:pPr>
      <w:r>
        <w:rPr>
          <w:color w:val="1F2430"/>
          <w:sz w:val="21"/>
          <w:szCs w:val="21"/>
        </w:rPr>
        <w:t xml:space="preserve">Annual platform licence — Knowledge Authority plus runtime, banded by tenant, market and deployed language count.</w:t>
      </w:r>
    </w:p>
    <w:p>
      <w:pPr>
        <w:pStyle w:val="ListParagraph"/>
        <w:numPr>
          <w:ilvl w:val="0"/>
          <w:numId w:val="2"/>
        </w:numPr>
        <w:spacing w:after="90" w:line="268"/>
      </w:pPr>
      <w:r>
        <w:rPr>
          <w:color w:val="1F2430"/>
          <w:sz w:val="21"/>
          <w:szCs w:val="21"/>
        </w:rPr>
        <w:t xml:space="preserve">Sovereign deployment uplift — Pioneer-class engagements. Separate line, separate SLA.</w:t>
      </w:r>
    </w:p>
    <w:p>
      <w:pPr>
        <w:pStyle w:val="ListParagraph"/>
        <w:numPr>
          <w:ilvl w:val="0"/>
          <w:numId w:val="2"/>
        </w:numPr>
        <w:spacing w:after="90" w:line="268"/>
      </w:pPr>
      <w:r>
        <w:rPr>
          <w:color w:val="1F2430"/>
          <w:sz w:val="21"/>
          <w:szCs w:val="21"/>
        </w:rPr>
        <w:t xml:space="preserve">Session volume — banded, with a floor.</w:t>
      </w:r>
    </w:p>
    <w:p>
      <w:pPr>
        <w:pStyle w:val="ListParagraph"/>
        <w:numPr>
          <w:ilvl w:val="0"/>
          <w:numId w:val="2"/>
        </w:numPr>
        <w:spacing w:after="90" w:line="268"/>
      </w:pPr>
      <w:r>
        <w:rPr>
          <w:color w:val="1F2430"/>
          <w:sz w:val="21"/>
          <w:szCs w:val="21"/>
        </w:rPr>
        <w:t xml:space="preserve">Optional: per-certification fee where a verified record has standalone value to the holder.</w:t>
      </w:r>
    </w:p>
    <w:p>
      <w:pPr>
        <w:spacing w:after="140" w:before="0" w:line="276"/>
      </w:pPr>
      <w:r>
        <w:rPr>
          <w:i/>
          <w:iCs/>
          <w:color w:val="44546A"/>
          <w:sz w:val="21"/>
          <w:szCs w:val="21"/>
        </w:rPr>
        <w:t xml:space="preserve">Figures are deliberately absent from this paper. The bands should be set against a real first deal, and any number written before that is a negotiating anchor working against you.</w:t>
      </w:r>
    </w:p>
    <w:p>
      <w:pPr>
        <w:pStyle w:val="Heading2"/>
      </w:pPr>
      <w:r>
        <w:t xml:space="preserve">6.3  How big this gets</w:t>
      </w:r>
    </w:p>
    <w:p>
      <w:pPr>
        <w:spacing w:after="140" w:before="0" w:line="276"/>
      </w:pPr>
      <w:r>
        <w:rPr>
          <w:color w:val="1F2430"/>
          <w:sz w:val="21"/>
          <w:szCs w:val="21"/>
        </w:rPr>
        <w:t xml:space="preserve">The expansion path is not more verticals for their own sake. It is the observation that every institution which currently runs a structured intake interview against a rulebook is a candidate: insurance first-notice-of-loss, bank onboarding and suitability, regulatory whistleblowing intake, clinical triage, immigration and border interviews, HR investigations, franchise compliance audits. Each has an anchor authority, a mandatory element set, a language requirement and an auditability problem. Each is the same engine and a new pack.</w:t>
      </w:r>
    </w:p>
    <w:p>
      <w:pPr>
        <w:spacing w:after="140" w:before="0" w:line="276"/>
      </w:pPr>
      <w:r>
        <w:rPr>
          <w:color w:val="1F2430"/>
          <w:sz w:val="21"/>
          <w:szCs w:val="21"/>
        </w:rPr>
        <w:t xml:space="preserve">Geographic leverage follows the language axis rather than the sales team. A pack approved in Bahasa Malaysia, English, Chinese and Tamil is a Malaysian product; the same pack with Arabic at fidelity passed is a GCC product. Language is the cheapest expansion vector the platform has and it is already first-class in the schema.</w:t>
      </w:r>
    </w:p>
    <w:p>
      <w:pPr>
        <w:spacing w:after="140" w:before="0" w:line="276"/>
      </w:pPr>
      <w:r>
        <w:rPr>
          <w:b/>
          <w:bCs/>
          <w:color w:val="16233A"/>
          <w:sz w:val="21"/>
          <w:szCs w:val="21"/>
        </w:rPr>
        <w:t xml:space="preserve">The assumption to test: </w:t>
      </w:r>
      <w:r>
        <w:rPr>
          <w:sz w:val="21"/>
          <w:szCs w:val="21"/>
        </w:rPr>
        <w:t xml:space="preserve">that a second vertical can reach release without engine changes. The console is the instrument that measures it — if Pioneer reaches a green gate on data alone, the platform claim is proven and it becomes an investable statement rather than an architectural one.</w:t>
      </w:r>
    </w:p>
    <w:p>
      <w:pPr>
        <w:pStyle w:val="Heading2"/>
      </w:pPr>
      <w:r>
        <w:t xml:space="preserve">6.4  The moat</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100"/>
        <w:gridCol w:w="1200"/>
        <w:gridCol w:w="5720"/>
      </w:tblGrid>
      <w:tr>
        <w:trPr>
          <w:tblHeader/>
        </w:trPr>
        <w:tc>
          <w:tcPr>
            <w:tcW w:type="dxa" w:w="2100"/>
            <w:shd w:fill="EDEFF4" w:val="clear"/>
            <w:tcMar>
              <w:top w:type="dxa" w:w="70"/>
              <w:left w:type="dxa" w:w="110"/>
              <w:bottom w:type="dxa" w:w="70"/>
              <w:right w:type="dxa" w:w="110"/>
            </w:tcMar>
            <w:vAlign w:val="top"/>
          </w:tcPr>
          <w:p>
            <w:pPr>
              <w:spacing w:after="0" w:line="250"/>
            </w:pPr>
            <w:r>
              <w:rPr>
                <w:b/>
                <w:bCs/>
                <w:color w:val="16233A"/>
                <w:sz w:val="18"/>
                <w:szCs w:val="18"/>
              </w:rPr>
              <w:t xml:space="preserve">Layer</w:t>
            </w:r>
          </w:p>
        </w:tc>
        <w:tc>
          <w:tcPr>
            <w:tcW w:type="dxa" w:w="1200"/>
            <w:shd w:fill="EDEFF4" w:val="clear"/>
            <w:tcMar>
              <w:top w:type="dxa" w:w="70"/>
              <w:left w:type="dxa" w:w="110"/>
              <w:bottom w:type="dxa" w:w="70"/>
              <w:right w:type="dxa" w:w="110"/>
            </w:tcMar>
            <w:vAlign w:val="top"/>
          </w:tcPr>
          <w:p>
            <w:pPr>
              <w:spacing w:after="0" w:line="250"/>
            </w:pPr>
            <w:r>
              <w:rPr>
                <w:b/>
                <w:bCs/>
                <w:color w:val="16233A"/>
                <w:sz w:val="18"/>
                <w:szCs w:val="18"/>
              </w:rPr>
              <w:t xml:space="preserve">Strength</w:t>
            </w:r>
          </w:p>
        </w:tc>
        <w:tc>
          <w:tcPr>
            <w:tcW w:type="dxa" w:w="5720"/>
            <w:shd w:fill="EDEFF4" w:val="clear"/>
            <w:tcMar>
              <w:top w:type="dxa" w:w="70"/>
              <w:left w:type="dxa" w:w="110"/>
              <w:bottom w:type="dxa" w:w="70"/>
              <w:right w:type="dxa" w:w="110"/>
            </w:tcMar>
            <w:vAlign w:val="top"/>
          </w:tcPr>
          <w:p>
            <w:pPr>
              <w:spacing w:after="0" w:line="250"/>
            </w:pPr>
            <w:r>
              <w:rPr>
                <w:b/>
                <w:bCs/>
                <w:color w:val="16233A"/>
                <w:sz w:val="18"/>
                <w:szCs w:val="18"/>
              </w:rPr>
              <w:t xml:space="preserve">Honest assessment</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The engine</w:t>
            </w:r>
          </w:p>
        </w:tc>
        <w:tc>
          <w:tcPr>
            <w:tcW w:type="dxa" w:w="1200"/>
            <w:shd w:fill="FFFFFF" w:val="clear"/>
            <w:tcMar>
              <w:top w:type="dxa" w:w="70"/>
              <w:left w:type="dxa" w:w="110"/>
              <w:bottom w:type="dxa" w:w="70"/>
              <w:right w:type="dxa" w:w="110"/>
            </w:tcMar>
            <w:vAlign w:val="top"/>
          </w:tcPr>
          <w:p>
            <w:pPr>
              <w:spacing w:after="0" w:line="250"/>
            </w:pPr>
            <w:r>
              <w:rPr>
                <w:b/>
                <w:bCs/>
                <w:color w:val="9B2C2C"/>
                <w:sz w:val="19"/>
                <w:szCs w:val="19"/>
              </w:rPr>
              <w:t xml:space="preserve">Weak</w:t>
            </w:r>
          </w:p>
        </w:tc>
        <w:tc>
          <w:tcPr>
            <w:tcW w:type="dxa" w:w="5720"/>
            <w:shd w:fill="FFFFFF" w:val="clear"/>
            <w:tcMar>
              <w:top w:type="dxa" w:w="70"/>
              <w:left w:type="dxa" w:w="110"/>
              <w:bottom w:type="dxa" w:w="70"/>
              <w:right w:type="dxa" w:w="110"/>
            </w:tcMar>
            <w:vAlign w:val="top"/>
          </w:tcPr>
          <w:p>
            <w:pPr>
              <w:spacing w:after="0" w:line="250"/>
            </w:pPr>
            <w:r>
              <w:rPr>
                <w:color w:val="1F2430"/>
                <w:sz w:val="19"/>
                <w:szCs w:val="19"/>
              </w:rPr>
              <w:t xml:space="preserve">A competent team rebuilds a governed interview loop. Do not claim this as IP.</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The reconciled schema</w:t>
            </w:r>
          </w:p>
        </w:tc>
        <w:tc>
          <w:tcPr>
            <w:tcW w:type="dxa" w:w="1200"/>
            <w:shd w:fill="F7F8FB" w:val="clear"/>
            <w:tcMar>
              <w:top w:type="dxa" w:w="70"/>
              <w:left w:type="dxa" w:w="110"/>
              <w:bottom w:type="dxa" w:w="70"/>
              <w:right w:type="dxa" w:w="110"/>
            </w:tcMar>
            <w:vAlign w:val="top"/>
          </w:tcPr>
          <w:p>
            <w:pPr>
              <w:spacing w:after="0" w:line="250"/>
            </w:pPr>
            <w:r>
              <w:rPr>
                <w:b/>
                <w:bCs/>
                <w:color w:val="8A6A1F"/>
                <w:sz w:val="19"/>
                <w:szCs w:val="19"/>
              </w:rPr>
              <w:t xml:space="preserve">Medium</w:t>
            </w:r>
          </w:p>
        </w:tc>
        <w:tc>
          <w:tcPr>
            <w:tcW w:type="dxa" w:w="5720"/>
            <w:shd w:fill="F7F8FB" w:val="clear"/>
            <w:tcMar>
              <w:top w:type="dxa" w:w="70"/>
              <w:left w:type="dxa" w:w="110"/>
              <w:bottom w:type="dxa" w:w="70"/>
              <w:right w:type="dxa" w:w="110"/>
            </w:tcMar>
            <w:vAlign w:val="top"/>
          </w:tcPr>
          <w:p>
            <w:pPr>
              <w:spacing w:after="0" w:line="250"/>
            </w:pPr>
            <w:r>
              <w:rPr>
                <w:color w:val="1F2430"/>
                <w:sz w:val="19"/>
                <w:szCs w:val="19"/>
              </w:rPr>
              <w:t xml:space="preserve">The four conflict resolutions took three real programmes to discover. A competitor with one client will get them wrong and find out late.</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The gate and the release discipline</w:t>
            </w:r>
          </w:p>
        </w:tc>
        <w:tc>
          <w:tcPr>
            <w:tcW w:type="dxa" w:w="1200"/>
            <w:shd w:fill="FFFFFF" w:val="clear"/>
            <w:tcMar>
              <w:top w:type="dxa" w:w="70"/>
              <w:left w:type="dxa" w:w="110"/>
              <w:bottom w:type="dxa" w:w="70"/>
              <w:right w:type="dxa" w:w="110"/>
            </w:tcMar>
            <w:vAlign w:val="top"/>
          </w:tcPr>
          <w:p>
            <w:pPr>
              <w:spacing w:after="0" w:line="250"/>
            </w:pPr>
            <w:r>
              <w:rPr>
                <w:b/>
                <w:bCs/>
                <w:color w:val="2E6B3E"/>
                <w:sz w:val="19"/>
                <w:szCs w:val="19"/>
              </w:rPr>
              <w:t xml:space="preserve">Strong</w:t>
            </w:r>
          </w:p>
        </w:tc>
        <w:tc>
          <w:tcPr>
            <w:tcW w:type="dxa" w:w="5720"/>
            <w:shd w:fill="FFFFFF" w:val="clear"/>
            <w:tcMar>
              <w:top w:type="dxa" w:w="70"/>
              <w:left w:type="dxa" w:w="110"/>
              <w:bottom w:type="dxa" w:w="70"/>
              <w:right w:type="dxa" w:w="110"/>
            </w:tcMar>
            <w:vAlign w:val="top"/>
          </w:tcPr>
          <w:p>
            <w:pPr>
              <w:spacing w:after="0" w:line="250"/>
            </w:pPr>
            <w:r>
              <w:rPr>
                <w:color w:val="1F2430"/>
                <w:sz w:val="19"/>
                <w:szCs w:val="19"/>
              </w:rPr>
              <w:t xml:space="preserve">Not because it is hard to build, but because it is hard to sell internally at a competitor. Nobody voluntarily builds the thing that blocks their own release.</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Approved ontologies</w:t>
            </w:r>
          </w:p>
        </w:tc>
        <w:tc>
          <w:tcPr>
            <w:tcW w:type="dxa" w:w="1200"/>
            <w:shd w:fill="F7F8FB" w:val="clear"/>
            <w:tcMar>
              <w:top w:type="dxa" w:w="70"/>
              <w:left w:type="dxa" w:w="110"/>
              <w:bottom w:type="dxa" w:w="70"/>
              <w:right w:type="dxa" w:w="110"/>
            </w:tcMar>
            <w:vAlign w:val="top"/>
          </w:tcPr>
          <w:p>
            <w:pPr>
              <w:spacing w:after="0" w:line="250"/>
            </w:pPr>
            <w:r>
              <w:rPr>
                <w:b/>
                <w:bCs/>
                <w:color w:val="2E6B3E"/>
                <w:sz w:val="19"/>
                <w:szCs w:val="19"/>
              </w:rPr>
              <w:t xml:space="preserve">Strong</w:t>
            </w:r>
          </w:p>
        </w:tc>
        <w:tc>
          <w:tcPr>
            <w:tcW w:type="dxa" w:w="5720"/>
            <w:shd w:fill="F7F8FB" w:val="clear"/>
            <w:tcMar>
              <w:top w:type="dxa" w:w="70"/>
              <w:left w:type="dxa" w:w="110"/>
              <w:bottom w:type="dxa" w:w="70"/>
              <w:right w:type="dxa" w:w="110"/>
            </w:tcMar>
            <w:vAlign w:val="top"/>
          </w:tcPr>
          <w:p>
            <w:pPr>
              <w:spacing w:after="0" w:line="250"/>
            </w:pPr>
            <w:r>
              <w:rPr>
                <w:color w:val="1F2430"/>
                <w:sz w:val="19"/>
                <w:szCs w:val="19"/>
              </w:rPr>
              <w:t xml:space="preserve">An AGC-validated offence ontology or a market-approved claims set is months of a client's own counsel's time. It does not move to a competitor; it is the switching cost.</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The reference deployment</w:t>
            </w:r>
          </w:p>
        </w:tc>
        <w:tc>
          <w:tcPr>
            <w:tcW w:type="dxa" w:w="1200"/>
            <w:shd w:fill="FFFFFF" w:val="clear"/>
            <w:tcMar>
              <w:top w:type="dxa" w:w="70"/>
              <w:left w:type="dxa" w:w="110"/>
              <w:bottom w:type="dxa" w:w="70"/>
              <w:right w:type="dxa" w:w="110"/>
            </w:tcMar>
            <w:vAlign w:val="top"/>
          </w:tcPr>
          <w:p>
            <w:pPr>
              <w:spacing w:after="0" w:line="250"/>
            </w:pPr>
            <w:r>
              <w:rPr>
                <w:b/>
                <w:bCs/>
                <w:color w:val="2E6B3E"/>
                <w:sz w:val="19"/>
                <w:szCs w:val="19"/>
              </w:rPr>
              <w:t xml:space="preserve">Strongest</w:t>
            </w:r>
          </w:p>
        </w:tc>
        <w:tc>
          <w:tcPr>
            <w:tcW w:type="dxa" w:w="5720"/>
            <w:shd w:fill="FFFFFF" w:val="clear"/>
            <w:tcMar>
              <w:top w:type="dxa" w:w="70"/>
              <w:left w:type="dxa" w:w="110"/>
              <w:bottom w:type="dxa" w:w="70"/>
              <w:right w:type="dxa" w:w="110"/>
            </w:tcMar>
            <w:vAlign w:val="top"/>
          </w:tcPr>
          <w:p>
            <w:pPr>
              <w:spacing w:after="0" w:line="250"/>
            </w:pPr>
            <w:r>
              <w:rPr>
                <w:color w:val="1F2430"/>
                <w:sz w:val="19"/>
                <w:szCs w:val="19"/>
              </w:rPr>
              <w:t xml:space="preserve">The first police force to accept a governed interview engine is the reference the second one buys on. In this category the moat is precedent, and precedent is winner-takes-most.</w:t>
            </w:r>
          </w:p>
        </w:tc>
      </w:tr>
    </w:tbl>
    <w:p>
      <w:pPr>
        <w:spacing w:after="140" w:before="0" w:line="276"/>
      </w:pPr>
      <w:r>
        <w:rPr>
          <w:b/>
          <w:bCs/>
          <w:color w:val="16233A"/>
          <w:sz w:val="21"/>
          <w:szCs w:val="21"/>
        </w:rPr>
        <w:t xml:space="preserve">Conclusion on defensibility: </w:t>
      </w:r>
      <w:r>
        <w:rPr>
          <w:sz w:val="21"/>
          <w:szCs w:val="21"/>
        </w:rPr>
        <w:t xml:space="preserve">the moat is not the code, and pitching the code as the moat weakens the story. The moat is the approved ontologies plus the institutional precedent. Structure commercial terms accordingly — BYOND should hold the platform and the method, and the client should hold their own content. Trying to own client ontologies will cost the Pioneer-class deals outright, and those are the ones that create the precedent.</w:t>
      </w:r>
    </w:p>
    <w:p>
      <w:pPr>
        <w:pStyle w:val="Heading2"/>
      </w:pPr>
      <w:r>
        <w:t xml:space="preserve">6.5  What breaks the thesis</w:t>
      </w:r>
    </w:p>
    <w:p>
      <w:pPr>
        <w:pStyle w:val="ListParagraph"/>
        <w:numPr>
          <w:ilvl w:val="0"/>
          <w:numId w:val="3"/>
        </w:numPr>
        <w:spacing w:after="70" w:line="268"/>
      </w:pPr>
      <w:r>
        <w:rPr>
          <w:color w:val="1F2430"/>
          <w:sz w:val="21"/>
          <w:szCs w:val="21"/>
        </w:rPr>
        <w:t xml:space="preserve">If the ontology build cannot be delivered inside a fixed fee, every deal becomes a bespoke consulting engagement and the platform economics collapse. Test this on the first two Pioneer offence families, bottom-up, before quoting anything.</w:t>
      </w:r>
    </w:p>
    <w:p>
      <w:pPr>
        <w:pStyle w:val="ListParagraph"/>
        <w:numPr>
          <w:ilvl w:val="0"/>
          <w:numId w:val="3"/>
        </w:numPr>
        <w:spacing w:after="70" w:line="268"/>
      </w:pPr>
      <w:r>
        <w:rPr>
          <w:color w:val="1F2430"/>
          <w:sz w:val="21"/>
          <w:szCs w:val="21"/>
        </w:rPr>
        <w:t xml:space="preserve">If a client insists on runtime generation because a competitor promised it, the governance position is unsellable in that account. This is a qualification criterion, not an objection to handle.</w:t>
      </w:r>
    </w:p>
    <w:p>
      <w:pPr>
        <w:pStyle w:val="ListParagraph"/>
        <w:numPr>
          <w:ilvl w:val="0"/>
          <w:numId w:val="3"/>
        </w:numPr>
        <w:spacing w:after="70" w:line="268"/>
      </w:pPr>
      <w:r>
        <w:rPr>
          <w:color w:val="1F2430"/>
          <w:sz w:val="21"/>
          <w:szCs w:val="21"/>
        </w:rPr>
        <w:t xml:space="preserve">If a second vertical needs engine changes to reach release, the platform is three products wearing one badge. Measure it, do not assume it.</w:t>
      </w:r>
    </w:p>
    <w:p>
      <w:pPr>
        <w:pStyle w:val="ListParagraph"/>
        <w:numPr>
          <w:ilvl w:val="0"/>
          <w:numId w:val="3"/>
        </w:numPr>
        <w:spacing w:after="70" w:line="268"/>
      </w:pPr>
      <w:r>
        <w:rPr>
          <w:color w:val="1F2430"/>
          <w:sz w:val="21"/>
          <w:szCs w:val="21"/>
        </w:rPr>
        <w:t xml:space="preserve">If the digital human is what the buyer is paying for, the recurring line never materialises and BYOND is a deployment shop with good software.</w:t>
      </w:r>
    </w:p>
    <w:p>
      <w:pPr>
        <w:pStyle w:val="Heading1"/>
        <w:pageBreakBefore/>
      </w:pPr>
      <w:r>
        <w:t xml:space="preserve">Part VII — Risks, gaps, and what is not built</w:t>
      </w:r>
    </w:p>
    <w:p>
      <w:pPr>
        <w:pStyle w:val="Heading2"/>
      </w:pPr>
      <w:r>
        <w:t xml:space="preserve">7.1  Not built, and why</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700"/>
        <w:gridCol w:w="4400"/>
        <w:gridCol w:w="2920"/>
      </w:tblGrid>
      <w:tr>
        <w:trPr>
          <w:tblHeader/>
        </w:trPr>
        <w:tc>
          <w:tcPr>
            <w:tcW w:type="dxa" w:w="1700"/>
            <w:shd w:fill="EDEFF4" w:val="clear"/>
            <w:tcMar>
              <w:top w:type="dxa" w:w="70"/>
              <w:left w:type="dxa" w:w="110"/>
              <w:bottom w:type="dxa" w:w="70"/>
              <w:right w:type="dxa" w:w="110"/>
            </w:tcMar>
            <w:vAlign w:val="top"/>
          </w:tcPr>
          <w:p>
            <w:pPr>
              <w:spacing w:after="0" w:line="250"/>
            </w:pPr>
            <w:r>
              <w:rPr>
                <w:b/>
                <w:bCs/>
                <w:color w:val="16233A"/>
                <w:sz w:val="18"/>
                <w:szCs w:val="18"/>
              </w:rPr>
              <w:t xml:space="preserve">Absent</w:t>
            </w:r>
          </w:p>
        </w:tc>
        <w:tc>
          <w:tcPr>
            <w:tcW w:type="dxa" w:w="4400"/>
            <w:shd w:fill="EDEFF4" w:val="clear"/>
            <w:tcMar>
              <w:top w:type="dxa" w:w="70"/>
              <w:left w:type="dxa" w:w="110"/>
              <w:bottom w:type="dxa" w:w="70"/>
              <w:right w:type="dxa" w:w="110"/>
            </w:tcMar>
            <w:vAlign w:val="top"/>
          </w:tcPr>
          <w:p>
            <w:pPr>
              <w:spacing w:after="0" w:line="250"/>
            </w:pPr>
            <w:r>
              <w:rPr>
                <w:b/>
                <w:bCs/>
                <w:color w:val="16233A"/>
                <w:sz w:val="18"/>
                <w:szCs w:val="18"/>
              </w:rPr>
              <w:t xml:space="preserve">Why</w:t>
            </w:r>
          </w:p>
        </w:tc>
        <w:tc>
          <w:tcPr>
            <w:tcW w:type="dxa" w:w="2920"/>
            <w:shd w:fill="EDEFF4" w:val="clear"/>
            <w:tcMar>
              <w:top w:type="dxa" w:w="70"/>
              <w:left w:type="dxa" w:w="110"/>
              <w:bottom w:type="dxa" w:w="70"/>
              <w:right w:type="dxa" w:w="110"/>
            </w:tcMar>
            <w:vAlign w:val="top"/>
          </w:tcPr>
          <w:p>
            <w:pPr>
              <w:spacing w:after="0" w:line="250"/>
            </w:pPr>
            <w:r>
              <w:rPr>
                <w:b/>
                <w:bCs/>
                <w:color w:val="16233A"/>
                <w:sz w:val="18"/>
                <w:szCs w:val="18"/>
              </w:rPr>
              <w:t xml:space="preserve">Cost to close</w:t>
            </w:r>
          </w:p>
        </w:tc>
      </w:tr>
      <w:tr>
        <w:tc>
          <w:tcPr>
            <w:tcW w:type="dxa" w:w="1700"/>
            <w:shd w:fill="FFFFFF" w:val="clear"/>
            <w:tcMar>
              <w:top w:type="dxa" w:w="70"/>
              <w:left w:type="dxa" w:w="110"/>
              <w:bottom w:type="dxa" w:w="70"/>
              <w:right w:type="dxa" w:w="110"/>
            </w:tcMar>
            <w:vAlign w:val="top"/>
          </w:tcPr>
          <w:p>
            <w:pPr>
              <w:spacing w:after="0" w:line="250"/>
            </w:pPr>
            <w:r>
              <w:rPr>
                <w:b/>
                <w:bCs/>
                <w:color w:val="1F2430"/>
                <w:sz w:val="19"/>
                <w:szCs w:val="19"/>
              </w:rPr>
              <w:t xml:space="preserve">Object editor</w:t>
            </w:r>
          </w:p>
        </w:tc>
        <w:tc>
          <w:tcPr>
            <w:tcW w:type="dxa" w:w="4400"/>
            <w:shd w:fill="FFFFFF" w:val="clear"/>
            <w:tcMar>
              <w:top w:type="dxa" w:w="70"/>
              <w:left w:type="dxa" w:w="110"/>
              <w:bottom w:type="dxa" w:w="70"/>
              <w:right w:type="dxa" w:w="110"/>
            </w:tcMar>
            <w:vAlign w:val="top"/>
          </w:tcPr>
          <w:p>
            <w:pPr>
              <w:spacing w:after="0" w:line="250"/>
            </w:pPr>
            <w:r>
              <w:rPr>
                <w:color w:val="1F2430"/>
                <w:sz w:val="19"/>
                <w:szCs w:val="19"/>
              </w:rPr>
              <w:t xml:space="preserve">The console advances and retires objects; it does not author them. Nobody has designed the screen a legal reviewer sits in front of for six weeks anchoring offence categories to Penal Code clauses.</w:t>
            </w:r>
          </w:p>
        </w:tc>
        <w:tc>
          <w:tcPr>
            <w:tcW w:type="dxa" w:w="2920"/>
            <w:shd w:fill="FFFFFF" w:val="clear"/>
            <w:tcMar>
              <w:top w:type="dxa" w:w="70"/>
              <w:left w:type="dxa" w:w="110"/>
              <w:bottom w:type="dxa" w:w="70"/>
              <w:right w:type="dxa" w:w="110"/>
            </w:tcMar>
            <w:vAlign w:val="top"/>
          </w:tcPr>
          <w:p>
            <w:pPr>
              <w:spacing w:after="0" w:line="250"/>
            </w:pPr>
            <w:r>
              <w:rPr>
                <w:color w:val="1F2430"/>
                <w:sz w:val="19"/>
                <w:szCs w:val="19"/>
              </w:rPr>
              <w:t xml:space="preserve">The single highest-value piece of remaining work, and the one that needs a decision before it is written. See 7.2.</w:t>
            </w:r>
          </w:p>
        </w:tc>
      </w:tr>
      <w:tr>
        <w:tc>
          <w:tcPr>
            <w:tcW w:type="dxa" w:w="1700"/>
            <w:shd w:fill="F7F8FB" w:val="clear"/>
            <w:tcMar>
              <w:top w:type="dxa" w:w="70"/>
              <w:left w:type="dxa" w:w="110"/>
              <w:bottom w:type="dxa" w:w="70"/>
              <w:right w:type="dxa" w:w="110"/>
            </w:tcMar>
            <w:vAlign w:val="top"/>
          </w:tcPr>
          <w:p>
            <w:pPr>
              <w:spacing w:after="0" w:line="250"/>
            </w:pPr>
            <w:r>
              <w:rPr>
                <w:color w:val="1F2430"/>
                <w:sz w:val="19"/>
                <w:szCs w:val="19"/>
              </w:rPr>
              <w:t xml:space="preserve">Ingestion and extraction</w:t>
            </w:r>
          </w:p>
        </w:tc>
        <w:tc>
          <w:tcPr>
            <w:tcW w:type="dxa" w:w="4400"/>
            <w:shd w:fill="F7F8FB" w:val="clear"/>
            <w:tcMar>
              <w:top w:type="dxa" w:w="70"/>
              <w:left w:type="dxa" w:w="110"/>
              <w:bottom w:type="dxa" w:w="70"/>
              <w:right w:type="dxa" w:w="110"/>
            </w:tcMar>
            <w:vAlign w:val="top"/>
          </w:tcPr>
          <w:p>
            <w:pPr>
              <w:spacing w:after="0" w:line="250"/>
            </w:pPr>
            <w:r>
              <w:rPr>
                <w:color w:val="1F2430"/>
                <w:sz w:val="19"/>
                <w:szCs w:val="19"/>
              </w:rPr>
              <w:t xml:space="preserve">The one part with no specification in any of the three papers. Beauty says Knowledge Authority reads from the product-information system without saying how a claim is drafted from a product record.</w:t>
            </w:r>
          </w:p>
        </w:tc>
        <w:tc>
          <w:tcPr>
            <w:tcW w:type="dxa" w:w="2920"/>
            <w:shd w:fill="F7F8FB" w:val="clear"/>
            <w:tcMar>
              <w:top w:type="dxa" w:w="70"/>
              <w:left w:type="dxa" w:w="110"/>
              <w:bottom w:type="dxa" w:w="70"/>
              <w:right w:type="dxa" w:w="110"/>
            </w:tcMar>
            <w:vAlign w:val="top"/>
          </w:tcPr>
          <w:p>
            <w:pPr>
              <w:spacing w:after="0" w:line="250"/>
            </w:pPr>
            <w:r>
              <w:rPr>
                <w:color w:val="1F2430"/>
                <w:sz w:val="19"/>
                <w:szCs w:val="19"/>
              </w:rPr>
              <w:t xml:space="preserve">Must be designed against a real source system. Guessing at it produces a piece that gets thrown away.</w:t>
            </w:r>
          </w:p>
        </w:tc>
      </w:tr>
      <w:tr>
        <w:tc>
          <w:tcPr>
            <w:tcW w:type="dxa" w:w="1700"/>
            <w:shd w:fill="FFFFFF" w:val="clear"/>
            <w:tcMar>
              <w:top w:type="dxa" w:w="70"/>
              <w:left w:type="dxa" w:w="110"/>
              <w:bottom w:type="dxa" w:w="70"/>
              <w:right w:type="dxa" w:w="110"/>
            </w:tcMar>
            <w:vAlign w:val="top"/>
          </w:tcPr>
          <w:p>
            <w:pPr>
              <w:spacing w:after="0" w:line="250"/>
            </w:pPr>
            <w:r>
              <w:rPr>
                <w:color w:val="1F2430"/>
                <w:sz w:val="19"/>
                <w:szCs w:val="19"/>
              </w:rPr>
              <w:t xml:space="preserve">Tenancy and identity</w:t>
            </w:r>
          </w:p>
        </w:tc>
        <w:tc>
          <w:tcPr>
            <w:tcW w:type="dxa" w:w="4400"/>
            <w:shd w:fill="FFFFFF" w:val="clear"/>
            <w:tcMar>
              <w:top w:type="dxa" w:w="70"/>
              <w:left w:type="dxa" w:w="110"/>
              <w:bottom w:type="dxa" w:w="70"/>
              <w:right w:type="dxa" w:w="110"/>
            </w:tcMar>
            <w:vAlign w:val="top"/>
          </w:tcPr>
          <w:p>
            <w:pPr>
              <w:spacing w:after="0" w:line="250"/>
            </w:pPr>
            <w:r>
              <w:rPr>
                <w:color w:val="1F2430"/>
                <w:sz w:val="19"/>
                <w:szCs w:val="19"/>
              </w:rPr>
              <w:t xml:space="preserve">No paper models cross-vertical tenancy or the sovereign deployment fork, because none was written expecting a sibling.</w:t>
            </w:r>
          </w:p>
        </w:tc>
        <w:tc>
          <w:tcPr>
            <w:tcW w:type="dxa" w:w="2920"/>
            <w:shd w:fill="FFFFFF" w:val="clear"/>
            <w:tcMar>
              <w:top w:type="dxa" w:w="70"/>
              <w:left w:type="dxa" w:w="110"/>
              <w:bottom w:type="dxa" w:w="70"/>
              <w:right w:type="dxa" w:w="110"/>
            </w:tcMar>
            <w:vAlign w:val="top"/>
          </w:tcPr>
          <w:p>
            <w:pPr>
              <w:spacing w:after="0" w:line="250"/>
            </w:pPr>
            <w:r>
              <w:rPr>
                <w:color w:val="1F2430"/>
                <w:sz w:val="19"/>
                <w:szCs w:val="19"/>
              </w:rPr>
              <w:t xml:space="preserve">Genuinely new work. Bounded, but not free.</w:t>
            </w:r>
          </w:p>
        </w:tc>
      </w:tr>
      <w:tr>
        <w:tc>
          <w:tcPr>
            <w:tcW w:type="dxa" w:w="1700"/>
            <w:shd w:fill="F7F8FB" w:val="clear"/>
            <w:tcMar>
              <w:top w:type="dxa" w:w="70"/>
              <w:left w:type="dxa" w:w="110"/>
              <w:bottom w:type="dxa" w:w="70"/>
              <w:right w:type="dxa" w:w="110"/>
            </w:tcMar>
            <w:vAlign w:val="top"/>
          </w:tcPr>
          <w:p>
            <w:pPr>
              <w:spacing w:after="0" w:line="250"/>
            </w:pPr>
            <w:r>
              <w:rPr>
                <w:color w:val="1F2430"/>
                <w:sz w:val="19"/>
                <w:szCs w:val="19"/>
              </w:rPr>
              <w:t xml:space="preserve">Persistence</w:t>
            </w:r>
          </w:p>
        </w:tc>
        <w:tc>
          <w:tcPr>
            <w:tcW w:type="dxa" w:w="4400"/>
            <w:shd w:fill="F7F8FB" w:val="clear"/>
            <w:tcMar>
              <w:top w:type="dxa" w:w="70"/>
              <w:left w:type="dxa" w:w="110"/>
              <w:bottom w:type="dxa" w:w="70"/>
              <w:right w:type="dxa" w:w="110"/>
            </w:tcMar>
            <w:vAlign w:val="top"/>
          </w:tcPr>
          <w:p>
            <w:pPr>
              <w:spacing w:after="0" w:line="250"/>
            </w:pPr>
            <w:r>
              <w:rPr>
                <w:color w:val="1F2430"/>
                <w:sz w:val="19"/>
                <w:szCs w:val="19"/>
              </w:rPr>
              <w:t xml:space="preserve">In-memory. The registry is append-only by design and wants a real store.</w:t>
            </w:r>
          </w:p>
        </w:tc>
        <w:tc>
          <w:tcPr>
            <w:tcW w:type="dxa" w:w="2920"/>
            <w:shd w:fill="F7F8FB" w:val="clear"/>
            <w:tcMar>
              <w:top w:type="dxa" w:w="70"/>
              <w:left w:type="dxa" w:w="110"/>
              <w:bottom w:type="dxa" w:w="70"/>
              <w:right w:type="dxa" w:w="110"/>
            </w:tcMar>
            <w:vAlign w:val="top"/>
          </w:tcPr>
          <w:p>
            <w:pPr>
              <w:spacing w:after="0" w:line="250"/>
            </w:pPr>
            <w:r>
              <w:rPr>
                <w:color w:val="1F2430"/>
                <w:sz w:val="19"/>
                <w:szCs w:val="19"/>
              </w:rPr>
              <w:t xml:space="preserve">The shape is settled; the storage is not. Low risk.</w:t>
            </w:r>
          </w:p>
        </w:tc>
      </w:tr>
    </w:tbl>
    <w:p>
      <w:pPr>
        <w:pStyle w:val="Heading2"/>
      </w:pPr>
      <w:r>
        <w:t xml:space="preserve">7.2  The object editor is the actual product</w:t>
      </w:r>
    </w:p>
    <w:p>
      <w:pPr>
        <w:spacing w:after="140" w:before="0" w:line="276"/>
      </w:pPr>
      <w:r>
        <w:rPr>
          <w:b/>
          <w:bCs/>
          <w:color w:val="16233A"/>
          <w:sz w:val="21"/>
          <w:szCs w:val="21"/>
        </w:rPr>
        <w:t xml:space="preserve">Insight. </w:t>
      </w:r>
      <w:r>
        <w:rPr>
          <w:sz w:val="21"/>
          <w:szCs w:val="21"/>
        </w:rPr>
        <w:t xml:space="preserve">Everything built so far is the part a buyer looks at once. The editor is the part a client's legal reviewer lives in for weeks per vertical, and it determines whether the ontology build fits inside a fixed fee — which is the assumption the whole platform economics rest on.</w:t>
      </w:r>
    </w:p>
    <w:p>
      <w:pPr>
        <w:spacing w:after="140" w:before="0" w:line="276"/>
      </w:pPr>
      <w:r>
        <w:rPr>
          <w:b/>
          <w:bCs/>
          <w:color w:val="16233A"/>
          <w:sz w:val="21"/>
          <w:szCs w:val="21"/>
        </w:rPr>
        <w:t xml:space="preserve">Implication. </w:t>
      </w:r>
      <w:r>
        <w:rPr>
          <w:sz w:val="21"/>
          <w:szCs w:val="21"/>
        </w:rPr>
        <w:t xml:space="preserve">If authoring takes twice as long as quoted, revenue line 1 goes negative and line 2 never arrives, because the deal stalls in delivery. A slow editor does not just cost time; it invalidates the pricing.</w:t>
      </w:r>
    </w:p>
    <w:p>
      <w:pPr>
        <w:spacing w:after="140" w:before="0" w:line="276"/>
      </w:pPr>
      <w:r>
        <w:rPr>
          <w:b/>
          <w:bCs/>
          <w:color w:val="16233A"/>
          <w:sz w:val="21"/>
          <w:szCs w:val="21"/>
        </w:rPr>
        <w:t xml:space="preserve">Action. </w:t>
      </w:r>
      <w:r>
        <w:rPr>
          <w:sz w:val="21"/>
          <w:szCs w:val="21"/>
        </w:rPr>
        <w:t xml:space="preserve">Design it against a real reviewer, not against the schema. The open questions are worth answering with a person in the room: does the reviewer work object-by-object or clause-by-clause down the statute? Is the anchor picked from a loaded authority document, or typed? Does the language variant get authored alongside the source or in a separate translation pass? Does the reviewer ever see the gate mid-authoring, or only at the end? Each answer changes the screen substantially, and none of them can be derived from the papers.</w:t>
      </w:r>
    </w:p>
    <w:p>
      <w:pPr>
        <w:pStyle w:val="Heading2"/>
      </w:pPr>
      <w:r>
        <w:t xml:space="preserve">7.3  The repository firewall risk</w:t>
      </w:r>
    </w:p>
    <w:p>
      <w:pPr>
        <w:spacing w:after="140" w:before="0" w:line="276"/>
      </w:pPr>
      <w:r>
        <w:rPr>
          <w:color w:val="1F2430"/>
          <w:sz w:val="21"/>
          <w:szCs w:val="21"/>
        </w:rPr>
        <w:t xml:space="preserve">AUREN Paper III §10.4 binds: no companion-programme name, client name or parent brand may appear in any AUREN-facing asset. This repository's product hub, brand component and CSS carry exactly those marks. Building here was right for velocity. A shared repository is an audit failure the first time a build, a branch or a screen recording leaves the room.</w:t>
      </w:r>
    </w:p>
    <w:p>
      <w:pPr>
        <w:pBdr>
          <w:left w:val="single" w:color="6B5BB5" w:sz="18" w:space="8"/>
        </w:pBdr>
        <w:shd w:fill="F2EFFA" w:val="clear"/>
        <w:spacing w:after="180" w:before="160" w:line="276"/>
        <w:ind w:left="170" w:right="170"/>
      </w:pPr>
      <w:r>
        <w:rPr>
          <w:b/>
          <w:bCs/>
          <w:color w:val="6B5BB5"/>
          <w:sz w:val="16"/>
          <w:szCs w:val="16"/>
        </w:rPr>
        <w:t xml:space="preserve">ACTION  </w:t>
      </w:r>
      <w:r>
        <w:rPr>
          <w:i w:val="false"/>
          <w:iCs w:val="false"/>
          <w:color w:val="2A2140"/>
          <w:sz w:val="21"/>
          <w:szCs w:val="21"/>
        </w:rPr>
        <w:t xml:space="preserve">Recommended trigger, not a date: before any external share, extract the digital-human runtime into a standalone internal package and seed a clean AUREN repository from it. That extraction is three files today and a week's work once the router hardens.</w:t>
      </w:r>
    </w:p>
    <w:p>
      <w:pPr>
        <w:pStyle w:val="Heading2"/>
      </w:pPr>
      <w:r>
        <w:t xml:space="preserve">7.4  Risk matrix</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900"/>
        <w:gridCol w:w="1250"/>
        <w:gridCol w:w="1150"/>
        <w:gridCol w:w="3720"/>
      </w:tblGrid>
      <w:tr>
        <w:trPr>
          <w:tblHeader/>
        </w:trPr>
        <w:tc>
          <w:tcPr>
            <w:tcW w:type="dxa" w:w="2900"/>
            <w:shd w:fill="EDEFF4" w:val="clear"/>
            <w:tcMar>
              <w:top w:type="dxa" w:w="70"/>
              <w:left w:type="dxa" w:w="110"/>
              <w:bottom w:type="dxa" w:w="70"/>
              <w:right w:type="dxa" w:w="110"/>
            </w:tcMar>
            <w:vAlign w:val="top"/>
          </w:tcPr>
          <w:p>
            <w:pPr>
              <w:spacing w:after="0" w:line="250"/>
            </w:pPr>
            <w:r>
              <w:rPr>
                <w:b/>
                <w:bCs/>
                <w:color w:val="16233A"/>
                <w:sz w:val="18"/>
                <w:szCs w:val="18"/>
              </w:rPr>
              <w:t xml:space="preserve">Risk</w:t>
            </w:r>
          </w:p>
        </w:tc>
        <w:tc>
          <w:tcPr>
            <w:tcW w:type="dxa" w:w="1250"/>
            <w:shd w:fill="EDEFF4" w:val="clear"/>
            <w:tcMar>
              <w:top w:type="dxa" w:w="70"/>
              <w:left w:type="dxa" w:w="110"/>
              <w:bottom w:type="dxa" w:w="70"/>
              <w:right w:type="dxa" w:w="110"/>
            </w:tcMar>
            <w:vAlign w:val="top"/>
          </w:tcPr>
          <w:p>
            <w:pPr>
              <w:spacing w:after="0" w:line="250"/>
            </w:pPr>
            <w:r>
              <w:rPr>
                <w:b/>
                <w:bCs/>
                <w:color w:val="16233A"/>
                <w:sz w:val="18"/>
                <w:szCs w:val="18"/>
              </w:rPr>
              <w:t xml:space="preserve">Likelihood</w:t>
            </w:r>
          </w:p>
        </w:tc>
        <w:tc>
          <w:tcPr>
            <w:tcW w:type="dxa" w:w="1150"/>
            <w:shd w:fill="EDEFF4" w:val="clear"/>
            <w:tcMar>
              <w:top w:type="dxa" w:w="70"/>
              <w:left w:type="dxa" w:w="110"/>
              <w:bottom w:type="dxa" w:w="70"/>
              <w:right w:type="dxa" w:w="110"/>
            </w:tcMar>
            <w:vAlign w:val="top"/>
          </w:tcPr>
          <w:p>
            <w:pPr>
              <w:spacing w:after="0" w:line="250"/>
            </w:pPr>
            <w:r>
              <w:rPr>
                <w:b/>
                <w:bCs/>
                <w:color w:val="16233A"/>
                <w:sz w:val="18"/>
                <w:szCs w:val="18"/>
              </w:rPr>
              <w:t xml:space="preserve">Impact</w:t>
            </w:r>
          </w:p>
        </w:tc>
        <w:tc>
          <w:tcPr>
            <w:tcW w:type="dxa" w:w="3720"/>
            <w:shd w:fill="EDEFF4" w:val="clear"/>
            <w:tcMar>
              <w:top w:type="dxa" w:w="70"/>
              <w:left w:type="dxa" w:w="110"/>
              <w:bottom w:type="dxa" w:w="70"/>
              <w:right w:type="dxa" w:w="110"/>
            </w:tcMar>
            <w:vAlign w:val="top"/>
          </w:tcPr>
          <w:p>
            <w:pPr>
              <w:spacing w:after="0" w:line="250"/>
            </w:pPr>
            <w:r>
              <w:rPr>
                <w:b/>
                <w:bCs/>
                <w:color w:val="16233A"/>
                <w:sz w:val="18"/>
                <w:szCs w:val="18"/>
              </w:rPr>
              <w:t xml:space="preserve">Mitigation</w:t>
            </w:r>
          </w:p>
        </w:tc>
      </w:tr>
      <w:tr>
        <w:tc>
          <w:tcPr>
            <w:tcW w:type="dxa" w:w="2900"/>
            <w:shd w:fill="FFFFFF" w:val="clear"/>
            <w:tcMar>
              <w:top w:type="dxa" w:w="70"/>
              <w:left w:type="dxa" w:w="110"/>
              <w:bottom w:type="dxa" w:w="70"/>
              <w:right w:type="dxa" w:w="110"/>
            </w:tcMar>
            <w:vAlign w:val="top"/>
          </w:tcPr>
          <w:p>
            <w:pPr>
              <w:spacing w:after="0" w:line="250"/>
            </w:pPr>
            <w:r>
              <w:rPr>
                <w:color w:val="1F2430"/>
                <w:sz w:val="19"/>
                <w:szCs w:val="19"/>
              </w:rPr>
              <w:t xml:space="preserve">Spanish persona lines read as translated in Madrid</w:t>
            </w:r>
          </w:p>
        </w:tc>
        <w:tc>
          <w:tcPr>
            <w:tcW w:type="dxa" w:w="1250"/>
            <w:shd w:fill="FFFFFF" w:val="clear"/>
            <w:tcMar>
              <w:top w:type="dxa" w:w="70"/>
              <w:left w:type="dxa" w:w="110"/>
              <w:bottom w:type="dxa" w:w="70"/>
              <w:right w:type="dxa" w:w="110"/>
            </w:tcMar>
            <w:vAlign w:val="top"/>
          </w:tcPr>
          <w:p>
            <w:pPr>
              <w:spacing w:after="0" w:line="250"/>
            </w:pPr>
            <w:r>
              <w:rPr>
                <w:color w:val="8A6A1F"/>
                <w:sz w:val="19"/>
                <w:szCs w:val="19"/>
              </w:rPr>
              <w:t xml:space="preserve">Medium</w:t>
            </w:r>
          </w:p>
        </w:tc>
        <w:tc>
          <w:tcPr>
            <w:tcW w:type="dxa" w:w="1150"/>
            <w:shd w:fill="FFFFFF" w:val="clear"/>
            <w:tcMar>
              <w:top w:type="dxa" w:w="70"/>
              <w:left w:type="dxa" w:w="110"/>
              <w:bottom w:type="dxa" w:w="70"/>
              <w:right w:type="dxa" w:w="110"/>
            </w:tcMar>
            <w:vAlign w:val="top"/>
          </w:tcPr>
          <w:p>
            <w:pPr>
              <w:spacing w:after="0" w:line="250"/>
            </w:pPr>
            <w:r>
              <w:rPr>
                <w:color w:val="9B2C2C"/>
                <w:sz w:val="19"/>
                <w:szCs w:val="19"/>
              </w:rPr>
              <w:t xml:space="preserve">High</w:t>
            </w:r>
          </w:p>
        </w:tc>
        <w:tc>
          <w:tcPr>
            <w:tcW w:type="dxa" w:w="3720"/>
            <w:shd w:fill="FFFFFF" w:val="clear"/>
            <w:tcMar>
              <w:top w:type="dxa" w:w="70"/>
              <w:left w:type="dxa" w:w="110"/>
              <w:bottom w:type="dxa" w:w="70"/>
              <w:right w:type="dxa" w:w="110"/>
            </w:tcMar>
            <w:vAlign w:val="top"/>
          </w:tcPr>
          <w:p>
            <w:pPr>
              <w:spacing w:after="0" w:line="250"/>
            </w:pPr>
            <w:r>
              <w:rPr>
                <w:color w:val="1F2430"/>
                <w:sz w:val="19"/>
                <w:szCs w:val="19"/>
              </w:rPr>
              <w:t xml:space="preserve">Native review before the presentation. It is one reviewer and a few hours, and it is the host language.</w:t>
            </w:r>
          </w:p>
        </w:tc>
      </w:tr>
      <w:tr>
        <w:tc>
          <w:tcPr>
            <w:tcW w:type="dxa" w:w="2900"/>
            <w:shd w:fill="F7F8FB" w:val="clear"/>
            <w:tcMar>
              <w:top w:type="dxa" w:w="70"/>
              <w:left w:type="dxa" w:w="110"/>
              <w:bottom w:type="dxa" w:w="70"/>
              <w:right w:type="dxa" w:w="110"/>
            </w:tcMar>
            <w:vAlign w:val="top"/>
          </w:tcPr>
          <w:p>
            <w:pPr>
              <w:spacing w:after="0" w:line="250"/>
            </w:pPr>
            <w:r>
              <w:rPr>
                <w:color w:val="1F2430"/>
                <w:sz w:val="19"/>
                <w:szCs w:val="19"/>
              </w:rPr>
              <w:t xml:space="preserve">Buyer anchors value to the avatar, not the platform</w:t>
            </w:r>
          </w:p>
        </w:tc>
        <w:tc>
          <w:tcPr>
            <w:tcW w:type="dxa" w:w="1250"/>
            <w:shd w:fill="F7F8FB" w:val="clear"/>
            <w:tcMar>
              <w:top w:type="dxa" w:w="70"/>
              <w:left w:type="dxa" w:w="110"/>
              <w:bottom w:type="dxa" w:w="70"/>
              <w:right w:type="dxa" w:w="110"/>
            </w:tcMar>
            <w:vAlign w:val="top"/>
          </w:tcPr>
          <w:p>
            <w:pPr>
              <w:spacing w:after="0" w:line="250"/>
            </w:pPr>
            <w:r>
              <w:rPr>
                <w:color w:val="9B2C2C"/>
                <w:sz w:val="19"/>
                <w:szCs w:val="19"/>
              </w:rPr>
              <w:t xml:space="preserve">High</w:t>
            </w:r>
          </w:p>
        </w:tc>
        <w:tc>
          <w:tcPr>
            <w:tcW w:type="dxa" w:w="1150"/>
            <w:shd w:fill="F7F8FB" w:val="clear"/>
            <w:tcMar>
              <w:top w:type="dxa" w:w="70"/>
              <w:left w:type="dxa" w:w="110"/>
              <w:bottom w:type="dxa" w:w="70"/>
              <w:right w:type="dxa" w:w="110"/>
            </w:tcMar>
            <w:vAlign w:val="top"/>
          </w:tcPr>
          <w:p>
            <w:pPr>
              <w:spacing w:after="0" w:line="250"/>
            </w:pPr>
            <w:r>
              <w:rPr>
                <w:color w:val="9B2C2C"/>
                <w:sz w:val="19"/>
                <w:szCs w:val="19"/>
              </w:rPr>
              <w:t xml:space="preserve">High</w:t>
            </w:r>
          </w:p>
        </w:tc>
        <w:tc>
          <w:tcPr>
            <w:tcW w:type="dxa" w:w="3720"/>
            <w:shd w:fill="F7F8FB" w:val="clear"/>
            <w:tcMar>
              <w:top w:type="dxa" w:w="70"/>
              <w:left w:type="dxa" w:w="110"/>
              <w:bottom w:type="dxa" w:w="70"/>
              <w:right w:type="dxa" w:w="110"/>
            </w:tcMar>
            <w:vAlign w:val="top"/>
          </w:tcPr>
          <w:p>
            <w:pPr>
              <w:spacing w:after="0" w:line="250"/>
            </w:pPr>
            <w:r>
              <w:rPr>
                <w:color w:val="1F2430"/>
                <w:sz w:val="19"/>
                <w:szCs w:val="19"/>
              </w:rPr>
              <w:t xml:space="preserve">Lead enterprise conversations with the gate and the ledger. Demo a block, not a pass.</w:t>
            </w:r>
          </w:p>
        </w:tc>
      </w:tr>
      <w:tr>
        <w:tc>
          <w:tcPr>
            <w:tcW w:type="dxa" w:w="2900"/>
            <w:shd w:fill="FFFFFF" w:val="clear"/>
            <w:tcMar>
              <w:top w:type="dxa" w:w="70"/>
              <w:left w:type="dxa" w:w="110"/>
              <w:bottom w:type="dxa" w:w="70"/>
              <w:right w:type="dxa" w:w="110"/>
            </w:tcMar>
            <w:vAlign w:val="top"/>
          </w:tcPr>
          <w:p>
            <w:pPr>
              <w:spacing w:after="0" w:line="250"/>
            </w:pPr>
            <w:r>
              <w:rPr>
                <w:color w:val="1F2430"/>
                <w:sz w:val="19"/>
                <w:szCs w:val="19"/>
              </w:rPr>
              <w:t xml:space="preserve">Ontology build overruns the fixed fee</w:t>
            </w:r>
          </w:p>
        </w:tc>
        <w:tc>
          <w:tcPr>
            <w:tcW w:type="dxa" w:w="1250"/>
            <w:shd w:fill="FFFFFF" w:val="clear"/>
            <w:tcMar>
              <w:top w:type="dxa" w:w="70"/>
              <w:left w:type="dxa" w:w="110"/>
              <w:bottom w:type="dxa" w:w="70"/>
              <w:right w:type="dxa" w:w="110"/>
            </w:tcMar>
            <w:vAlign w:val="top"/>
          </w:tcPr>
          <w:p>
            <w:pPr>
              <w:spacing w:after="0" w:line="250"/>
            </w:pPr>
            <w:r>
              <w:rPr>
                <w:color w:val="8A6A1F"/>
                <w:sz w:val="19"/>
                <w:szCs w:val="19"/>
              </w:rPr>
              <w:t xml:space="preserve">Medium</w:t>
            </w:r>
          </w:p>
        </w:tc>
        <w:tc>
          <w:tcPr>
            <w:tcW w:type="dxa" w:w="1150"/>
            <w:shd w:fill="FFFFFF" w:val="clear"/>
            <w:tcMar>
              <w:top w:type="dxa" w:w="70"/>
              <w:left w:type="dxa" w:w="110"/>
              <w:bottom w:type="dxa" w:w="70"/>
              <w:right w:type="dxa" w:w="110"/>
            </w:tcMar>
            <w:vAlign w:val="top"/>
          </w:tcPr>
          <w:p>
            <w:pPr>
              <w:spacing w:after="0" w:line="250"/>
            </w:pPr>
            <w:r>
              <w:rPr>
                <w:color w:val="9B2C2C"/>
                <w:sz w:val="19"/>
                <w:szCs w:val="19"/>
              </w:rPr>
              <w:t xml:space="preserve">High</w:t>
            </w:r>
          </w:p>
        </w:tc>
        <w:tc>
          <w:tcPr>
            <w:tcW w:type="dxa" w:w="3720"/>
            <w:shd w:fill="FFFFFF" w:val="clear"/>
            <w:tcMar>
              <w:top w:type="dxa" w:w="70"/>
              <w:left w:type="dxa" w:w="110"/>
              <w:bottom w:type="dxa" w:w="70"/>
              <w:right w:type="dxa" w:w="110"/>
            </w:tcMar>
            <w:vAlign w:val="top"/>
          </w:tcPr>
          <w:p>
            <w:pPr>
              <w:spacing w:after="0" w:line="250"/>
            </w:pPr>
            <w:r>
              <w:rPr>
                <w:color w:val="1F2430"/>
                <w:sz w:val="19"/>
                <w:szCs w:val="19"/>
              </w:rPr>
              <w:t xml:space="preserve">Estimate Pioneer's first two offence families bottom-up before quoting. Build the editor against that measurement.</w:t>
            </w:r>
          </w:p>
        </w:tc>
      </w:tr>
      <w:tr>
        <w:tc>
          <w:tcPr>
            <w:tcW w:type="dxa" w:w="2900"/>
            <w:shd w:fill="F7F8FB" w:val="clear"/>
            <w:tcMar>
              <w:top w:type="dxa" w:w="70"/>
              <w:left w:type="dxa" w:w="110"/>
              <w:bottom w:type="dxa" w:w="70"/>
              <w:right w:type="dxa" w:w="110"/>
            </w:tcMar>
            <w:vAlign w:val="top"/>
          </w:tcPr>
          <w:p>
            <w:pPr>
              <w:spacing w:after="0" w:line="250"/>
            </w:pPr>
            <w:r>
              <w:rPr>
                <w:color w:val="1F2430"/>
                <w:sz w:val="19"/>
                <w:szCs w:val="19"/>
              </w:rPr>
              <w:t xml:space="preserve">§10.4 firewall breach via the shared repository</w:t>
            </w:r>
          </w:p>
        </w:tc>
        <w:tc>
          <w:tcPr>
            <w:tcW w:type="dxa" w:w="1250"/>
            <w:shd w:fill="F7F8FB" w:val="clear"/>
            <w:tcMar>
              <w:top w:type="dxa" w:w="70"/>
              <w:left w:type="dxa" w:w="110"/>
              <w:bottom w:type="dxa" w:w="70"/>
              <w:right w:type="dxa" w:w="110"/>
            </w:tcMar>
            <w:vAlign w:val="top"/>
          </w:tcPr>
          <w:p>
            <w:pPr>
              <w:spacing w:after="0" w:line="250"/>
            </w:pPr>
            <w:r>
              <w:rPr>
                <w:color w:val="8A6A1F"/>
                <w:sz w:val="19"/>
                <w:szCs w:val="19"/>
              </w:rPr>
              <w:t xml:space="preserve">Medium</w:t>
            </w:r>
          </w:p>
        </w:tc>
        <w:tc>
          <w:tcPr>
            <w:tcW w:type="dxa" w:w="1150"/>
            <w:shd w:fill="F7F8FB" w:val="clear"/>
            <w:tcMar>
              <w:top w:type="dxa" w:w="70"/>
              <w:left w:type="dxa" w:w="110"/>
              <w:bottom w:type="dxa" w:w="70"/>
              <w:right w:type="dxa" w:w="110"/>
            </w:tcMar>
            <w:vAlign w:val="top"/>
          </w:tcPr>
          <w:p>
            <w:pPr>
              <w:spacing w:after="0" w:line="250"/>
            </w:pPr>
            <w:r>
              <w:rPr>
                <w:color w:val="9B2C2C"/>
                <w:sz w:val="19"/>
                <w:szCs w:val="19"/>
              </w:rPr>
              <w:t xml:space="preserve">High</w:t>
            </w:r>
          </w:p>
        </w:tc>
        <w:tc>
          <w:tcPr>
            <w:tcW w:type="dxa" w:w="3720"/>
            <w:shd w:fill="F7F8FB" w:val="clear"/>
            <w:tcMar>
              <w:top w:type="dxa" w:w="70"/>
              <w:left w:type="dxa" w:w="110"/>
              <w:bottom w:type="dxa" w:w="70"/>
              <w:right w:type="dxa" w:w="110"/>
            </w:tcMar>
            <w:vAlign w:val="top"/>
          </w:tcPr>
          <w:p>
            <w:pPr>
              <w:spacing w:after="0" w:line="250"/>
            </w:pPr>
            <w:r>
              <w:rPr>
                <w:color w:val="1F2430"/>
                <w:sz w:val="19"/>
                <w:szCs w:val="19"/>
              </w:rPr>
              <w:t xml:space="preserve">Extract before any external share. Trigger-based, not date-based.</w:t>
            </w:r>
          </w:p>
        </w:tc>
      </w:tr>
      <w:tr>
        <w:tc>
          <w:tcPr>
            <w:tcW w:type="dxa" w:w="2900"/>
            <w:shd w:fill="FFFFFF" w:val="clear"/>
            <w:tcMar>
              <w:top w:type="dxa" w:w="70"/>
              <w:left w:type="dxa" w:w="110"/>
              <w:bottom w:type="dxa" w:w="70"/>
              <w:right w:type="dxa" w:w="110"/>
            </w:tcMar>
            <w:vAlign w:val="top"/>
          </w:tcPr>
          <w:p>
            <w:pPr>
              <w:spacing w:after="0" w:line="250"/>
            </w:pPr>
            <w:r>
              <w:rPr>
                <w:color w:val="1F2430"/>
                <w:sz w:val="19"/>
                <w:szCs w:val="19"/>
              </w:rPr>
              <w:t xml:space="preserve">Second vertical needs engine changes</w:t>
            </w:r>
          </w:p>
        </w:tc>
        <w:tc>
          <w:tcPr>
            <w:tcW w:type="dxa" w:w="1250"/>
            <w:shd w:fill="FFFFFF" w:val="clear"/>
            <w:tcMar>
              <w:top w:type="dxa" w:w="70"/>
              <w:left w:type="dxa" w:w="110"/>
              <w:bottom w:type="dxa" w:w="70"/>
              <w:right w:type="dxa" w:w="110"/>
            </w:tcMar>
            <w:vAlign w:val="top"/>
          </w:tcPr>
          <w:p>
            <w:pPr>
              <w:spacing w:after="0" w:line="250"/>
            </w:pPr>
            <w:r>
              <w:rPr>
                <w:color w:val="2E6B3E"/>
                <w:sz w:val="19"/>
                <w:szCs w:val="19"/>
              </w:rPr>
              <w:t xml:space="preserve">Low</w:t>
            </w:r>
          </w:p>
        </w:tc>
        <w:tc>
          <w:tcPr>
            <w:tcW w:type="dxa" w:w="1150"/>
            <w:shd w:fill="FFFFFF" w:val="clear"/>
            <w:tcMar>
              <w:top w:type="dxa" w:w="70"/>
              <w:left w:type="dxa" w:w="110"/>
              <w:bottom w:type="dxa" w:w="70"/>
              <w:right w:type="dxa" w:w="110"/>
            </w:tcMar>
            <w:vAlign w:val="top"/>
          </w:tcPr>
          <w:p>
            <w:pPr>
              <w:spacing w:after="0" w:line="250"/>
            </w:pPr>
            <w:r>
              <w:rPr>
                <w:color w:val="9B2C2C"/>
                <w:sz w:val="19"/>
                <w:szCs w:val="19"/>
              </w:rPr>
              <w:t xml:space="preserve">High</w:t>
            </w:r>
          </w:p>
        </w:tc>
        <w:tc>
          <w:tcPr>
            <w:tcW w:type="dxa" w:w="3720"/>
            <w:shd w:fill="FFFFFF" w:val="clear"/>
            <w:tcMar>
              <w:top w:type="dxa" w:w="70"/>
              <w:left w:type="dxa" w:w="110"/>
              <w:bottom w:type="dxa" w:w="70"/>
              <w:right w:type="dxa" w:w="110"/>
            </w:tcMar>
            <w:vAlign w:val="top"/>
          </w:tcPr>
          <w:p>
            <w:pPr>
              <w:spacing w:after="0" w:line="250"/>
            </w:pPr>
            <w:r>
              <w:rPr>
                <w:color w:val="1F2430"/>
                <w:sz w:val="19"/>
                <w:szCs w:val="19"/>
              </w:rPr>
              <w:t xml:space="preserve">Drive Pioneer to a green gate on data alone. This is the platform proof; run it deliberately.</w:t>
            </w:r>
          </w:p>
        </w:tc>
      </w:tr>
      <w:tr>
        <w:tc>
          <w:tcPr>
            <w:tcW w:type="dxa" w:w="2900"/>
            <w:shd w:fill="F7F8FB" w:val="clear"/>
            <w:tcMar>
              <w:top w:type="dxa" w:w="70"/>
              <w:left w:type="dxa" w:w="110"/>
              <w:bottom w:type="dxa" w:w="70"/>
              <w:right w:type="dxa" w:w="110"/>
            </w:tcMar>
            <w:vAlign w:val="top"/>
          </w:tcPr>
          <w:p>
            <w:pPr>
              <w:spacing w:after="0" w:line="250"/>
            </w:pPr>
            <w:r>
              <w:rPr>
                <w:color w:val="1F2430"/>
                <w:sz w:val="19"/>
                <w:szCs w:val="19"/>
              </w:rPr>
              <w:t xml:space="preserve">Sovereign hosting requirement not priced</w:t>
            </w:r>
          </w:p>
        </w:tc>
        <w:tc>
          <w:tcPr>
            <w:tcW w:type="dxa" w:w="1250"/>
            <w:shd w:fill="F7F8FB" w:val="clear"/>
            <w:tcMar>
              <w:top w:type="dxa" w:w="70"/>
              <w:left w:type="dxa" w:w="110"/>
              <w:bottom w:type="dxa" w:w="70"/>
              <w:right w:type="dxa" w:w="110"/>
            </w:tcMar>
            <w:vAlign w:val="top"/>
          </w:tcPr>
          <w:p>
            <w:pPr>
              <w:spacing w:after="0" w:line="250"/>
            </w:pPr>
            <w:r>
              <w:rPr>
                <w:color w:val="8A6A1F"/>
                <w:sz w:val="19"/>
                <w:szCs w:val="19"/>
              </w:rPr>
              <w:t xml:space="preserve">Medium</w:t>
            </w:r>
          </w:p>
        </w:tc>
        <w:tc>
          <w:tcPr>
            <w:tcW w:type="dxa" w:w="1150"/>
            <w:shd w:fill="F7F8FB" w:val="clear"/>
            <w:tcMar>
              <w:top w:type="dxa" w:w="70"/>
              <w:left w:type="dxa" w:w="110"/>
              <w:bottom w:type="dxa" w:w="70"/>
              <w:right w:type="dxa" w:w="110"/>
            </w:tcMar>
            <w:vAlign w:val="top"/>
          </w:tcPr>
          <w:p>
            <w:pPr>
              <w:spacing w:after="0" w:line="250"/>
            </w:pPr>
            <w:r>
              <w:rPr>
                <w:color w:val="8A6A1F"/>
                <w:sz w:val="19"/>
                <w:szCs w:val="19"/>
              </w:rPr>
              <w:t xml:space="preserve">Medium</w:t>
            </w:r>
          </w:p>
        </w:tc>
        <w:tc>
          <w:tcPr>
            <w:tcW w:type="dxa" w:w="3720"/>
            <w:shd w:fill="F7F8FB" w:val="clear"/>
            <w:tcMar>
              <w:top w:type="dxa" w:w="70"/>
              <w:left w:type="dxa" w:w="110"/>
              <w:bottom w:type="dxa" w:w="70"/>
              <w:right w:type="dxa" w:w="110"/>
            </w:tcMar>
            <w:vAlign w:val="top"/>
          </w:tcPr>
          <w:p>
            <w:pPr>
              <w:spacing w:after="0" w:line="250"/>
            </w:pPr>
            <w:r>
              <w:rPr>
                <w:color w:val="1F2430"/>
                <w:sz w:val="19"/>
                <w:szCs w:val="19"/>
              </w:rPr>
              <w:t xml:space="preserve">Assume it for Pioneer. Price it as a tier now rather than discovering it in procurement.</w:t>
            </w:r>
          </w:p>
        </w:tc>
      </w:tr>
      <w:tr>
        <w:tc>
          <w:tcPr>
            <w:tcW w:type="dxa" w:w="2900"/>
            <w:shd w:fill="FFFFFF" w:val="clear"/>
            <w:tcMar>
              <w:top w:type="dxa" w:w="70"/>
              <w:left w:type="dxa" w:w="110"/>
              <w:bottom w:type="dxa" w:w="70"/>
              <w:right w:type="dxa" w:w="110"/>
            </w:tcMar>
            <w:vAlign w:val="top"/>
          </w:tcPr>
          <w:p>
            <w:pPr>
              <w:spacing w:after="0" w:line="250"/>
            </w:pPr>
            <w:r>
              <w:rPr>
                <w:color w:val="1F2430"/>
                <w:sz w:val="19"/>
                <w:szCs w:val="19"/>
              </w:rPr>
              <w:t xml:space="preserve">Competitor promises runtime generation and undercuts</w:t>
            </w:r>
          </w:p>
        </w:tc>
        <w:tc>
          <w:tcPr>
            <w:tcW w:type="dxa" w:w="1250"/>
            <w:shd w:fill="FFFFFF" w:val="clear"/>
            <w:tcMar>
              <w:top w:type="dxa" w:w="70"/>
              <w:left w:type="dxa" w:w="110"/>
              <w:bottom w:type="dxa" w:w="70"/>
              <w:right w:type="dxa" w:w="110"/>
            </w:tcMar>
            <w:vAlign w:val="top"/>
          </w:tcPr>
          <w:p>
            <w:pPr>
              <w:spacing w:after="0" w:line="250"/>
            </w:pPr>
            <w:r>
              <w:rPr>
                <w:color w:val="9B2C2C"/>
                <w:sz w:val="19"/>
                <w:szCs w:val="19"/>
              </w:rPr>
              <w:t xml:space="preserve">High</w:t>
            </w:r>
          </w:p>
        </w:tc>
        <w:tc>
          <w:tcPr>
            <w:tcW w:type="dxa" w:w="1150"/>
            <w:shd w:fill="FFFFFF" w:val="clear"/>
            <w:tcMar>
              <w:top w:type="dxa" w:w="70"/>
              <w:left w:type="dxa" w:w="110"/>
              <w:bottom w:type="dxa" w:w="70"/>
              <w:right w:type="dxa" w:w="110"/>
            </w:tcMar>
            <w:vAlign w:val="top"/>
          </w:tcPr>
          <w:p>
            <w:pPr>
              <w:spacing w:after="0" w:line="250"/>
            </w:pPr>
            <w:r>
              <w:rPr>
                <w:color w:val="2E6B3E"/>
                <w:sz w:val="19"/>
                <w:szCs w:val="19"/>
              </w:rPr>
              <w:t xml:space="preserve">Low</w:t>
            </w:r>
          </w:p>
        </w:tc>
        <w:tc>
          <w:tcPr>
            <w:tcW w:type="dxa" w:w="3720"/>
            <w:shd w:fill="FFFFFF" w:val="clear"/>
            <w:tcMar>
              <w:top w:type="dxa" w:w="70"/>
              <w:left w:type="dxa" w:w="110"/>
              <w:bottom w:type="dxa" w:w="70"/>
              <w:right w:type="dxa" w:w="110"/>
            </w:tcMar>
            <w:vAlign w:val="top"/>
          </w:tcPr>
          <w:p>
            <w:pPr>
              <w:spacing w:after="0" w:line="250"/>
            </w:pPr>
            <w:r>
              <w:rPr>
                <w:color w:val="1F2430"/>
                <w:sz w:val="19"/>
                <w:szCs w:val="19"/>
              </w:rPr>
              <w:t xml:space="preserve">Qualify out. An account that wants ungoverned generation is not a governed-intelligence account, and chasing it costs the positioning.</w:t>
            </w:r>
          </w:p>
        </w:tc>
      </w:tr>
    </w:tbl>
    <w:p>
      <w:pPr>
        <w:pStyle w:val="Heading1"/>
        <w:pageBreakBefore/>
      </w:pPr>
      <w:r>
        <w:t xml:space="preserve">Part VIII — Decisions required</w:t>
      </w:r>
    </w:p>
    <w:p>
      <w:pPr>
        <w:spacing w:after="140" w:before="0" w:line="276"/>
      </w:pPr>
      <w:r>
        <w:rPr>
          <w:color w:val="1F2430"/>
          <w:sz w:val="21"/>
          <w:szCs w:val="21"/>
        </w:rPr>
        <w:t xml:space="preserve">Each carries a recommendation. Nothing here is blocked on a decision — the work continues either way — but each one changes what gets built next.</w:t>
      </w:r>
    </w:p>
    <w:p>
      <w:pPr>
        <w:pStyle w:val="Heading3"/>
      </w:pPr>
      <w:r>
        <w:t xml:space="preserve">Product and programme</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100"/>
        <w:gridCol w:w="2800"/>
        <w:gridCol w:w="4120"/>
      </w:tblGrid>
      <w:tr>
        <w:trPr>
          <w:tblHeader/>
        </w:trPr>
        <w:tc>
          <w:tcPr>
            <w:tcW w:type="dxa" w:w="2100"/>
            <w:shd w:fill="EDEFF4" w:val="clear"/>
            <w:tcMar>
              <w:top w:type="dxa" w:w="70"/>
              <w:left w:type="dxa" w:w="110"/>
              <w:bottom w:type="dxa" w:w="70"/>
              <w:right w:type="dxa" w:w="110"/>
            </w:tcMar>
            <w:vAlign w:val="top"/>
          </w:tcPr>
          <w:p>
            <w:pPr>
              <w:spacing w:after="0" w:line="250"/>
            </w:pPr>
            <w:r>
              <w:rPr>
                <w:b/>
                <w:bCs/>
                <w:color w:val="16233A"/>
                <w:sz w:val="18"/>
                <w:szCs w:val="18"/>
              </w:rPr>
              <w:t xml:space="preserve">Decision</w:t>
            </w:r>
          </w:p>
        </w:tc>
        <w:tc>
          <w:tcPr>
            <w:tcW w:type="dxa" w:w="2800"/>
            <w:shd w:fill="EDEFF4" w:val="clear"/>
            <w:tcMar>
              <w:top w:type="dxa" w:w="70"/>
              <w:left w:type="dxa" w:w="110"/>
              <w:bottom w:type="dxa" w:w="70"/>
              <w:right w:type="dxa" w:w="110"/>
            </w:tcMar>
            <w:vAlign w:val="top"/>
          </w:tcPr>
          <w:p>
            <w:pPr>
              <w:spacing w:after="0" w:line="250"/>
            </w:pPr>
            <w:r>
              <w:rPr>
                <w:b/>
                <w:bCs/>
                <w:color w:val="16233A"/>
                <w:sz w:val="18"/>
                <w:szCs w:val="18"/>
              </w:rPr>
              <w:t xml:space="preserve">Options</w:t>
            </w:r>
          </w:p>
        </w:tc>
        <w:tc>
          <w:tcPr>
            <w:tcW w:type="dxa" w:w="4120"/>
            <w:shd w:fill="EDEFF4" w:val="clear"/>
            <w:tcMar>
              <w:top w:type="dxa" w:w="70"/>
              <w:left w:type="dxa" w:w="110"/>
              <w:bottom w:type="dxa" w:w="70"/>
              <w:right w:type="dxa" w:w="110"/>
            </w:tcMar>
            <w:vAlign w:val="top"/>
          </w:tcPr>
          <w:p>
            <w:pPr>
              <w:spacing w:after="0" w:line="250"/>
            </w:pPr>
            <w:r>
              <w:rPr>
                <w:b/>
                <w:bCs/>
                <w:color w:val="16233A"/>
                <w:sz w:val="18"/>
                <w:szCs w:val="18"/>
              </w:rPr>
              <w:t xml:space="preserve">Recommendation</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Spanish fidelity before Madrid</w:t>
            </w:r>
          </w:p>
        </w:tc>
        <w:tc>
          <w:tcPr>
            <w:tcW w:type="dxa" w:w="2800"/>
            <w:shd w:fill="FFFFFF" w:val="clear"/>
            <w:tcMar>
              <w:top w:type="dxa" w:w="70"/>
              <w:left w:type="dxa" w:w="110"/>
              <w:bottom w:type="dxa" w:w="70"/>
              <w:right w:type="dxa" w:w="110"/>
            </w:tcMar>
            <w:vAlign w:val="top"/>
          </w:tcPr>
          <w:p>
            <w:pPr>
              <w:spacing w:after="0" w:line="250"/>
            </w:pPr>
            <w:r>
              <w:rPr>
                <w:color w:val="1F2430"/>
                <w:sz w:val="19"/>
                <w:szCs w:val="19"/>
              </w:rPr>
              <w:t xml:space="preserve">Native review now · ship at review-pending</w:t>
            </w:r>
          </w:p>
        </w:tc>
        <w:tc>
          <w:tcPr>
            <w:tcW w:type="dxa" w:w="4120"/>
            <w:shd w:fill="FFFFFF" w:val="clear"/>
            <w:tcMar>
              <w:top w:type="dxa" w:w="70"/>
              <w:left w:type="dxa" w:w="110"/>
              <w:bottom w:type="dxa" w:w="70"/>
              <w:right w:type="dxa" w:w="110"/>
            </w:tcMar>
            <w:vAlign w:val="top"/>
          </w:tcPr>
          <w:p>
            <w:pPr>
              <w:spacing w:after="0" w:line="250"/>
            </w:pPr>
            <w:r>
              <w:rPr>
                <w:b/>
                <w:bCs/>
                <w:color w:val="1F2430"/>
                <w:sz w:val="19"/>
                <w:szCs w:val="19"/>
              </w:rPr>
              <w:t xml:space="preserve">Review now. It is the host language and the persona lines have to sound like a real salesperson, or the authentic-pressure doctrine reads as translation.</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Repository firewall</w:t>
            </w:r>
          </w:p>
        </w:tc>
        <w:tc>
          <w:tcPr>
            <w:tcW w:type="dxa" w:w="2800"/>
            <w:shd w:fill="F7F8FB" w:val="clear"/>
            <w:tcMar>
              <w:top w:type="dxa" w:w="70"/>
              <w:left w:type="dxa" w:w="110"/>
              <w:bottom w:type="dxa" w:w="70"/>
              <w:right w:type="dxa" w:w="110"/>
            </w:tcMar>
            <w:vAlign w:val="top"/>
          </w:tcPr>
          <w:p>
            <w:pPr>
              <w:spacing w:after="0" w:line="250"/>
            </w:pPr>
            <w:r>
              <w:rPr>
                <w:color w:val="1F2430"/>
                <w:sz w:val="19"/>
                <w:szCs w:val="19"/>
              </w:rPr>
              <w:t xml:space="preserve">Extract now · extract before external share · leave</w:t>
            </w:r>
          </w:p>
        </w:tc>
        <w:tc>
          <w:tcPr>
            <w:tcW w:type="dxa" w:w="4120"/>
            <w:shd w:fill="F7F8FB" w:val="clear"/>
            <w:tcMar>
              <w:top w:type="dxa" w:w="70"/>
              <w:left w:type="dxa" w:w="110"/>
              <w:bottom w:type="dxa" w:w="70"/>
              <w:right w:type="dxa" w:w="110"/>
            </w:tcMar>
            <w:vAlign w:val="top"/>
          </w:tcPr>
          <w:p>
            <w:pPr>
              <w:spacing w:after="0" w:line="250"/>
            </w:pPr>
            <w:r>
              <w:rPr>
                <w:b/>
                <w:bCs/>
                <w:color w:val="1F2430"/>
                <w:sz w:val="19"/>
                <w:szCs w:val="19"/>
              </w:rPr>
              <w:t xml:space="preserve">Extract before any external share. Trigger-based. Three files today.</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Mode selector</w:t>
            </w:r>
          </w:p>
        </w:tc>
        <w:tc>
          <w:tcPr>
            <w:tcW w:type="dxa" w:w="2800"/>
            <w:shd w:fill="FFFFFF" w:val="clear"/>
            <w:tcMar>
              <w:top w:type="dxa" w:w="70"/>
              <w:left w:type="dxa" w:w="110"/>
              <w:bottom w:type="dxa" w:w="70"/>
              <w:right w:type="dxa" w:w="110"/>
            </w:tcMar>
            <w:vAlign w:val="top"/>
          </w:tcPr>
          <w:p>
            <w:pPr>
              <w:spacing w:after="0" w:line="250"/>
            </w:pPr>
            <w:r>
              <w:rPr>
                <w:color w:val="1F2430"/>
                <w:sz w:val="19"/>
                <w:szCs w:val="19"/>
              </w:rPr>
              <w:t xml:space="preserve">Defer to post-loop (as built) · restore at Stage 1</w:t>
            </w:r>
          </w:p>
        </w:tc>
        <w:tc>
          <w:tcPr>
            <w:tcW w:type="dxa" w:w="4120"/>
            <w:shd w:fill="FFFFFF" w:val="clear"/>
            <w:tcMar>
              <w:top w:type="dxa" w:w="70"/>
              <w:left w:type="dxa" w:w="110"/>
              <w:bottom w:type="dxa" w:w="70"/>
              <w:right w:type="dxa" w:w="110"/>
            </w:tcMar>
            <w:vAlign w:val="top"/>
          </w:tcPr>
          <w:p>
            <w:pPr>
              <w:spacing w:after="0" w:line="250"/>
            </w:pPr>
            <w:r>
              <w:rPr>
                <w:b/>
                <w:bCs/>
                <w:color w:val="1F2430"/>
                <w:sz w:val="19"/>
                <w:szCs w:val="19"/>
              </w:rPr>
              <w:t xml:space="preserve">Defer, as built. Keep the consent act unmistakably visible so the governance signal survives.</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Failed retest</w:t>
            </w:r>
          </w:p>
        </w:tc>
        <w:tc>
          <w:tcPr>
            <w:tcW w:type="dxa" w:w="2800"/>
            <w:shd w:fill="F7F8FB" w:val="clear"/>
            <w:tcMar>
              <w:top w:type="dxa" w:w="70"/>
              <w:left w:type="dxa" w:w="110"/>
              <w:bottom w:type="dxa" w:w="70"/>
              <w:right w:type="dxa" w:w="110"/>
            </w:tcMar>
            <w:vAlign w:val="top"/>
          </w:tcPr>
          <w:p>
            <w:pPr>
              <w:spacing w:after="0" w:line="250"/>
            </w:pPr>
            <w:r>
              <w:rPr>
                <w:color w:val="1F2430"/>
                <w:sz w:val="19"/>
                <w:szCs w:val="19"/>
              </w:rPr>
              <w:t xml:space="preserve">Carry honestly (as built) · re-coach to a pass</w:t>
            </w:r>
          </w:p>
        </w:tc>
        <w:tc>
          <w:tcPr>
            <w:tcW w:type="dxa" w:w="4120"/>
            <w:shd w:fill="F7F8FB" w:val="clear"/>
            <w:tcMar>
              <w:top w:type="dxa" w:w="70"/>
              <w:left w:type="dxa" w:w="110"/>
              <w:bottom w:type="dxa" w:w="70"/>
              <w:right w:type="dxa" w:w="110"/>
            </w:tcMar>
            <w:vAlign w:val="top"/>
          </w:tcPr>
          <w:p>
            <w:pPr>
              <w:spacing w:after="0" w:line="250"/>
            </w:pPr>
            <w:r>
              <w:rPr>
                <w:b/>
                <w:bCs/>
                <w:color w:val="1F2430"/>
                <w:sz w:val="19"/>
                <w:szCs w:val="19"/>
              </w:rPr>
              <w:t xml:space="preserve">Carry honestly. This is where the measurement restraint either is or is not true.</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Element budget</w:t>
            </w:r>
          </w:p>
        </w:tc>
        <w:tc>
          <w:tcPr>
            <w:tcW w:type="dxa" w:w="2800"/>
            <w:shd w:fill="FFFFFF" w:val="clear"/>
            <w:tcMar>
              <w:top w:type="dxa" w:w="70"/>
              <w:left w:type="dxa" w:w="110"/>
              <w:bottom w:type="dxa" w:w="70"/>
              <w:right w:type="dxa" w:w="110"/>
            </w:tcMar>
            <w:vAlign w:val="top"/>
          </w:tcPr>
          <w:p>
            <w:pPr>
              <w:spacing w:after="0" w:line="250"/>
            </w:pPr>
            <w:r>
              <w:rPr>
                <w:color w:val="1F2430"/>
                <w:sz w:val="19"/>
                <w:szCs w:val="19"/>
              </w:rPr>
              <w:t xml:space="preserve">4 per session (as built) · 8</w:t>
            </w:r>
          </w:p>
        </w:tc>
        <w:tc>
          <w:tcPr>
            <w:tcW w:type="dxa" w:w="4120"/>
            <w:shd w:fill="FFFFFF" w:val="clear"/>
            <w:tcMar>
              <w:top w:type="dxa" w:w="70"/>
              <w:left w:type="dxa" w:w="110"/>
              <w:bottom w:type="dxa" w:w="70"/>
              <w:right w:type="dxa" w:w="110"/>
            </w:tcMar>
            <w:vAlign w:val="top"/>
          </w:tcPr>
          <w:p>
            <w:pPr>
              <w:spacing w:after="0" w:line="250"/>
            </w:pPr>
            <w:r>
              <w:rPr>
                <w:b/>
                <w:bCs/>
                <w:color w:val="1F2430"/>
                <w:sz w:val="19"/>
                <w:szCs w:val="19"/>
              </w:rPr>
              <w:t xml:space="preserve">Four. A fuller matrix nobody finished is worth less than a complete loop they repeat.</w:t>
            </w:r>
          </w:p>
        </w:tc>
      </w:tr>
    </w:tbl>
    <w:p>
      <w:pPr>
        <w:pStyle w:val="Heading3"/>
      </w:pPr>
      <w:r>
        <w:t xml:space="preserve">Platform</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100"/>
        <w:gridCol w:w="2800"/>
        <w:gridCol w:w="4120"/>
      </w:tblGrid>
      <w:tr>
        <w:trPr>
          <w:tblHeader/>
        </w:trPr>
        <w:tc>
          <w:tcPr>
            <w:tcW w:type="dxa" w:w="2100"/>
            <w:shd w:fill="EDEFF4" w:val="clear"/>
            <w:tcMar>
              <w:top w:type="dxa" w:w="70"/>
              <w:left w:type="dxa" w:w="110"/>
              <w:bottom w:type="dxa" w:w="70"/>
              <w:right w:type="dxa" w:w="110"/>
            </w:tcMar>
            <w:vAlign w:val="top"/>
          </w:tcPr>
          <w:p>
            <w:pPr>
              <w:spacing w:after="0" w:line="250"/>
            </w:pPr>
            <w:r>
              <w:rPr>
                <w:b/>
                <w:bCs/>
                <w:color w:val="16233A"/>
                <w:sz w:val="18"/>
                <w:szCs w:val="18"/>
              </w:rPr>
              <w:t xml:space="preserve">Decision</w:t>
            </w:r>
          </w:p>
        </w:tc>
        <w:tc>
          <w:tcPr>
            <w:tcW w:type="dxa" w:w="2800"/>
            <w:shd w:fill="EDEFF4" w:val="clear"/>
            <w:tcMar>
              <w:top w:type="dxa" w:w="70"/>
              <w:left w:type="dxa" w:w="110"/>
              <w:bottom w:type="dxa" w:w="70"/>
              <w:right w:type="dxa" w:w="110"/>
            </w:tcMar>
            <w:vAlign w:val="top"/>
          </w:tcPr>
          <w:p>
            <w:pPr>
              <w:spacing w:after="0" w:line="250"/>
            </w:pPr>
            <w:r>
              <w:rPr>
                <w:b/>
                <w:bCs/>
                <w:color w:val="16233A"/>
                <w:sz w:val="18"/>
                <w:szCs w:val="18"/>
              </w:rPr>
              <w:t xml:space="preserve">Options</w:t>
            </w:r>
          </w:p>
        </w:tc>
        <w:tc>
          <w:tcPr>
            <w:tcW w:type="dxa" w:w="4120"/>
            <w:shd w:fill="EDEFF4" w:val="clear"/>
            <w:tcMar>
              <w:top w:type="dxa" w:w="70"/>
              <w:left w:type="dxa" w:w="110"/>
              <w:bottom w:type="dxa" w:w="70"/>
              <w:right w:type="dxa" w:w="110"/>
            </w:tcMar>
            <w:vAlign w:val="top"/>
          </w:tcPr>
          <w:p>
            <w:pPr>
              <w:spacing w:after="0" w:line="250"/>
            </w:pPr>
            <w:r>
              <w:rPr>
                <w:b/>
                <w:bCs/>
                <w:color w:val="16233A"/>
                <w:sz w:val="18"/>
                <w:szCs w:val="18"/>
              </w:rPr>
              <w:t xml:space="preserve">Recommendation</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Who authors the ontology</w:t>
            </w:r>
          </w:p>
        </w:tc>
        <w:tc>
          <w:tcPr>
            <w:tcW w:type="dxa" w:w="2800"/>
            <w:shd w:fill="FFFFFF" w:val="clear"/>
            <w:tcMar>
              <w:top w:type="dxa" w:w="70"/>
              <w:left w:type="dxa" w:w="110"/>
              <w:bottom w:type="dxa" w:w="70"/>
              <w:right w:type="dxa" w:w="110"/>
            </w:tcMar>
            <w:vAlign w:val="top"/>
          </w:tcPr>
          <w:p>
            <w:pPr>
              <w:spacing w:after="0" w:line="250"/>
            </w:pPr>
            <w:r>
              <w:rPr>
                <w:color w:val="1F2430"/>
                <w:sz w:val="19"/>
                <w:szCs w:val="19"/>
              </w:rPr>
              <w:t xml:space="preserve">BYOND · the client · jointly</w:t>
            </w:r>
          </w:p>
        </w:tc>
        <w:tc>
          <w:tcPr>
            <w:tcW w:type="dxa" w:w="4120"/>
            <w:shd w:fill="FFFFFF" w:val="clear"/>
            <w:tcMar>
              <w:top w:type="dxa" w:w="70"/>
              <w:left w:type="dxa" w:w="110"/>
              <w:bottom w:type="dxa" w:w="70"/>
              <w:right w:type="dxa" w:w="110"/>
            </w:tcMar>
            <w:vAlign w:val="top"/>
          </w:tcPr>
          <w:p>
            <w:pPr>
              <w:spacing w:after="0" w:line="250"/>
            </w:pPr>
            <w:r>
              <w:rPr>
                <w:b/>
                <w:bCs/>
                <w:color w:val="1F2430"/>
                <w:sz w:val="19"/>
                <w:szCs w:val="19"/>
              </w:rPr>
              <w:t xml:space="preserve">Jointly, with the client's counsel holding the pen on anchors. BYOND authoring client content means BYOND owns the liability, and that is not a business to be in.</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Which vertical is second</w:t>
            </w:r>
          </w:p>
        </w:tc>
        <w:tc>
          <w:tcPr>
            <w:tcW w:type="dxa" w:w="2800"/>
            <w:shd w:fill="F7F8FB" w:val="clear"/>
            <w:tcMar>
              <w:top w:type="dxa" w:w="70"/>
              <w:left w:type="dxa" w:w="110"/>
              <w:bottom w:type="dxa" w:w="70"/>
              <w:right w:type="dxa" w:w="110"/>
            </w:tcMar>
            <w:vAlign w:val="top"/>
          </w:tcPr>
          <w:p>
            <w:pPr>
              <w:spacing w:after="0" w:line="250"/>
            </w:pPr>
            <w:r>
              <w:rPr>
                <w:color w:val="1F2430"/>
                <w:sz w:val="19"/>
                <w:szCs w:val="19"/>
              </w:rPr>
              <w:t xml:space="preserve">Pioneer · Beauty</w:t>
            </w:r>
          </w:p>
        </w:tc>
        <w:tc>
          <w:tcPr>
            <w:tcW w:type="dxa" w:w="4120"/>
            <w:shd w:fill="F7F8FB" w:val="clear"/>
            <w:tcMar>
              <w:top w:type="dxa" w:w="70"/>
              <w:left w:type="dxa" w:w="110"/>
              <w:bottom w:type="dxa" w:w="70"/>
              <w:right w:type="dxa" w:w="110"/>
            </w:tcMar>
            <w:vAlign w:val="top"/>
          </w:tcPr>
          <w:p>
            <w:pPr>
              <w:spacing w:after="0" w:line="250"/>
            </w:pPr>
            <w:r>
              <w:rPr>
                <w:b/>
                <w:bCs/>
                <w:color w:val="1F2430"/>
                <w:sz w:val="19"/>
                <w:szCs w:val="19"/>
              </w:rPr>
              <w:t xml:space="preserve">Pioneer. Hardest governance, therefore the strongest proof, and the reference that makes every subsequent public-sector conversation easier.</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Is PDRM sovereign-hosted</w:t>
            </w:r>
          </w:p>
        </w:tc>
        <w:tc>
          <w:tcPr>
            <w:tcW w:type="dxa" w:w="2800"/>
            <w:shd w:fill="FFFFFF" w:val="clear"/>
            <w:tcMar>
              <w:top w:type="dxa" w:w="70"/>
              <w:left w:type="dxa" w:w="110"/>
              <w:bottom w:type="dxa" w:w="70"/>
              <w:right w:type="dxa" w:w="110"/>
            </w:tcMar>
            <w:vAlign w:val="top"/>
          </w:tcPr>
          <w:p>
            <w:pPr>
              <w:spacing w:after="0" w:line="250"/>
            </w:pPr>
            <w:r>
              <w:rPr>
                <w:color w:val="1F2430"/>
                <w:sz w:val="19"/>
                <w:szCs w:val="19"/>
              </w:rPr>
              <w:t xml:space="preserve">Assume yes · wait and see</w:t>
            </w:r>
          </w:p>
        </w:tc>
        <w:tc>
          <w:tcPr>
            <w:tcW w:type="dxa" w:w="4120"/>
            <w:shd w:fill="FFFFFF" w:val="clear"/>
            <w:tcMar>
              <w:top w:type="dxa" w:w="70"/>
              <w:left w:type="dxa" w:w="110"/>
              <w:bottom w:type="dxa" w:w="70"/>
              <w:right w:type="dxa" w:w="110"/>
            </w:tcMar>
            <w:vAlign w:val="top"/>
          </w:tcPr>
          <w:p>
            <w:pPr>
              <w:spacing w:after="0" w:line="250"/>
            </w:pPr>
            <w:r>
              <w:rPr>
                <w:b/>
                <w:bCs/>
                <w:color w:val="1F2430"/>
                <w:sz w:val="19"/>
                <w:szCs w:val="19"/>
              </w:rPr>
              <w:t xml:space="preserve">Assume yes and price it now. Discovering it in procurement costs the deal timeline.</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Is ontology build a separate service line</w:t>
            </w:r>
          </w:p>
        </w:tc>
        <w:tc>
          <w:tcPr>
            <w:tcW w:type="dxa" w:w="2800"/>
            <w:shd w:fill="F7F8FB" w:val="clear"/>
            <w:tcMar>
              <w:top w:type="dxa" w:w="70"/>
              <w:left w:type="dxa" w:w="110"/>
              <w:bottom w:type="dxa" w:w="70"/>
              <w:right w:type="dxa" w:w="110"/>
            </w:tcMar>
            <w:vAlign w:val="top"/>
          </w:tcPr>
          <w:p>
            <w:pPr>
              <w:spacing w:after="0" w:line="250"/>
            </w:pPr>
            <w:r>
              <w:rPr>
                <w:color w:val="1F2430"/>
                <w:sz w:val="19"/>
                <w:szCs w:val="19"/>
              </w:rPr>
              <w:t xml:space="preserve">Yes · absorbed into the licence</w:t>
            </w:r>
          </w:p>
        </w:tc>
        <w:tc>
          <w:tcPr>
            <w:tcW w:type="dxa" w:w="4120"/>
            <w:shd w:fill="F7F8FB" w:val="clear"/>
            <w:tcMar>
              <w:top w:type="dxa" w:w="70"/>
              <w:left w:type="dxa" w:w="110"/>
              <w:bottom w:type="dxa" w:w="70"/>
              <w:right w:type="dxa" w:w="110"/>
            </w:tcMar>
            <w:vAlign w:val="top"/>
          </w:tcPr>
          <w:p>
            <w:pPr>
              <w:spacing w:after="0" w:line="250"/>
            </w:pPr>
            <w:r>
              <w:rPr>
                <w:b/>
                <w:bCs/>
                <w:color w:val="1F2430"/>
                <w:sz w:val="19"/>
                <w:szCs w:val="19"/>
              </w:rPr>
              <w:t xml:space="preserve">Separate and charged. Absorbing it teaches the client that the expensive part is free.</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Are the hard gates contractual across all verticals</w:t>
            </w:r>
          </w:p>
        </w:tc>
        <w:tc>
          <w:tcPr>
            <w:tcW w:type="dxa" w:w="2800"/>
            <w:shd w:fill="FFFFFF" w:val="clear"/>
            <w:tcMar>
              <w:top w:type="dxa" w:w="70"/>
              <w:left w:type="dxa" w:w="110"/>
              <w:bottom w:type="dxa" w:w="70"/>
              <w:right w:type="dxa" w:w="110"/>
            </w:tcMar>
            <w:vAlign w:val="top"/>
          </w:tcPr>
          <w:p>
            <w:pPr>
              <w:spacing w:after="0" w:line="250"/>
            </w:pPr>
            <w:r>
              <w:rPr>
                <w:color w:val="1F2430"/>
                <w:sz w:val="19"/>
                <w:szCs w:val="19"/>
              </w:rPr>
              <w:t xml:space="preserve">Yes · Beauty only, as its paper states</w:t>
            </w:r>
          </w:p>
        </w:tc>
        <w:tc>
          <w:tcPr>
            <w:tcW w:type="dxa" w:w="4120"/>
            <w:shd w:fill="FFFFFF" w:val="clear"/>
            <w:tcMar>
              <w:top w:type="dxa" w:w="70"/>
              <w:left w:type="dxa" w:w="110"/>
              <w:bottom w:type="dxa" w:w="70"/>
              <w:right w:type="dxa" w:w="110"/>
            </w:tcMar>
            <w:vAlign w:val="top"/>
          </w:tcPr>
          <w:p>
            <w:pPr>
              <w:spacing w:after="0" w:line="250"/>
            </w:pPr>
            <w:r>
              <w:rPr>
                <w:b/>
                <w:bCs/>
                <w:color w:val="1F2430"/>
                <w:sz w:val="19"/>
                <w:szCs w:val="19"/>
              </w:rPr>
              <w:t xml:space="preserve">All verticals. It is the strongest differentiator available and it costs nothing to commit to something the code already enforces.</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Records ownership</w:t>
            </w:r>
          </w:p>
        </w:tc>
        <w:tc>
          <w:tcPr>
            <w:tcW w:type="dxa" w:w="2800"/>
            <w:shd w:fill="F7F8FB" w:val="clear"/>
            <w:tcMar>
              <w:top w:type="dxa" w:w="70"/>
              <w:left w:type="dxa" w:w="110"/>
              <w:bottom w:type="dxa" w:w="70"/>
              <w:right w:type="dxa" w:w="110"/>
            </w:tcMar>
            <w:vAlign w:val="top"/>
          </w:tcPr>
          <w:p>
            <w:pPr>
              <w:spacing w:after="0" w:line="250"/>
            </w:pPr>
            <w:r>
              <w:rPr>
                <w:color w:val="1F2430"/>
                <w:sz w:val="19"/>
                <w:szCs w:val="19"/>
              </w:rPr>
              <w:t xml:space="preserve">Client owns · BYOND owns · shared</w:t>
            </w:r>
          </w:p>
        </w:tc>
        <w:tc>
          <w:tcPr>
            <w:tcW w:type="dxa" w:w="4120"/>
            <w:shd w:fill="F7F8FB" w:val="clear"/>
            <w:tcMar>
              <w:top w:type="dxa" w:w="70"/>
              <w:left w:type="dxa" w:w="110"/>
              <w:bottom w:type="dxa" w:w="70"/>
              <w:right w:type="dxa" w:w="110"/>
            </w:tcMar>
            <w:vAlign w:val="top"/>
          </w:tcPr>
          <w:p>
            <w:pPr>
              <w:spacing w:after="0" w:line="250"/>
            </w:pPr>
            <w:r>
              <w:rPr>
                <w:b/>
                <w:bCs/>
                <w:color w:val="1F2430"/>
                <w:sz w:val="19"/>
                <w:szCs w:val="19"/>
              </w:rPr>
              <w:t xml:space="preserve">Adopt Beauty's position everywhere: the client owns the records, BYOND owns the platform and the method. It is the position that survives a sovereign engagement.</w:t>
            </w:r>
          </w:p>
        </w:tc>
      </w:tr>
    </w:tbl>
    <w:p>
      <w:pPr>
        <w:pStyle w:val="Heading3"/>
      </w:pPr>
      <w:r>
        <w:t xml:space="preserve">Build order</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100"/>
        <w:gridCol w:w="2800"/>
        <w:gridCol w:w="4120"/>
      </w:tblGrid>
      <w:tr>
        <w:trPr>
          <w:tblHeader/>
        </w:trPr>
        <w:tc>
          <w:tcPr>
            <w:tcW w:type="dxa" w:w="2100"/>
            <w:shd w:fill="EDEFF4" w:val="clear"/>
            <w:tcMar>
              <w:top w:type="dxa" w:w="70"/>
              <w:left w:type="dxa" w:w="110"/>
              <w:bottom w:type="dxa" w:w="70"/>
              <w:right w:type="dxa" w:w="110"/>
            </w:tcMar>
            <w:vAlign w:val="top"/>
          </w:tcPr>
          <w:p>
            <w:pPr>
              <w:spacing w:after="0" w:line="250"/>
            </w:pPr>
            <w:r>
              <w:rPr>
                <w:b/>
                <w:bCs/>
                <w:color w:val="16233A"/>
                <w:sz w:val="18"/>
                <w:szCs w:val="18"/>
              </w:rPr>
              <w:t xml:space="preserve">Decision</w:t>
            </w:r>
          </w:p>
        </w:tc>
        <w:tc>
          <w:tcPr>
            <w:tcW w:type="dxa" w:w="2800"/>
            <w:shd w:fill="EDEFF4" w:val="clear"/>
            <w:tcMar>
              <w:top w:type="dxa" w:w="70"/>
              <w:left w:type="dxa" w:w="110"/>
              <w:bottom w:type="dxa" w:w="70"/>
              <w:right w:type="dxa" w:w="110"/>
            </w:tcMar>
            <w:vAlign w:val="top"/>
          </w:tcPr>
          <w:p>
            <w:pPr>
              <w:spacing w:after="0" w:line="250"/>
            </w:pPr>
            <w:r>
              <w:rPr>
                <w:b/>
                <w:bCs/>
                <w:color w:val="16233A"/>
                <w:sz w:val="18"/>
                <w:szCs w:val="18"/>
              </w:rPr>
              <w:t xml:space="preserve">Options</w:t>
            </w:r>
          </w:p>
        </w:tc>
        <w:tc>
          <w:tcPr>
            <w:tcW w:type="dxa" w:w="4120"/>
            <w:shd w:fill="EDEFF4" w:val="clear"/>
            <w:tcMar>
              <w:top w:type="dxa" w:w="70"/>
              <w:left w:type="dxa" w:w="110"/>
              <w:bottom w:type="dxa" w:w="70"/>
              <w:right w:type="dxa" w:w="110"/>
            </w:tcMar>
            <w:vAlign w:val="top"/>
          </w:tcPr>
          <w:p>
            <w:pPr>
              <w:spacing w:after="0" w:line="250"/>
            </w:pPr>
            <w:r>
              <w:rPr>
                <w:b/>
                <w:bCs/>
                <w:color w:val="16233A"/>
                <w:sz w:val="18"/>
                <w:szCs w:val="18"/>
              </w:rPr>
              <w:t xml:space="preserve">Recommendation</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What is built next</w:t>
            </w:r>
          </w:p>
        </w:tc>
        <w:tc>
          <w:tcPr>
            <w:tcW w:type="dxa" w:w="2800"/>
            <w:shd w:fill="FFFFFF" w:val="clear"/>
            <w:tcMar>
              <w:top w:type="dxa" w:w="70"/>
              <w:left w:type="dxa" w:w="110"/>
              <w:bottom w:type="dxa" w:w="70"/>
              <w:right w:type="dxa" w:w="110"/>
            </w:tcMar>
            <w:vAlign w:val="top"/>
          </w:tcPr>
          <w:p>
            <w:pPr>
              <w:spacing w:after="0" w:line="250"/>
            </w:pPr>
            <w:r>
              <w:rPr>
                <w:color w:val="1F2430"/>
                <w:sz w:val="19"/>
                <w:szCs w:val="19"/>
              </w:rPr>
              <w:t xml:space="preserve">Object editor · ingestion · persistence and tenancy</w:t>
            </w:r>
          </w:p>
        </w:tc>
        <w:tc>
          <w:tcPr>
            <w:tcW w:type="dxa" w:w="4120"/>
            <w:shd w:fill="FFFFFF" w:val="clear"/>
            <w:tcMar>
              <w:top w:type="dxa" w:w="70"/>
              <w:left w:type="dxa" w:w="110"/>
              <w:bottom w:type="dxa" w:w="70"/>
              <w:right w:type="dxa" w:w="110"/>
            </w:tcMar>
            <w:vAlign w:val="top"/>
          </w:tcPr>
          <w:p>
            <w:pPr>
              <w:spacing w:after="0" w:line="250"/>
            </w:pPr>
            <w:r>
              <w:rPr>
                <w:b/>
                <w:bCs/>
                <w:color w:val="1F2430"/>
                <w:sz w:val="19"/>
                <w:szCs w:val="19"/>
              </w:rPr>
              <w:t xml:space="preserve">Object editor, designed with a real reviewer in the room first. It is the piece that validates the pricing assumption, and everything else can wait behind it.</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Migrate AUREN onto the unified schema</w:t>
            </w:r>
          </w:p>
        </w:tc>
        <w:tc>
          <w:tcPr>
            <w:tcW w:type="dxa" w:w="2800"/>
            <w:shd w:fill="F7F8FB" w:val="clear"/>
            <w:tcMar>
              <w:top w:type="dxa" w:w="70"/>
              <w:left w:type="dxa" w:w="110"/>
              <w:bottom w:type="dxa" w:w="70"/>
              <w:right w:type="dxa" w:w="110"/>
            </w:tcMar>
            <w:vAlign w:val="top"/>
          </w:tcPr>
          <w:p>
            <w:pPr>
              <w:spacing w:after="0" w:line="250"/>
            </w:pPr>
            <w:r>
              <w:rPr>
                <w:color w:val="1F2430"/>
                <w:sz w:val="19"/>
                <w:szCs w:val="19"/>
              </w:rPr>
              <w:t xml:space="preserve">Now · after Madrid</w:t>
            </w:r>
          </w:p>
        </w:tc>
        <w:tc>
          <w:tcPr>
            <w:tcW w:type="dxa" w:w="4120"/>
            <w:shd w:fill="F7F8FB" w:val="clear"/>
            <w:tcMar>
              <w:top w:type="dxa" w:w="70"/>
              <w:left w:type="dxa" w:w="110"/>
              <w:bottom w:type="dxa" w:w="70"/>
              <w:right w:type="dxa" w:w="110"/>
            </w:tcMar>
            <w:vAlign w:val="top"/>
          </w:tcPr>
          <w:p>
            <w:pPr>
              <w:spacing w:after="0" w:line="250"/>
            </w:pPr>
            <w:r>
              <w:rPr>
                <w:b/>
                <w:bCs/>
                <w:color w:val="1F2430"/>
                <w:sz w:val="19"/>
                <w:szCs w:val="19"/>
              </w:rPr>
              <w:t xml:space="preserve">After Madrid. The migration is mechanical and the demo is not worth risking for it.</w:t>
            </w:r>
          </w:p>
        </w:tc>
      </w:tr>
    </w:tbl>
    <w:p>
      <w:pPr>
        <w:pStyle w:val="Heading1"/>
        <w:pageBreakBefore/>
      </w:pPr>
      <w:r>
        <w:t xml:space="preserve">Part IX — 30 / 60 / 90</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1600"/>
        <w:gridCol w:w="2400"/>
        <w:gridCol w:w="5020"/>
      </w:tblGrid>
      <w:tr>
        <w:trPr>
          <w:tblHeader/>
        </w:trPr>
        <w:tc>
          <w:tcPr>
            <w:tcW w:type="dxa" w:w="1600"/>
            <w:shd w:fill="EDEFF4" w:val="clear"/>
            <w:tcMar>
              <w:top w:type="dxa" w:w="70"/>
              <w:left w:type="dxa" w:w="110"/>
              <w:bottom w:type="dxa" w:w="70"/>
              <w:right w:type="dxa" w:w="110"/>
            </w:tcMar>
            <w:vAlign w:val="top"/>
          </w:tcPr>
          <w:p>
            <w:pPr>
              <w:spacing w:after="0" w:line="250"/>
            </w:pPr>
            <w:r>
              <w:rPr>
                <w:b/>
                <w:bCs/>
                <w:color w:val="16233A"/>
                <w:sz w:val="18"/>
                <w:szCs w:val="18"/>
              </w:rPr>
              <w:t xml:space="preserve">Horizon</w:t>
            </w:r>
          </w:p>
        </w:tc>
        <w:tc>
          <w:tcPr>
            <w:tcW w:type="dxa" w:w="2400"/>
            <w:shd w:fill="EDEFF4" w:val="clear"/>
            <w:tcMar>
              <w:top w:type="dxa" w:w="70"/>
              <w:left w:type="dxa" w:w="110"/>
              <w:bottom w:type="dxa" w:w="70"/>
              <w:right w:type="dxa" w:w="110"/>
            </w:tcMar>
            <w:vAlign w:val="top"/>
          </w:tcPr>
          <w:p>
            <w:pPr>
              <w:spacing w:after="0" w:line="250"/>
            </w:pPr>
            <w:r>
              <w:rPr>
                <w:b/>
                <w:bCs/>
                <w:color w:val="16233A"/>
                <w:sz w:val="18"/>
                <w:szCs w:val="18"/>
              </w:rPr>
              <w:t xml:space="preserve">Objective</w:t>
            </w:r>
          </w:p>
        </w:tc>
        <w:tc>
          <w:tcPr>
            <w:tcW w:type="dxa" w:w="5020"/>
            <w:shd w:fill="EDEFF4" w:val="clear"/>
            <w:tcMar>
              <w:top w:type="dxa" w:w="70"/>
              <w:left w:type="dxa" w:w="110"/>
              <w:bottom w:type="dxa" w:w="70"/>
              <w:right w:type="dxa" w:w="110"/>
            </w:tcMar>
            <w:vAlign w:val="top"/>
          </w:tcPr>
          <w:p>
            <w:pPr>
              <w:spacing w:after="0" w:line="250"/>
            </w:pPr>
            <w:r>
              <w:rPr>
                <w:b/>
                <w:bCs/>
                <w:color w:val="16233A"/>
                <w:sz w:val="18"/>
                <w:szCs w:val="18"/>
              </w:rPr>
              <w:t xml:space="preserve">Work</w:t>
            </w:r>
          </w:p>
        </w:tc>
      </w:tr>
      <w:tr>
        <w:tc>
          <w:tcPr>
            <w:tcW w:type="dxa" w:w="1600"/>
            <w:shd w:fill="FFFFFF" w:val="clear"/>
            <w:tcMar>
              <w:top w:type="dxa" w:w="70"/>
              <w:left w:type="dxa" w:w="110"/>
              <w:bottom w:type="dxa" w:w="70"/>
              <w:right w:type="dxa" w:w="110"/>
            </w:tcMar>
            <w:vAlign w:val="top"/>
          </w:tcPr>
          <w:p>
            <w:pPr>
              <w:spacing w:after="0" w:line="250"/>
            </w:pPr>
            <w:r>
              <w:rPr>
                <w:b/>
                <w:bCs/>
                <w:color w:val="1F2430"/>
                <w:sz w:val="19"/>
                <w:szCs w:val="19"/>
              </w:rPr>
              <w:t xml:space="preserve">Next 30 days</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Madrid, and close the two cheap risks.</w:t>
            </w:r>
          </w:p>
        </w:tc>
        <w:tc>
          <w:tcPr>
            <w:tcW w:type="dxa" w:w="5020"/>
            <w:shd w:fill="FFFFFF" w:val="clear"/>
            <w:tcMar>
              <w:top w:type="dxa" w:w="70"/>
              <w:left w:type="dxa" w:w="110"/>
              <w:bottom w:type="dxa" w:w="70"/>
              <w:right w:type="dxa" w:w="110"/>
            </w:tcMar>
            <w:vAlign w:val="top"/>
          </w:tcPr>
          <w:p>
            <w:pPr>
              <w:spacing w:after="0" w:line="250"/>
            </w:pPr>
            <w:r>
              <w:rPr>
                <w:color w:val="1F2430"/>
                <w:sz w:val="19"/>
                <w:szCs w:val="19"/>
              </w:rPr>
              <w:t xml:space="preserve">Spanish native review and flip fidelity to passed · rehearse the four-minute console demo that leads with a block · extract the digital-human runtime into an internal package · sit with a legal reviewer and spec the object editor.</w:t>
            </w:r>
          </w:p>
        </w:tc>
      </w:tr>
      <w:tr>
        <w:tc>
          <w:tcPr>
            <w:tcW w:type="dxa" w:w="1600"/>
            <w:shd w:fill="F7F8FB" w:val="clear"/>
            <w:tcMar>
              <w:top w:type="dxa" w:w="70"/>
              <w:left w:type="dxa" w:w="110"/>
              <w:bottom w:type="dxa" w:w="70"/>
              <w:right w:type="dxa" w:w="110"/>
            </w:tcMar>
            <w:vAlign w:val="top"/>
          </w:tcPr>
          <w:p>
            <w:pPr>
              <w:spacing w:after="0" w:line="250"/>
            </w:pPr>
            <w:r>
              <w:rPr>
                <w:b/>
                <w:bCs/>
                <w:color w:val="1F2430"/>
                <w:sz w:val="19"/>
                <w:szCs w:val="19"/>
              </w:rPr>
              <w:t xml:space="preserve">Days 30–60</w:t>
            </w:r>
          </w:p>
        </w:tc>
        <w:tc>
          <w:tcPr>
            <w:tcW w:type="dxa" w:w="2400"/>
            <w:shd w:fill="F7F8FB" w:val="clear"/>
            <w:tcMar>
              <w:top w:type="dxa" w:w="70"/>
              <w:left w:type="dxa" w:w="110"/>
              <w:bottom w:type="dxa" w:w="70"/>
              <w:right w:type="dxa" w:w="110"/>
            </w:tcMar>
            <w:vAlign w:val="top"/>
          </w:tcPr>
          <w:p>
            <w:pPr>
              <w:spacing w:after="0" w:line="250"/>
            </w:pPr>
            <w:r>
              <w:rPr>
                <w:color w:val="1F2430"/>
                <w:sz w:val="19"/>
                <w:szCs w:val="19"/>
              </w:rPr>
              <w:t xml:space="preserve">Prove the platform claim rather than assert it.</w:t>
            </w:r>
          </w:p>
        </w:tc>
        <w:tc>
          <w:tcPr>
            <w:tcW w:type="dxa" w:w="5020"/>
            <w:shd w:fill="F7F8FB" w:val="clear"/>
            <w:tcMar>
              <w:top w:type="dxa" w:w="70"/>
              <w:left w:type="dxa" w:w="110"/>
              <w:bottom w:type="dxa" w:w="70"/>
              <w:right w:type="dxa" w:w="110"/>
            </w:tcMar>
            <w:vAlign w:val="top"/>
          </w:tcPr>
          <w:p>
            <w:pPr>
              <w:spacing w:after="0" w:line="250"/>
            </w:pPr>
            <w:r>
              <w:rPr>
                <w:color w:val="1F2430"/>
                <w:sz w:val="19"/>
                <w:szCs w:val="19"/>
              </w:rPr>
              <w:t xml:space="preserve">Build the object editor · drive Pioneer's first offence family to a green gate on data alone, and record whether any engine change was needed · estimate the first two offence families bottom-up and set the ontology-build fee from that measurement.</w:t>
            </w:r>
          </w:p>
        </w:tc>
      </w:tr>
      <w:tr>
        <w:tc>
          <w:tcPr>
            <w:tcW w:type="dxa" w:w="1600"/>
            <w:shd w:fill="FFFFFF" w:val="clear"/>
            <w:tcMar>
              <w:top w:type="dxa" w:w="70"/>
              <w:left w:type="dxa" w:w="110"/>
              <w:bottom w:type="dxa" w:w="70"/>
              <w:right w:type="dxa" w:w="110"/>
            </w:tcMar>
            <w:vAlign w:val="top"/>
          </w:tcPr>
          <w:p>
            <w:pPr>
              <w:spacing w:after="0" w:line="250"/>
            </w:pPr>
            <w:r>
              <w:rPr>
                <w:b/>
                <w:bCs/>
                <w:color w:val="1F2430"/>
                <w:sz w:val="19"/>
                <w:szCs w:val="19"/>
              </w:rPr>
              <w:t xml:space="preserve">Days 60–90</w:t>
            </w:r>
          </w:p>
        </w:tc>
        <w:tc>
          <w:tcPr>
            <w:tcW w:type="dxa" w:w="2400"/>
            <w:shd w:fill="FFFFFF" w:val="clear"/>
            <w:tcMar>
              <w:top w:type="dxa" w:w="70"/>
              <w:left w:type="dxa" w:w="110"/>
              <w:bottom w:type="dxa" w:w="70"/>
              <w:right w:type="dxa" w:w="110"/>
            </w:tcMar>
            <w:vAlign w:val="top"/>
          </w:tcPr>
          <w:p>
            <w:pPr>
              <w:spacing w:after="0" w:line="250"/>
            </w:pPr>
            <w:r>
              <w:rPr>
                <w:color w:val="1F2430"/>
                <w:sz w:val="19"/>
                <w:szCs w:val="19"/>
              </w:rPr>
              <w:t xml:space="preserve">Make it deliverable.</w:t>
            </w:r>
          </w:p>
        </w:tc>
        <w:tc>
          <w:tcPr>
            <w:tcW w:type="dxa" w:w="5020"/>
            <w:shd w:fill="FFFFFF" w:val="clear"/>
            <w:tcMar>
              <w:top w:type="dxa" w:w="70"/>
              <w:left w:type="dxa" w:w="110"/>
              <w:bottom w:type="dxa" w:w="70"/>
              <w:right w:type="dxa" w:w="110"/>
            </w:tcMar>
            <w:vAlign w:val="top"/>
          </w:tcPr>
          <w:p>
            <w:pPr>
              <w:spacing w:after="0" w:line="250"/>
            </w:pPr>
            <w:r>
              <w:rPr>
                <w:color w:val="1F2430"/>
                <w:sz w:val="19"/>
                <w:szCs w:val="19"/>
              </w:rPr>
              <w:t xml:space="preserve">Persistence and tenancy · sovereign deployment packaging for Pioneer, including bundle signing and export · design ingestion against a real source system · migrate AUREN onto the unified schema.</w:t>
            </w:r>
          </w:p>
        </w:tc>
      </w:tr>
    </w:tbl>
    <w:p>
      <w:pPr>
        <w:spacing w:after="120"/>
      </w:pPr>
    </w:p>
    <w:p>
      <w:pPr>
        <w:pBdr>
          <w:left w:val="single" w:color="6B5BB5" w:sz="18" w:space="8"/>
        </w:pBdr>
        <w:shd w:fill="F2EFFA" w:val="clear"/>
        <w:spacing w:after="180" w:before="160" w:line="276"/>
        <w:ind w:left="170" w:right="170"/>
      </w:pPr>
      <w:r>
        <w:rPr>
          <w:b/>
          <w:bCs/>
          <w:color w:val="6B5BB5"/>
          <w:sz w:val="16"/>
          <w:szCs w:val="16"/>
        </w:rPr>
        <w:t xml:space="preserve">RECOMMENDATION  </w:t>
      </w:r>
      <w:r>
        <w:rPr>
          <w:i w:val="false"/>
          <w:iCs w:val="false"/>
          <w:color w:val="2A2140"/>
          <w:sz w:val="21"/>
          <w:szCs w:val="21"/>
        </w:rPr>
        <w:t xml:space="preserve">The one next move: sit with a legal reviewer and design the object editor. Everything built so far proves the architecture is right. The editor is what proves the business model is.</w:t>
      </w:r>
    </w:p>
    <w:p>
      <w:pPr>
        <w:pStyle w:val="Heading1"/>
        <w:pageBreakBefore/>
      </w:pPr>
      <w:r>
        <w:t xml:space="preserve">Appendix A — Repository map</w:t>
      </w:r>
    </w:p>
    <w:p>
      <w:pPr>
        <w:spacing w:after="140" w:before="0" w:line="276"/>
      </w:pPr>
      <w:r>
        <w:rPr>
          <w:rFonts w:ascii="Consolas" w:cs="Consolas" w:eastAsia="Consolas" w:hAnsi="Consolas"/>
          <w:color w:val="44546A"/>
          <w:sz w:val="19"/>
          <w:szCs w:val="19"/>
        </w:rPr>
        <w:t xml:space="preserve">Branch: claude/ui-ux-ordering-study-e4phmm</w:t>
      </w:r>
    </w:p>
    <w:p>
      <w:pPr>
        <w:spacing w:after="60"/>
      </w:pPr>
    </w:p>
    <w:p>
      <w:pPr>
        <w:shd w:fill="F4F5F8" w:val="clear"/>
        <w:spacing w:after="60" w:before="60" w:line="240"/>
        <w:ind w:left="170"/>
      </w:pPr>
      <w:r>
        <w:rPr>
          <w:rFonts w:ascii="Consolas" w:cs="Consolas" w:eastAsia="Consolas" w:hAnsi="Consolas"/>
          <w:color w:val="27324A"/>
          <w:sz w:val="18"/>
          <w:szCs w:val="18"/>
        </w:rPr>
        <w:t xml:space="preserve">src/lib/auren/</w:t>
      </w:r>
    </w:p>
    <w:p>
      <w:pPr>
        <w:shd w:fill="F4F5F8" w:val="clear"/>
        <w:spacing w:after="60" w:before="60" w:line="240"/>
        <w:ind w:left="170"/>
      </w:pPr>
      <w:r>
        <w:rPr>
          <w:rFonts w:ascii="Consolas" w:cs="Consolas" w:eastAsia="Consolas" w:hAnsi="Consolas"/>
          <w:color w:val="27324A"/>
          <w:sz w:val="18"/>
          <w:szCs w:val="18"/>
        </w:rPr>
        <w:t xml:space="preserve">  objects.ts     The AUREN ontology as DATA. Elements, signatures, questions,</w:t>
      </w:r>
    </w:p>
    <w:p>
      <w:pPr>
        <w:shd w:fill="F4F5F8" w:val="clear"/>
        <w:spacing w:after="60" w:before="60" w:line="240"/>
        <w:ind w:left="170"/>
      </w:pPr>
      <w:r>
        <w:rPr>
          <w:rFonts w:ascii="Consolas" w:cs="Consolas" w:eastAsia="Consolas" w:hAnsi="Consolas"/>
          <w:color w:val="27324A"/>
          <w:sz w:val="18"/>
          <w:szCs w:val="18"/>
        </w:rPr>
        <w:t xml:space="preserve">                 challenges, actions, PROTECT markers, the element budget.</w:t>
      </w:r>
    </w:p>
    <w:p>
      <w:pPr>
        <w:shd w:fill="F4F5F8" w:val="clear"/>
        <w:spacing w:after="60" w:before="60" w:line="240"/>
        <w:ind w:left="170"/>
      </w:pPr>
      <w:r>
        <w:rPr>
          <w:rFonts w:ascii="Consolas" w:cs="Consolas" w:eastAsia="Consolas" w:hAnsi="Consolas"/>
          <w:color w:val="27324A"/>
          <w:sz w:val="18"/>
          <w:szCs w:val="18"/>
        </w:rPr>
        <w:t xml:space="preserve">  i18n.ts        EN · ES · ZH · AR. ~130 strings, per-language fidelity.</w:t>
      </w:r>
    </w:p>
    <w:p>
      <w:pPr>
        <w:shd w:fill="F4F5F8" w:val="clear"/>
        <w:spacing w:after="60" w:before="60" w:line="240"/>
        <w:ind w:left="170"/>
      </w:pPr>
      <w:r>
        <w:rPr>
          <w:rFonts w:ascii="Consolas" w:cs="Consolas" w:eastAsia="Consolas" w:hAnsi="Consolas"/>
          <w:color w:val="27324A"/>
          <w:sz w:val="18"/>
          <w:szCs w:val="18"/>
        </w:rPr>
        <w:t xml:space="preserve">  session.ts     Engine states, evaluation, retest selection, verdict, AILS.</w:t>
      </w:r>
    </w:p>
    <w:p>
      <w:pPr>
        <w:shd w:fill="F4F5F8" w:val="clear"/>
        <w:spacing w:after="60" w:before="60" w:line="240"/>
        <w:ind w:left="170"/>
      </w:pPr>
      <w:r>
        <w:rPr>
          <w:rFonts w:ascii="Consolas" w:cs="Consolas" w:eastAsia="Consolas" w:hAnsi="Consolas"/>
          <w:color w:val="27324A"/>
          <w:sz w:val="18"/>
          <w:szCs w:val="18"/>
        </w:rPr>
        <w:t xml:space="preserve"/>
      </w:r>
    </w:p>
    <w:p>
      <w:pPr>
        <w:shd w:fill="F4F5F8" w:val="clear"/>
        <w:spacing w:after="60" w:before="60" w:line="240"/>
        <w:ind w:left="170"/>
      </w:pPr>
      <w:r>
        <w:rPr>
          <w:rFonts w:ascii="Consolas" w:cs="Consolas" w:eastAsia="Consolas" w:hAnsi="Consolas"/>
          <w:color w:val="27324A"/>
          <w:sz w:val="18"/>
          <w:szCs w:val="18"/>
        </w:rPr>
        <w:t xml:space="preserve">src/lib/console/</w:t>
      </w:r>
    </w:p>
    <w:p>
      <w:pPr>
        <w:shd w:fill="F4F5F8" w:val="clear"/>
        <w:spacing w:after="60" w:before="60" w:line="240"/>
        <w:ind w:left="170"/>
      </w:pPr>
      <w:r>
        <w:rPr>
          <w:rFonts w:ascii="Consolas" w:cs="Consolas" w:eastAsia="Consolas" w:hAnsi="Consolas"/>
          <w:color w:val="27324A"/>
          <w:sz w:val="18"/>
          <w:szCs w:val="18"/>
        </w:rPr>
        <w:t xml:space="preserve">  schema.ts      Unified object model. The four conflict resolutions live here.</w:t>
      </w:r>
    </w:p>
    <w:p>
      <w:pPr>
        <w:shd w:fill="F4F5F8" w:val="clear"/>
        <w:spacing w:after="60" w:before="60" w:line="240"/>
        <w:ind w:left="170"/>
      </w:pPr>
      <w:r>
        <w:rPr>
          <w:rFonts w:ascii="Consolas" w:cs="Consolas" w:eastAsia="Consolas" w:hAnsi="Consolas"/>
          <w:color w:val="27324A"/>
          <w:sz w:val="18"/>
          <w:szCs w:val="18"/>
        </w:rPr>
        <w:t xml:space="preserve">  verticals.ts   The three packs: doctrine, modes, languages, markets, surfaces.</w:t>
      </w:r>
    </w:p>
    <w:p>
      <w:pPr>
        <w:shd w:fill="F4F5F8" w:val="clear"/>
        <w:spacing w:after="60" w:before="60" w:line="240"/>
        <w:ind w:left="170"/>
      </w:pPr>
      <w:r>
        <w:rPr>
          <w:rFonts w:ascii="Consolas" w:cs="Consolas" w:eastAsia="Consolas" w:hAnsi="Consolas"/>
          <w:color w:val="27324A"/>
          <w:sz w:val="18"/>
          <w:szCs w:val="18"/>
        </w:rPr>
        <w:t xml:space="preserve">  library.ts     Seeded libraries. AUREN is migrated from the RUNNING library.</w:t>
      </w:r>
    </w:p>
    <w:p>
      <w:pPr>
        <w:shd w:fill="F4F5F8" w:val="clear"/>
        <w:spacing w:after="60" w:before="60" w:line="240"/>
        <w:ind w:left="170"/>
      </w:pPr>
      <w:r>
        <w:rPr>
          <w:rFonts w:ascii="Consolas" w:cs="Consolas" w:eastAsia="Consolas" w:hAnsi="Consolas"/>
          <w:color w:val="27324A"/>
          <w:sz w:val="18"/>
          <w:szCs w:val="18"/>
        </w:rPr>
        <w:t xml:space="preserve">  gate.ts        Ten tests, seven blocking. No waive path.</w:t>
      </w:r>
    </w:p>
    <w:p>
      <w:pPr>
        <w:shd w:fill="F4F5F8" w:val="clear"/>
        <w:spacing w:after="60" w:before="60" w:line="240"/>
        <w:ind w:left="170"/>
      </w:pPr>
      <w:r>
        <w:rPr>
          <w:rFonts w:ascii="Consolas" w:cs="Consolas" w:eastAsia="Consolas" w:hAnsi="Consolas"/>
          <w:color w:val="27324A"/>
          <w:sz w:val="18"/>
          <w:szCs w:val="18"/>
        </w:rPr>
        <w:t xml:space="preserve">  release.ts     Content-addressed bundles; the ledger that carries names.</w:t>
      </w:r>
    </w:p>
    <w:p>
      <w:pPr>
        <w:shd w:fill="F4F5F8" w:val="clear"/>
        <w:spacing w:after="60" w:before="60" w:line="240"/>
        <w:ind w:left="170"/>
      </w:pPr>
      <w:r>
        <w:rPr>
          <w:rFonts w:ascii="Consolas" w:cs="Consolas" w:eastAsia="Consolas" w:hAnsi="Consolas"/>
          <w:color w:val="27324A"/>
          <w:sz w:val="18"/>
          <w:szCs w:val="18"/>
        </w:rPr>
        <w:t xml:space="preserve"/>
      </w:r>
    </w:p>
    <w:p>
      <w:pPr>
        <w:shd w:fill="F4F5F8" w:val="clear"/>
        <w:spacing w:after="60" w:before="60" w:line="240"/>
        <w:ind w:left="170"/>
      </w:pPr>
      <w:r>
        <w:rPr>
          <w:rFonts w:ascii="Consolas" w:cs="Consolas" w:eastAsia="Consolas" w:hAnsi="Consolas"/>
          <w:color w:val="27324A"/>
          <w:sz w:val="18"/>
          <w:szCs w:val="18"/>
        </w:rPr>
        <w:t xml:space="preserve">src/components/auren/       The learner runtime.</w:t>
      </w:r>
    </w:p>
    <w:p>
      <w:pPr>
        <w:shd w:fill="F4F5F8" w:val="clear"/>
        <w:spacing w:after="60" w:before="60" w:line="240"/>
        <w:ind w:left="170"/>
      </w:pPr>
      <w:r>
        <w:rPr>
          <w:rFonts w:ascii="Consolas" w:cs="Consolas" w:eastAsia="Consolas" w:hAnsi="Consolas"/>
          <w:color w:val="27324A"/>
          <w:sz w:val="18"/>
          <w:szCs w:val="18"/>
        </w:rPr>
        <w:t xml:space="preserve">src/components/console/     Sign-in, workspace switch, library, gate, ledger.</w:t>
      </w:r>
    </w:p>
    <w:p>
      <w:pPr>
        <w:shd w:fill="F4F5F8" w:val="clear"/>
        <w:spacing w:after="60" w:before="60" w:line="240"/>
        <w:ind w:left="170"/>
      </w:pPr>
      <w:r>
        <w:rPr>
          <w:rFonts w:ascii="Consolas" w:cs="Consolas" w:eastAsia="Consolas" w:hAnsi="Consolas"/>
          <w:color w:val="27324A"/>
          <w:sz w:val="18"/>
          <w:szCs w:val="18"/>
        </w:rPr>
        <w:t xml:space="preserve"/>
      </w:r>
    </w:p>
    <w:p>
      <w:pPr>
        <w:shd w:fill="F4F5F8" w:val="clear"/>
        <w:spacing w:after="60" w:before="60" w:line="240"/>
        <w:ind w:left="170"/>
      </w:pPr>
      <w:r>
        <w:rPr>
          <w:rFonts w:ascii="Consolas" w:cs="Consolas" w:eastAsia="Consolas" w:hAnsi="Consolas"/>
          <w:color w:val="27324A"/>
          <w:sz w:val="18"/>
          <w:szCs w:val="18"/>
        </w:rPr>
        <w:t xml:space="preserve">public/prototypes/</w:t>
      </w:r>
    </w:p>
    <w:p>
      <w:pPr>
        <w:shd w:fill="F4F5F8" w:val="clear"/>
        <w:spacing w:after="60" w:before="60" w:line="240"/>
        <w:ind w:left="170"/>
      </w:pPr>
      <w:r>
        <w:rPr>
          <w:rFonts w:ascii="Consolas" w:cs="Consolas" w:eastAsia="Consolas" w:hAnsi="Consolas"/>
          <w:color w:val="27324A"/>
          <w:sz w:val="18"/>
          <w:szCs w:val="18"/>
        </w:rPr>
        <w:t xml:space="preserve">  auren-rehearsal.html       Self-contained learner loop, four languages.</w:t>
      </w:r>
    </w:p>
    <w:p>
      <w:pPr>
        <w:shd w:fill="F4F5F8" w:val="clear"/>
        <w:spacing w:after="60" w:before="60" w:line="240"/>
        <w:ind w:left="170"/>
      </w:pPr>
      <w:r>
        <w:rPr>
          <w:rFonts w:ascii="Consolas" w:cs="Consolas" w:eastAsia="Consolas" w:hAnsi="Consolas"/>
          <w:color w:val="27324A"/>
          <w:sz w:val="18"/>
          <w:szCs w:val="18"/>
        </w:rPr>
        <w:t xml:space="preserve">  knowledge-authority.html   Self-contained console, real libraries.</w:t>
      </w:r>
    </w:p>
    <w:p>
      <w:pPr>
        <w:shd w:fill="F4F5F8" w:val="clear"/>
        <w:spacing w:after="60" w:before="60" w:line="240"/>
        <w:ind w:left="170"/>
      </w:pPr>
      <w:r>
        <w:rPr>
          <w:rFonts w:ascii="Consolas" w:cs="Consolas" w:eastAsia="Consolas" w:hAnsi="Consolas"/>
          <w:color w:val="27324A"/>
          <w:sz w:val="18"/>
          <w:szCs w:val="18"/>
        </w:rPr>
        <w:t xml:space="preserve"/>
      </w:r>
    </w:p>
    <w:p>
      <w:pPr>
        <w:shd w:fill="F4F5F8" w:val="clear"/>
        <w:spacing w:after="60" w:before="60" w:line="240"/>
        <w:ind w:left="170"/>
      </w:pPr>
      <w:r>
        <w:rPr>
          <w:rFonts w:ascii="Consolas" w:cs="Consolas" w:eastAsia="Consolas" w:hAnsi="Consolas"/>
          <w:color w:val="27324A"/>
          <w:sz w:val="18"/>
          <w:szCs w:val="18"/>
        </w:rPr>
        <w:t xml:space="preserve">scripts/</w:t>
      </w:r>
    </w:p>
    <w:p>
      <w:pPr>
        <w:shd w:fill="F4F5F8" w:val="clear"/>
        <w:spacing w:after="60" w:before="60" w:line="240"/>
        <w:ind w:left="170"/>
      </w:pPr>
      <w:r>
        <w:rPr>
          <w:rFonts w:ascii="Consolas" w:cs="Consolas" w:eastAsia="Consolas" w:hAnsi="Consolas"/>
          <w:color w:val="27324A"/>
          <w:sz w:val="18"/>
          <w:szCs w:val="18"/>
        </w:rPr>
        <w:t xml:space="preserve">  build-prototype-locale.mjs   npm run locale</w:t>
      </w:r>
    </w:p>
    <w:p>
      <w:pPr>
        <w:shd w:fill="F4F5F8" w:val="clear"/>
        <w:spacing w:after="60" w:before="60" w:line="240"/>
        <w:ind w:left="170"/>
      </w:pPr>
      <w:r>
        <w:rPr>
          <w:rFonts w:ascii="Consolas" w:cs="Consolas" w:eastAsia="Consolas" w:hAnsi="Consolas"/>
          <w:color w:val="27324A"/>
          <w:sz w:val="18"/>
          <w:szCs w:val="18"/>
        </w:rPr>
        <w:t xml:space="preserve">  build-console-prototype.mjs  npm run console</w:t>
      </w:r>
    </w:p>
    <w:p>
      <w:pPr>
        <w:shd w:fill="F4F5F8" w:val="clear"/>
        <w:spacing w:after="60" w:before="60" w:line="240"/>
        <w:ind w:left="170"/>
      </w:pPr>
      <w:r>
        <w:rPr>
          <w:rFonts w:ascii="Consolas" w:cs="Consolas" w:eastAsia="Consolas" w:hAnsi="Consolas"/>
          <w:color w:val="27324A"/>
          <w:sz w:val="18"/>
          <w:szCs w:val="18"/>
        </w:rPr>
        <w:t xml:space="preserve"/>
      </w:r>
    </w:p>
    <w:p>
      <w:pPr>
        <w:shd w:fill="F4F5F8" w:val="clear"/>
        <w:spacing w:after="60" w:before="60" w:line="240"/>
        <w:ind w:left="170"/>
      </w:pPr>
      <w:r>
        <w:rPr>
          <w:rFonts w:ascii="Consolas" w:cs="Consolas" w:eastAsia="Consolas" w:hAnsi="Consolas"/>
          <w:color w:val="27324A"/>
          <w:sz w:val="18"/>
          <w:szCs w:val="18"/>
        </w:rPr>
        <w:t xml:space="preserve">docs/</w:t>
      </w:r>
    </w:p>
    <w:p>
      <w:pPr>
        <w:shd w:fill="F4F5F8" w:val="clear"/>
        <w:spacing w:after="60" w:before="60" w:line="240"/>
        <w:ind w:left="170"/>
      </w:pPr>
      <w:r>
        <w:rPr>
          <w:rFonts w:ascii="Consolas" w:cs="Consolas" w:eastAsia="Consolas" w:hAnsi="Consolas"/>
          <w:color w:val="27324A"/>
          <w:sz w:val="18"/>
          <w:szCs w:val="18"/>
        </w:rPr>
        <w:t xml:space="preserve">  AUREN-ORDERING.md         The ordering study and the invariants.</w:t>
      </w:r>
    </w:p>
    <w:p>
      <w:pPr>
        <w:shd w:fill="F4F5F8" w:val="clear"/>
        <w:spacing w:after="60" w:before="60" w:line="240"/>
        <w:ind w:left="170"/>
      </w:pPr>
      <w:r>
        <w:rPr>
          <w:rFonts w:ascii="Consolas" w:cs="Consolas" w:eastAsia="Consolas" w:hAnsi="Consolas"/>
          <w:color w:val="27324A"/>
          <w:sz w:val="18"/>
          <w:szCs w:val="18"/>
        </w:rPr>
        <w:t xml:space="preserve">  KNOWLEDGE-AUTHORITY.md    The console, the gate, the backend shape.</w:t>
      </w:r>
    </w:p>
    <w:p>
      <w:pPr>
        <w:pStyle w:val="Heading1"/>
        <w:pageBreakBefore/>
      </w:pPr>
      <w:r>
        <w:t xml:space="preserve">Appendix B — The ten gate tests in full</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400"/>
        <w:gridCol w:w="1550"/>
        <w:gridCol w:w="1000"/>
        <w:gridCol w:w="2300"/>
        <w:gridCol w:w="3770"/>
      </w:tblGrid>
      <w:tr>
        <w:trPr>
          <w:tblHeader/>
        </w:trPr>
        <w:tc>
          <w:tcPr>
            <w:tcW w:type="dxa" w:w="400"/>
            <w:shd w:fill="EDEFF4" w:val="clear"/>
            <w:tcMar>
              <w:top w:type="dxa" w:w="70"/>
              <w:left w:type="dxa" w:w="110"/>
              <w:bottom w:type="dxa" w:w="70"/>
              <w:right w:type="dxa" w:w="110"/>
            </w:tcMar>
            <w:vAlign w:val="top"/>
          </w:tcPr>
          <w:p>
            <w:pPr>
              <w:spacing w:after="0" w:line="250"/>
            </w:pPr>
            <w:r>
              <w:rPr>
                <w:b/>
                <w:bCs/>
                <w:color w:val="16233A"/>
                <w:sz w:val="18"/>
                <w:szCs w:val="18"/>
              </w:rPr>
              <w:t xml:space="preserve">#</w:t>
            </w:r>
          </w:p>
        </w:tc>
        <w:tc>
          <w:tcPr>
            <w:tcW w:type="dxa" w:w="1550"/>
            <w:shd w:fill="EDEFF4" w:val="clear"/>
            <w:tcMar>
              <w:top w:type="dxa" w:w="70"/>
              <w:left w:type="dxa" w:w="110"/>
              <w:bottom w:type="dxa" w:w="70"/>
              <w:right w:type="dxa" w:w="110"/>
            </w:tcMar>
            <w:vAlign w:val="top"/>
          </w:tcPr>
          <w:p>
            <w:pPr>
              <w:spacing w:after="0" w:line="250"/>
            </w:pPr>
            <w:r>
              <w:rPr>
                <w:b/>
                <w:bCs/>
                <w:color w:val="16233A"/>
                <w:sz w:val="18"/>
                <w:szCs w:val="18"/>
              </w:rPr>
              <w:t xml:space="preserve">Test</w:t>
            </w:r>
          </w:p>
        </w:tc>
        <w:tc>
          <w:tcPr>
            <w:tcW w:type="dxa" w:w="1000"/>
            <w:shd w:fill="EDEFF4" w:val="clear"/>
            <w:tcMar>
              <w:top w:type="dxa" w:w="70"/>
              <w:left w:type="dxa" w:w="110"/>
              <w:bottom w:type="dxa" w:w="70"/>
              <w:right w:type="dxa" w:w="110"/>
            </w:tcMar>
            <w:vAlign w:val="top"/>
          </w:tcPr>
          <w:p>
            <w:pPr>
              <w:spacing w:after="0" w:line="250"/>
            </w:pPr>
            <w:r>
              <w:rPr>
                <w:b/>
                <w:bCs/>
                <w:color w:val="16233A"/>
                <w:sz w:val="18"/>
                <w:szCs w:val="18"/>
              </w:rPr>
              <w:t xml:space="preserve">Severity</w:t>
            </w:r>
          </w:p>
        </w:tc>
        <w:tc>
          <w:tcPr>
            <w:tcW w:type="dxa" w:w="2300"/>
            <w:shd w:fill="EDEFF4" w:val="clear"/>
            <w:tcMar>
              <w:top w:type="dxa" w:w="70"/>
              <w:left w:type="dxa" w:w="110"/>
              <w:bottom w:type="dxa" w:w="70"/>
              <w:right w:type="dxa" w:w="110"/>
            </w:tcMar>
            <w:vAlign w:val="top"/>
          </w:tcPr>
          <w:p>
            <w:pPr>
              <w:spacing w:after="0" w:line="250"/>
            </w:pPr>
            <w:r>
              <w:rPr>
                <w:b/>
                <w:bCs/>
                <w:color w:val="16233A"/>
                <w:sz w:val="18"/>
                <w:szCs w:val="18"/>
              </w:rPr>
              <w:t xml:space="preserve">What it examines</w:t>
            </w:r>
          </w:p>
        </w:tc>
        <w:tc>
          <w:tcPr>
            <w:tcW w:type="dxa" w:w="3770"/>
            <w:shd w:fill="EDEFF4" w:val="clear"/>
            <w:tcMar>
              <w:top w:type="dxa" w:w="70"/>
              <w:left w:type="dxa" w:w="110"/>
              <w:bottom w:type="dxa" w:w="70"/>
              <w:right w:type="dxa" w:w="110"/>
            </w:tcMar>
            <w:vAlign w:val="top"/>
          </w:tcPr>
          <w:p>
            <w:pPr>
              <w:spacing w:after="0" w:line="250"/>
            </w:pPr>
            <w:r>
              <w:rPr>
                <w:b/>
                <w:bCs/>
                <w:color w:val="16233A"/>
                <w:sz w:val="18"/>
                <w:szCs w:val="18"/>
              </w:rPr>
              <w:t xml:space="preserve">Failure looks like</w:t>
            </w:r>
          </w:p>
        </w:tc>
      </w:tr>
      <w:tr>
        <w:tc>
          <w:tcPr>
            <w:tcW w:type="dxa" w:w="400"/>
            <w:shd w:fill="FFFFFF" w:val="clear"/>
            <w:tcMar>
              <w:top w:type="dxa" w:w="70"/>
              <w:left w:type="dxa" w:w="110"/>
              <w:bottom w:type="dxa" w:w="70"/>
              <w:right w:type="dxa" w:w="110"/>
            </w:tcMar>
            <w:vAlign w:val="top"/>
          </w:tcPr>
          <w:p>
            <w:pPr>
              <w:spacing w:after="0" w:line="250"/>
            </w:pPr>
            <w:r>
              <w:rPr>
                <w:color w:val="1F2430"/>
                <w:sz w:val="19"/>
                <w:szCs w:val="19"/>
              </w:rPr>
              <w:t xml:space="preserve">0</w:t>
            </w:r>
          </w:p>
        </w:tc>
        <w:tc>
          <w:tcPr>
            <w:tcW w:type="dxa" w:w="1550"/>
            <w:shd w:fill="FFFFFF" w:val="clear"/>
            <w:tcMar>
              <w:top w:type="dxa" w:w="70"/>
              <w:left w:type="dxa" w:w="110"/>
              <w:bottom w:type="dxa" w:w="70"/>
              <w:right w:type="dxa" w:w="110"/>
            </w:tcMar>
            <w:vAlign w:val="top"/>
          </w:tcPr>
          <w:p>
            <w:pPr>
              <w:spacing w:after="0" w:line="250"/>
            </w:pPr>
            <w:r>
              <w:rPr>
                <w:color w:val="1F2430"/>
                <w:sz w:val="19"/>
                <w:szCs w:val="19"/>
              </w:rPr>
              <w:t xml:space="preserve">Candidate set</w:t>
            </w:r>
          </w:p>
        </w:tc>
        <w:tc>
          <w:tcPr>
            <w:tcW w:type="dxa" w:w="1000"/>
            <w:shd w:fill="FFFFFF" w:val="clear"/>
            <w:tcMar>
              <w:top w:type="dxa" w:w="70"/>
              <w:left w:type="dxa" w:w="110"/>
              <w:bottom w:type="dxa" w:w="70"/>
              <w:right w:type="dxa" w:w="110"/>
            </w:tcMar>
            <w:vAlign w:val="top"/>
          </w:tcPr>
          <w:p>
            <w:pPr>
              <w:spacing w:after="0" w:line="250"/>
            </w:pPr>
            <w:r>
              <w:rPr>
                <w:b/>
                <w:bCs/>
                <w:color w:val="9B2C2C"/>
                <w:sz w:val="19"/>
                <w:szCs w:val="19"/>
              </w:rPr>
              <w:t xml:space="preserve">hard</w:t>
            </w:r>
          </w:p>
        </w:tc>
        <w:tc>
          <w:tcPr>
            <w:tcW w:type="dxa" w:w="2300"/>
            <w:shd w:fill="FFFFFF" w:val="clear"/>
            <w:tcMar>
              <w:top w:type="dxa" w:w="70"/>
              <w:left w:type="dxa" w:w="110"/>
              <w:bottom w:type="dxa" w:w="70"/>
              <w:right w:type="dxa" w:w="110"/>
            </w:tcMar>
            <w:vAlign w:val="top"/>
          </w:tcPr>
          <w:p>
            <w:pPr>
              <w:spacing w:after="0" w:line="250"/>
            </w:pPr>
            <w:r>
              <w:rPr>
                <w:color w:val="1F2430"/>
                <w:sz w:val="19"/>
                <w:szCs w:val="19"/>
              </w:rPr>
              <w:t xml:space="preserve">The whole library.</w:t>
            </w:r>
          </w:p>
        </w:tc>
        <w:tc>
          <w:tcPr>
            <w:tcW w:type="dxa" w:w="3770"/>
            <w:shd w:fill="FFFFFF" w:val="clear"/>
            <w:tcMar>
              <w:top w:type="dxa" w:w="70"/>
              <w:left w:type="dxa" w:w="110"/>
              <w:bottom w:type="dxa" w:w="70"/>
              <w:right w:type="dxa" w:w="110"/>
            </w:tcMar>
            <w:vAlign w:val="top"/>
          </w:tcPr>
          <w:p>
            <w:pPr>
              <w:spacing w:after="0" w:line="250"/>
            </w:pPr>
            <w:r>
              <w:rPr>
                <w:color w:val="1F2430"/>
                <w:sz w:val="19"/>
                <w:szCs w:val="19"/>
              </w:rPr>
              <w:t xml:space="preserve">“14 objects authored, none EFFECTIVE. Nothing would be released, and every test below is unassessed rather than passing.”</w:t>
            </w:r>
          </w:p>
        </w:tc>
      </w:tr>
      <w:tr>
        <w:tc>
          <w:tcPr>
            <w:tcW w:type="dxa" w:w="400"/>
            <w:shd w:fill="F7F8FB" w:val="clear"/>
            <w:tcMar>
              <w:top w:type="dxa" w:w="70"/>
              <w:left w:type="dxa" w:w="110"/>
              <w:bottom w:type="dxa" w:w="70"/>
              <w:right w:type="dxa" w:w="110"/>
            </w:tcMar>
            <w:vAlign w:val="top"/>
          </w:tcPr>
          <w:p>
            <w:pPr>
              <w:spacing w:after="0" w:line="250"/>
            </w:pPr>
            <w:r>
              <w:rPr>
                <w:color w:val="1F2430"/>
                <w:sz w:val="19"/>
                <w:szCs w:val="19"/>
              </w:rPr>
              <w:t xml:space="preserve">1</w:t>
            </w:r>
          </w:p>
        </w:tc>
        <w:tc>
          <w:tcPr>
            <w:tcW w:type="dxa" w:w="1550"/>
            <w:shd w:fill="F7F8FB" w:val="clear"/>
            <w:tcMar>
              <w:top w:type="dxa" w:w="70"/>
              <w:left w:type="dxa" w:w="110"/>
              <w:bottom w:type="dxa" w:w="70"/>
              <w:right w:type="dxa" w:w="110"/>
            </w:tcMar>
            <w:vAlign w:val="top"/>
          </w:tcPr>
          <w:p>
            <w:pPr>
              <w:spacing w:after="0" w:line="250"/>
            </w:pPr>
            <w:r>
              <w:rPr>
                <w:color w:val="1F2430"/>
                <w:sz w:val="19"/>
                <w:szCs w:val="19"/>
              </w:rPr>
              <w:t xml:space="preserve">Coverage</w:t>
            </w:r>
          </w:p>
        </w:tc>
        <w:tc>
          <w:tcPr>
            <w:tcW w:type="dxa" w:w="1000"/>
            <w:shd w:fill="F7F8FB" w:val="clear"/>
            <w:tcMar>
              <w:top w:type="dxa" w:w="70"/>
              <w:left w:type="dxa" w:w="110"/>
              <w:bottom w:type="dxa" w:w="70"/>
              <w:right w:type="dxa" w:w="110"/>
            </w:tcMar>
            <w:vAlign w:val="top"/>
          </w:tcPr>
          <w:p>
            <w:pPr>
              <w:spacing w:after="0" w:line="250"/>
            </w:pPr>
            <w:r>
              <w:rPr>
                <w:b/>
                <w:bCs/>
                <w:color w:val="9B2C2C"/>
                <w:sz w:val="19"/>
                <w:szCs w:val="19"/>
              </w:rPr>
              <w:t xml:space="preserve">hard</w:t>
            </w:r>
          </w:p>
        </w:tc>
        <w:tc>
          <w:tcPr>
            <w:tcW w:type="dxa" w:w="2300"/>
            <w:shd w:fill="F7F8FB" w:val="clear"/>
            <w:tcMar>
              <w:top w:type="dxa" w:w="70"/>
              <w:left w:type="dxa" w:w="110"/>
              <w:bottom w:type="dxa" w:w="70"/>
              <w:right w:type="dxa" w:w="110"/>
            </w:tcMar>
            <w:vAlign w:val="top"/>
          </w:tcPr>
          <w:p>
            <w:pPr>
              <w:spacing w:after="0" w:line="250"/>
            </w:pPr>
            <w:r>
              <w:rPr>
                <w:color w:val="1F2430"/>
                <w:sz w:val="19"/>
                <w:szCs w:val="19"/>
              </w:rPr>
              <w:t xml:space="preserve">Every mandatory, capturable element against the question set.</w:t>
            </w:r>
          </w:p>
        </w:tc>
        <w:tc>
          <w:tcPr>
            <w:tcW w:type="dxa" w:w="3770"/>
            <w:shd w:fill="F7F8FB" w:val="clear"/>
            <w:tcMar>
              <w:top w:type="dxa" w:w="70"/>
              <w:left w:type="dxa" w:w="110"/>
              <w:bottom w:type="dxa" w:w="70"/>
              <w:right w:type="dxa" w:w="110"/>
            </w:tcMar>
            <w:vAlign w:val="top"/>
          </w:tcPr>
          <w:p>
            <w:pPr>
              <w:spacing w:after="0" w:line="250"/>
            </w:pPr>
            <w:r>
              <w:rPr>
                <w:color w:val="1F2430"/>
                <w:sz w:val="19"/>
                <w:szCs w:val="19"/>
              </w:rPr>
              <w:t xml:space="preserve">“E-URG-01 Resists urgency — mandatory and capturable, but no question targets it. It can never be resolved in a session.”</w:t>
            </w:r>
          </w:p>
        </w:tc>
      </w:tr>
      <w:tr>
        <w:tc>
          <w:tcPr>
            <w:tcW w:type="dxa" w:w="400"/>
            <w:shd w:fill="FFFFFF" w:val="clear"/>
            <w:tcMar>
              <w:top w:type="dxa" w:w="70"/>
              <w:left w:type="dxa" w:w="110"/>
              <w:bottom w:type="dxa" w:w="70"/>
              <w:right w:type="dxa" w:w="110"/>
            </w:tcMar>
            <w:vAlign w:val="top"/>
          </w:tcPr>
          <w:p>
            <w:pPr>
              <w:spacing w:after="0" w:line="250"/>
            </w:pPr>
            <w:r>
              <w:rPr>
                <w:color w:val="1F2430"/>
                <w:sz w:val="19"/>
                <w:szCs w:val="19"/>
              </w:rPr>
              <w:t xml:space="preserve">2</w:t>
            </w:r>
          </w:p>
        </w:tc>
        <w:tc>
          <w:tcPr>
            <w:tcW w:type="dxa" w:w="1550"/>
            <w:shd w:fill="FFFFFF" w:val="clear"/>
            <w:tcMar>
              <w:top w:type="dxa" w:w="70"/>
              <w:left w:type="dxa" w:w="110"/>
              <w:bottom w:type="dxa" w:w="70"/>
              <w:right w:type="dxa" w:w="110"/>
            </w:tcMar>
            <w:vAlign w:val="top"/>
          </w:tcPr>
          <w:p>
            <w:pPr>
              <w:spacing w:after="0" w:line="250"/>
            </w:pPr>
            <w:r>
              <w:rPr>
                <w:color w:val="1F2430"/>
                <w:sz w:val="19"/>
                <w:szCs w:val="19"/>
              </w:rPr>
              <w:t xml:space="preserve">Anchor integrity</w:t>
            </w:r>
          </w:p>
        </w:tc>
        <w:tc>
          <w:tcPr>
            <w:tcW w:type="dxa" w:w="1000"/>
            <w:shd w:fill="FFFFFF" w:val="clear"/>
            <w:tcMar>
              <w:top w:type="dxa" w:w="70"/>
              <w:left w:type="dxa" w:w="110"/>
              <w:bottom w:type="dxa" w:w="70"/>
              <w:right w:type="dxa" w:w="110"/>
            </w:tcMar>
            <w:vAlign w:val="top"/>
          </w:tcPr>
          <w:p>
            <w:pPr>
              <w:spacing w:after="0" w:line="250"/>
            </w:pPr>
            <w:r>
              <w:rPr>
                <w:b/>
                <w:bCs/>
                <w:color w:val="9B2C2C"/>
                <w:sz w:val="19"/>
                <w:szCs w:val="19"/>
              </w:rPr>
              <w:t xml:space="preserve">hard</w:t>
            </w:r>
          </w:p>
        </w:tc>
        <w:tc>
          <w:tcPr>
            <w:tcW w:type="dxa" w:w="2300"/>
            <w:shd w:fill="FFFFFF" w:val="clear"/>
            <w:tcMar>
              <w:top w:type="dxa" w:w="70"/>
              <w:left w:type="dxa" w:w="110"/>
              <w:bottom w:type="dxa" w:w="70"/>
              <w:right w:type="dxa" w:w="110"/>
            </w:tcMar>
            <w:vAlign w:val="top"/>
          </w:tcPr>
          <w:p>
            <w:pPr>
              <w:spacing w:after="0" w:line="250"/>
            </w:pPr>
            <w:r>
              <w:rPr>
                <w:color w:val="1F2430"/>
                <w:sz w:val="19"/>
                <w:szCs w:val="19"/>
              </w:rPr>
              <w:t xml:space="preserve">Every element's authority anchor.</w:t>
            </w:r>
          </w:p>
        </w:tc>
        <w:tc>
          <w:tcPr>
            <w:tcW w:type="dxa" w:w="3770"/>
            <w:shd w:fill="FFFFFF" w:val="clear"/>
            <w:tcMar>
              <w:top w:type="dxa" w:w="70"/>
              <w:left w:type="dxa" w:w="110"/>
              <w:bottom w:type="dxa" w:w="70"/>
              <w:right w:type="dxa" w:w="110"/>
            </w:tcMar>
            <w:vAlign w:val="top"/>
          </w:tcPr>
          <w:p>
            <w:pPr>
              <w:spacing w:after="0" w:line="250"/>
            </w:pPr>
            <w:r>
              <w:rPr>
                <w:color w:val="1F2430"/>
                <w:sz w:val="19"/>
                <w:szCs w:val="19"/>
              </w:rPr>
              <w:t xml:space="preserve">“E-XXX-01 has no authority anchor. No anchor, no deployment.”</w:t>
            </w:r>
          </w:p>
        </w:tc>
      </w:tr>
      <w:tr>
        <w:tc>
          <w:tcPr>
            <w:tcW w:type="dxa" w:w="400"/>
            <w:shd w:fill="F7F8FB" w:val="clear"/>
            <w:tcMar>
              <w:top w:type="dxa" w:w="70"/>
              <w:left w:type="dxa" w:w="110"/>
              <w:bottom w:type="dxa" w:w="70"/>
              <w:right w:type="dxa" w:w="110"/>
            </w:tcMar>
            <w:vAlign w:val="top"/>
          </w:tcPr>
          <w:p>
            <w:pPr>
              <w:spacing w:after="0" w:line="250"/>
            </w:pPr>
            <w:r>
              <w:rPr>
                <w:color w:val="1F2430"/>
                <w:sz w:val="19"/>
                <w:szCs w:val="19"/>
              </w:rPr>
              <w:t xml:space="preserve">3</w:t>
            </w:r>
          </w:p>
        </w:tc>
        <w:tc>
          <w:tcPr>
            <w:tcW w:type="dxa" w:w="1550"/>
            <w:shd w:fill="F7F8FB" w:val="clear"/>
            <w:tcMar>
              <w:top w:type="dxa" w:w="70"/>
              <w:left w:type="dxa" w:w="110"/>
              <w:bottom w:type="dxa" w:w="70"/>
              <w:right w:type="dxa" w:w="110"/>
            </w:tcMar>
            <w:vAlign w:val="top"/>
          </w:tcPr>
          <w:p>
            <w:pPr>
              <w:spacing w:after="0" w:line="250"/>
            </w:pPr>
            <w:r>
              <w:rPr>
                <w:color w:val="1F2430"/>
                <w:sz w:val="19"/>
                <w:szCs w:val="19"/>
              </w:rPr>
              <w:t xml:space="preserve">Prohibited formulation</w:t>
            </w:r>
          </w:p>
        </w:tc>
        <w:tc>
          <w:tcPr>
            <w:tcW w:type="dxa" w:w="1000"/>
            <w:shd w:fill="F7F8FB" w:val="clear"/>
            <w:tcMar>
              <w:top w:type="dxa" w:w="70"/>
              <w:left w:type="dxa" w:w="110"/>
              <w:bottom w:type="dxa" w:w="70"/>
              <w:right w:type="dxa" w:w="110"/>
            </w:tcMar>
            <w:vAlign w:val="top"/>
          </w:tcPr>
          <w:p>
            <w:pPr>
              <w:spacing w:after="0" w:line="250"/>
            </w:pPr>
            <w:r>
              <w:rPr>
                <w:b/>
                <w:bCs/>
                <w:color w:val="9B2C2C"/>
                <w:sz w:val="19"/>
                <w:szCs w:val="19"/>
              </w:rPr>
              <w:t xml:space="preserve">hard</w:t>
            </w:r>
          </w:p>
        </w:tc>
        <w:tc>
          <w:tcPr>
            <w:tcW w:type="dxa" w:w="2300"/>
            <w:shd w:fill="F7F8FB" w:val="clear"/>
            <w:tcMar>
              <w:top w:type="dxa" w:w="70"/>
              <w:left w:type="dxa" w:w="110"/>
              <w:bottom w:type="dxa" w:w="70"/>
              <w:right w:type="dxa" w:w="110"/>
            </w:tcMar>
            <w:vAlign w:val="top"/>
          </w:tcPr>
          <w:p>
            <w:pPr>
              <w:spacing w:after="0" w:line="250"/>
            </w:pPr>
            <w:r>
              <w:rPr>
                <w:color w:val="1F2430"/>
                <w:sz w:val="19"/>
                <w:szCs w:val="19"/>
              </w:rPr>
              <w:t xml:space="preserve">Leading risk, ladder ceilings, forbidden phrasings across all variants.</w:t>
            </w:r>
          </w:p>
        </w:tc>
        <w:tc>
          <w:tcPr>
            <w:tcW w:type="dxa" w:w="3770"/>
            <w:shd w:fill="F7F8FB" w:val="clear"/>
            <w:tcMar>
              <w:top w:type="dxa" w:w="70"/>
              <w:left w:type="dxa" w:w="110"/>
              <w:bottom w:type="dxa" w:w="70"/>
              <w:right w:type="dxa" w:w="110"/>
            </w:tcMar>
            <w:vAlign w:val="top"/>
          </w:tcPr>
          <w:p>
            <w:pPr>
              <w:spacing w:after="0" w:line="250"/>
            </w:pPr>
            <w:r>
              <w:rPr>
                <w:color w:val="1F2430"/>
                <w:sz w:val="19"/>
                <w:szCs w:val="19"/>
              </w:rPr>
              <w:t xml:space="preserve">“Q-XXX-002 carries medium leading risk with no written rationale.” · “Ladder step 4 exceeds the approved ceiling of 3.”</w:t>
            </w:r>
          </w:p>
        </w:tc>
      </w:tr>
      <w:tr>
        <w:tc>
          <w:tcPr>
            <w:tcW w:type="dxa" w:w="400"/>
            <w:shd w:fill="FFFFFF" w:val="clear"/>
            <w:tcMar>
              <w:top w:type="dxa" w:w="70"/>
              <w:left w:type="dxa" w:w="110"/>
              <w:bottom w:type="dxa" w:w="70"/>
              <w:right w:type="dxa" w:w="110"/>
            </w:tcMar>
            <w:vAlign w:val="top"/>
          </w:tcPr>
          <w:p>
            <w:pPr>
              <w:spacing w:after="0" w:line="250"/>
            </w:pPr>
            <w:r>
              <w:rPr>
                <w:color w:val="1F2430"/>
                <w:sz w:val="19"/>
                <w:szCs w:val="19"/>
              </w:rPr>
              <w:t xml:space="preserve">4</w:t>
            </w:r>
          </w:p>
        </w:tc>
        <w:tc>
          <w:tcPr>
            <w:tcW w:type="dxa" w:w="1550"/>
            <w:shd w:fill="FFFFFF" w:val="clear"/>
            <w:tcMar>
              <w:top w:type="dxa" w:w="70"/>
              <w:left w:type="dxa" w:w="110"/>
              <w:bottom w:type="dxa" w:w="70"/>
              <w:right w:type="dxa" w:w="110"/>
            </w:tcMar>
            <w:vAlign w:val="top"/>
          </w:tcPr>
          <w:p>
            <w:pPr>
              <w:spacing w:after="0" w:line="250"/>
            </w:pPr>
            <w:r>
              <w:rPr>
                <w:color w:val="1F2430"/>
                <w:sz w:val="19"/>
                <w:szCs w:val="19"/>
              </w:rPr>
              <w:t xml:space="preserve">Scope integrity</w:t>
            </w:r>
          </w:p>
        </w:tc>
        <w:tc>
          <w:tcPr>
            <w:tcW w:type="dxa" w:w="1000"/>
            <w:shd w:fill="FFFFFF" w:val="clear"/>
            <w:tcMar>
              <w:top w:type="dxa" w:w="70"/>
              <w:left w:type="dxa" w:w="110"/>
              <w:bottom w:type="dxa" w:w="70"/>
              <w:right w:type="dxa" w:w="110"/>
            </w:tcMar>
            <w:vAlign w:val="top"/>
          </w:tcPr>
          <w:p>
            <w:pPr>
              <w:spacing w:after="0" w:line="250"/>
            </w:pPr>
            <w:r>
              <w:rPr>
                <w:b/>
                <w:bCs/>
                <w:color w:val="9B2C2C"/>
                <w:sz w:val="19"/>
                <w:szCs w:val="19"/>
              </w:rPr>
              <w:t xml:space="preserve">hard</w:t>
            </w:r>
          </w:p>
        </w:tc>
        <w:tc>
          <w:tcPr>
            <w:tcW w:type="dxa" w:w="2300"/>
            <w:shd w:fill="FFFFFF" w:val="clear"/>
            <w:tcMar>
              <w:top w:type="dxa" w:w="70"/>
              <w:left w:type="dxa" w:w="110"/>
              <w:bottom w:type="dxa" w:w="70"/>
              <w:right w:type="dxa" w:w="110"/>
            </w:tcMar>
            <w:vAlign w:val="top"/>
          </w:tcPr>
          <w:p>
            <w:pPr>
              <w:spacing w:after="0" w:line="250"/>
            </w:pPr>
            <w:r>
              <w:rPr>
                <w:color w:val="1F2430"/>
                <w:sz w:val="19"/>
                <w:szCs w:val="19"/>
              </w:rPr>
              <w:t xml:space="preserve">Mode, market and doctrine reachability.</w:t>
            </w:r>
          </w:p>
        </w:tc>
        <w:tc>
          <w:tcPr>
            <w:tcW w:type="dxa" w:w="3770"/>
            <w:shd w:fill="FFFFFF" w:val="clear"/>
            <w:tcMar>
              <w:top w:type="dxa" w:w="70"/>
              <w:left w:type="dxa" w:w="110"/>
              <w:bottom w:type="dxa" w:w="70"/>
              <w:right w:type="dxa" w:w="110"/>
            </w:tcMar>
            <w:vAlign w:val="top"/>
          </w:tcPr>
          <w:p>
            <w:pPr>
              <w:spacing w:after="0" w:line="250"/>
            </w:pPr>
            <w:r>
              <w:rPr>
                <w:color w:val="1F2430"/>
                <w:sz w:val="19"/>
                <w:szCs w:val="19"/>
              </w:rPr>
              <w:t xml:space="preserve">“Q-BTY-CONCERN-001 released into MY, SG but its target CLM-SERUM-SUITABILITY is approved only in AE, SA.”</w:t>
            </w:r>
          </w:p>
        </w:tc>
      </w:tr>
      <w:tr>
        <w:tc>
          <w:tcPr>
            <w:tcW w:type="dxa" w:w="400"/>
            <w:shd w:fill="F7F8FB" w:val="clear"/>
            <w:tcMar>
              <w:top w:type="dxa" w:w="70"/>
              <w:left w:type="dxa" w:w="110"/>
              <w:bottom w:type="dxa" w:w="70"/>
              <w:right w:type="dxa" w:w="110"/>
            </w:tcMar>
            <w:vAlign w:val="top"/>
          </w:tcPr>
          <w:p>
            <w:pPr>
              <w:spacing w:after="0" w:line="250"/>
            </w:pPr>
            <w:r>
              <w:rPr>
                <w:color w:val="1F2430"/>
                <w:sz w:val="19"/>
                <w:szCs w:val="19"/>
              </w:rPr>
              <w:t xml:space="preserve">5</w:t>
            </w:r>
          </w:p>
        </w:tc>
        <w:tc>
          <w:tcPr>
            <w:tcW w:type="dxa" w:w="1550"/>
            <w:shd w:fill="F7F8FB" w:val="clear"/>
            <w:tcMar>
              <w:top w:type="dxa" w:w="70"/>
              <w:left w:type="dxa" w:w="110"/>
              <w:bottom w:type="dxa" w:w="70"/>
              <w:right w:type="dxa" w:w="110"/>
            </w:tcMar>
            <w:vAlign w:val="top"/>
          </w:tcPr>
          <w:p>
            <w:pPr>
              <w:spacing w:after="0" w:line="250"/>
            </w:pPr>
            <w:r>
              <w:rPr>
                <w:color w:val="1F2430"/>
                <w:sz w:val="19"/>
                <w:szCs w:val="19"/>
              </w:rPr>
              <w:t xml:space="preserve">Boundary refusal</w:t>
            </w:r>
          </w:p>
        </w:tc>
        <w:tc>
          <w:tcPr>
            <w:tcW w:type="dxa" w:w="1000"/>
            <w:shd w:fill="F7F8FB" w:val="clear"/>
            <w:tcMar>
              <w:top w:type="dxa" w:w="70"/>
              <w:left w:type="dxa" w:w="110"/>
              <w:bottom w:type="dxa" w:w="70"/>
              <w:right w:type="dxa" w:w="110"/>
            </w:tcMar>
            <w:vAlign w:val="top"/>
          </w:tcPr>
          <w:p>
            <w:pPr>
              <w:spacing w:after="0" w:line="250"/>
            </w:pPr>
            <w:r>
              <w:rPr>
                <w:b/>
                <w:bCs/>
                <w:color w:val="9B2C2C"/>
                <w:sz w:val="19"/>
                <w:szCs w:val="19"/>
              </w:rPr>
              <w:t xml:space="preserve">hard</w:t>
            </w:r>
          </w:p>
        </w:tc>
        <w:tc>
          <w:tcPr>
            <w:tcW w:type="dxa" w:w="2300"/>
            <w:shd w:fill="F7F8FB" w:val="clear"/>
            <w:tcMar>
              <w:top w:type="dxa" w:w="70"/>
              <w:left w:type="dxa" w:w="110"/>
              <w:bottom w:type="dxa" w:w="70"/>
              <w:right w:type="dxa" w:w="110"/>
            </w:tcMar>
            <w:vAlign w:val="top"/>
          </w:tcPr>
          <w:p>
            <w:pPr>
              <w:spacing w:after="0" w:line="250"/>
            </w:pPr>
            <w:r>
              <w:rPr>
                <w:color w:val="1F2430"/>
                <w:sz w:val="19"/>
                <w:szCs w:val="19"/>
              </w:rPr>
              <w:t xml:space="preserve">The boundary object and its probes, per deployed language.</w:t>
            </w:r>
          </w:p>
        </w:tc>
        <w:tc>
          <w:tcPr>
            <w:tcW w:type="dxa" w:w="3770"/>
            <w:shd w:fill="F7F8FB" w:val="clear"/>
            <w:tcMar>
              <w:top w:type="dxa" w:w="70"/>
              <w:left w:type="dxa" w:w="110"/>
              <w:bottom w:type="dxa" w:w="70"/>
              <w:right w:type="dxa" w:w="110"/>
            </w:tcMar>
            <w:vAlign w:val="top"/>
          </w:tcPr>
          <w:p>
            <w:pPr>
              <w:spacing w:after="0" w:line="250"/>
            </w:pPr>
            <w:r>
              <w:rPr>
                <w:color w:val="1F2430"/>
                <w:sz w:val="19"/>
                <w:szCs w:val="19"/>
              </w:rPr>
              <w:t xml:space="preserve">“The hard boundary is not proven in AR. A refusal that holds in one language and not another is not a refusal.”</w:t>
            </w:r>
          </w:p>
        </w:tc>
      </w:tr>
      <w:tr>
        <w:tc>
          <w:tcPr>
            <w:tcW w:type="dxa" w:w="400"/>
            <w:shd w:fill="FFFFFF" w:val="clear"/>
            <w:tcMar>
              <w:top w:type="dxa" w:w="70"/>
              <w:left w:type="dxa" w:w="110"/>
              <w:bottom w:type="dxa" w:w="70"/>
              <w:right w:type="dxa" w:w="110"/>
            </w:tcMar>
            <w:vAlign w:val="top"/>
          </w:tcPr>
          <w:p>
            <w:pPr>
              <w:spacing w:after="0" w:line="250"/>
            </w:pPr>
            <w:r>
              <w:rPr>
                <w:color w:val="1F2430"/>
                <w:sz w:val="19"/>
                <w:szCs w:val="19"/>
              </w:rPr>
              <w:t xml:space="preserve">6</w:t>
            </w:r>
          </w:p>
        </w:tc>
        <w:tc>
          <w:tcPr>
            <w:tcW w:type="dxa" w:w="1550"/>
            <w:shd w:fill="FFFFFF" w:val="clear"/>
            <w:tcMar>
              <w:top w:type="dxa" w:w="70"/>
              <w:left w:type="dxa" w:w="110"/>
              <w:bottom w:type="dxa" w:w="70"/>
              <w:right w:type="dxa" w:w="110"/>
            </w:tcMar>
            <w:vAlign w:val="top"/>
          </w:tcPr>
          <w:p>
            <w:pPr>
              <w:spacing w:after="0" w:line="250"/>
            </w:pPr>
            <w:r>
              <w:rPr>
                <w:color w:val="1F2430"/>
                <w:sz w:val="19"/>
                <w:szCs w:val="19"/>
              </w:rPr>
              <w:t xml:space="preserve">Version consistency</w:t>
            </w:r>
          </w:p>
        </w:tc>
        <w:tc>
          <w:tcPr>
            <w:tcW w:type="dxa" w:w="1000"/>
            <w:shd w:fill="FFFFFF" w:val="clear"/>
            <w:tcMar>
              <w:top w:type="dxa" w:w="70"/>
              <w:left w:type="dxa" w:w="110"/>
              <w:bottom w:type="dxa" w:w="70"/>
              <w:right w:type="dxa" w:w="110"/>
            </w:tcMar>
            <w:vAlign w:val="top"/>
          </w:tcPr>
          <w:p>
            <w:pPr>
              <w:spacing w:after="0" w:line="250"/>
            </w:pPr>
            <w:r>
              <w:rPr>
                <w:b/>
                <w:bCs/>
                <w:color w:val="9B2C2C"/>
                <w:sz w:val="19"/>
                <w:szCs w:val="19"/>
              </w:rPr>
              <w:t xml:space="preserve">hard</w:t>
            </w:r>
          </w:p>
        </w:tc>
        <w:tc>
          <w:tcPr>
            <w:tcW w:type="dxa" w:w="2300"/>
            <w:shd w:fill="FFFFFF" w:val="clear"/>
            <w:tcMar>
              <w:top w:type="dxa" w:w="70"/>
              <w:left w:type="dxa" w:w="110"/>
              <w:bottom w:type="dxa" w:w="70"/>
              <w:right w:type="dxa" w:w="110"/>
            </w:tcMar>
            <w:vAlign w:val="top"/>
          </w:tcPr>
          <w:p>
            <w:pPr>
              <w:spacing w:after="0" w:line="250"/>
            </w:pPr>
            <w:r>
              <w:rPr>
                <w:color w:val="1F2430"/>
                <w:sz w:val="19"/>
                <w:szCs w:val="19"/>
              </w:rPr>
              <w:t xml:space="preserve">Every cross-reference between objects in the bundle.</w:t>
            </w:r>
          </w:p>
        </w:tc>
        <w:tc>
          <w:tcPr>
            <w:tcW w:type="dxa" w:w="3770"/>
            <w:shd w:fill="FFFFFF" w:val="clear"/>
            <w:tcMar>
              <w:top w:type="dxa" w:w="70"/>
              <w:left w:type="dxa" w:w="110"/>
              <w:bottom w:type="dxa" w:w="70"/>
              <w:right w:type="dxa" w:w="110"/>
            </w:tcMar>
            <w:vAlign w:val="top"/>
          </w:tcPr>
          <w:p>
            <w:pPr>
              <w:spacing w:after="0" w:line="250"/>
            </w:pPr>
            <w:r>
              <w:rPr>
                <w:color w:val="1F2430"/>
                <w:sz w:val="19"/>
                <w:szCs w:val="19"/>
              </w:rPr>
              <w:t xml:space="preserve">“C-XXX-01 targets E-URG-01, which is not in this bundle.” — the cascade you get after retiring an element.</w:t>
            </w:r>
          </w:p>
        </w:tc>
      </w:tr>
      <w:tr>
        <w:tc>
          <w:tcPr>
            <w:tcW w:type="dxa" w:w="400"/>
            <w:shd w:fill="F7F8FB" w:val="clear"/>
            <w:tcMar>
              <w:top w:type="dxa" w:w="70"/>
              <w:left w:type="dxa" w:w="110"/>
              <w:bottom w:type="dxa" w:w="70"/>
              <w:right w:type="dxa" w:w="110"/>
            </w:tcMar>
            <w:vAlign w:val="top"/>
          </w:tcPr>
          <w:p>
            <w:pPr>
              <w:spacing w:after="0" w:line="250"/>
            </w:pPr>
            <w:r>
              <w:rPr>
                <w:color w:val="1F2430"/>
                <w:sz w:val="19"/>
                <w:szCs w:val="19"/>
              </w:rPr>
              <w:t xml:space="preserve">7</w:t>
            </w:r>
          </w:p>
        </w:tc>
        <w:tc>
          <w:tcPr>
            <w:tcW w:type="dxa" w:w="1550"/>
            <w:shd w:fill="F7F8FB" w:val="clear"/>
            <w:tcMar>
              <w:top w:type="dxa" w:w="70"/>
              <w:left w:type="dxa" w:w="110"/>
              <w:bottom w:type="dxa" w:w="70"/>
              <w:right w:type="dxa" w:w="110"/>
            </w:tcMar>
            <w:vAlign w:val="top"/>
          </w:tcPr>
          <w:p>
            <w:pPr>
              <w:spacing w:after="0" w:line="250"/>
            </w:pPr>
            <w:r>
              <w:rPr>
                <w:color w:val="1F2430"/>
                <w:sz w:val="19"/>
                <w:szCs w:val="19"/>
              </w:rPr>
              <w:t xml:space="preserve">Adversarial probe</w:t>
            </w:r>
          </w:p>
        </w:tc>
        <w:tc>
          <w:tcPr>
            <w:tcW w:type="dxa" w:w="1000"/>
            <w:shd w:fill="F7F8FB" w:val="clear"/>
            <w:tcMar>
              <w:top w:type="dxa" w:w="70"/>
              <w:left w:type="dxa" w:w="110"/>
              <w:bottom w:type="dxa" w:w="70"/>
              <w:right w:type="dxa" w:w="110"/>
            </w:tcMar>
            <w:vAlign w:val="top"/>
          </w:tcPr>
          <w:p>
            <w:pPr>
              <w:spacing w:after="0" w:line="250"/>
            </w:pPr>
            <w:r>
              <w:rPr>
                <w:color w:val="8A6A1F"/>
                <w:sz w:val="19"/>
                <w:szCs w:val="19"/>
              </w:rPr>
              <w:t xml:space="preserve">advisory</w:t>
            </w:r>
          </w:p>
        </w:tc>
        <w:tc>
          <w:tcPr>
            <w:tcW w:type="dxa" w:w="2300"/>
            <w:shd w:fill="F7F8FB" w:val="clear"/>
            <w:tcMar>
              <w:top w:type="dxa" w:w="70"/>
              <w:left w:type="dxa" w:w="110"/>
              <w:bottom w:type="dxa" w:w="70"/>
              <w:right w:type="dxa" w:w="110"/>
            </w:tcMar>
            <w:vAlign w:val="top"/>
          </w:tcPr>
          <w:p>
            <w:pPr>
              <w:spacing w:after="0" w:line="250"/>
            </w:pPr>
            <w:r>
              <w:rPr>
                <w:color w:val="1F2430"/>
                <w:sz w:val="19"/>
                <w:szCs w:val="19"/>
              </w:rPr>
              <w:t xml:space="preserve">Whether mandatory elements are ever tested under pressure.</w:t>
            </w:r>
          </w:p>
        </w:tc>
        <w:tc>
          <w:tcPr>
            <w:tcW w:type="dxa" w:w="3770"/>
            <w:shd w:fill="F7F8FB" w:val="clear"/>
            <w:tcMar>
              <w:top w:type="dxa" w:w="70"/>
              <w:left w:type="dxa" w:w="110"/>
              <w:bottom w:type="dxa" w:w="70"/>
              <w:right w:type="dxa" w:w="110"/>
            </w:tcMar>
            <w:vAlign w:val="top"/>
          </w:tcPr>
          <w:p>
            <w:pPr>
              <w:spacing w:after="0" w:line="250"/>
            </w:pPr>
            <w:r>
              <w:rPr>
                <w:color w:val="1F2430"/>
                <w:sz w:val="19"/>
                <w:szCs w:val="19"/>
              </w:rPr>
              <w:t xml:space="preserve">“Five of eight mandatory elements are never tested under pressure.”</w:t>
            </w:r>
          </w:p>
        </w:tc>
      </w:tr>
      <w:tr>
        <w:tc>
          <w:tcPr>
            <w:tcW w:type="dxa" w:w="400"/>
            <w:shd w:fill="FFFFFF" w:val="clear"/>
            <w:tcMar>
              <w:top w:type="dxa" w:w="70"/>
              <w:left w:type="dxa" w:w="110"/>
              <w:bottom w:type="dxa" w:w="70"/>
              <w:right w:type="dxa" w:w="110"/>
            </w:tcMar>
            <w:vAlign w:val="top"/>
          </w:tcPr>
          <w:p>
            <w:pPr>
              <w:spacing w:after="0" w:line="250"/>
            </w:pPr>
            <w:r>
              <w:rPr>
                <w:color w:val="1F2430"/>
                <w:sz w:val="19"/>
                <w:szCs w:val="19"/>
              </w:rPr>
              <w:t xml:space="preserve">8</w:t>
            </w:r>
          </w:p>
        </w:tc>
        <w:tc>
          <w:tcPr>
            <w:tcW w:type="dxa" w:w="1550"/>
            <w:shd w:fill="FFFFFF" w:val="clear"/>
            <w:tcMar>
              <w:top w:type="dxa" w:w="70"/>
              <w:left w:type="dxa" w:w="110"/>
              <w:bottom w:type="dxa" w:w="70"/>
              <w:right w:type="dxa" w:w="110"/>
            </w:tcMar>
            <w:vAlign w:val="top"/>
          </w:tcPr>
          <w:p>
            <w:pPr>
              <w:spacing w:after="0" w:line="250"/>
            </w:pPr>
            <w:r>
              <w:rPr>
                <w:color w:val="1F2430"/>
                <w:sz w:val="19"/>
                <w:szCs w:val="19"/>
              </w:rPr>
              <w:t xml:space="preserve">Translation fidelity</w:t>
            </w:r>
          </w:p>
        </w:tc>
        <w:tc>
          <w:tcPr>
            <w:tcW w:type="dxa" w:w="1000"/>
            <w:shd w:fill="FFFFFF" w:val="clear"/>
            <w:tcMar>
              <w:top w:type="dxa" w:w="70"/>
              <w:left w:type="dxa" w:w="110"/>
              <w:bottom w:type="dxa" w:w="70"/>
              <w:right w:type="dxa" w:w="110"/>
            </w:tcMar>
            <w:vAlign w:val="top"/>
          </w:tcPr>
          <w:p>
            <w:pPr>
              <w:spacing w:after="0" w:line="250"/>
            </w:pPr>
            <w:r>
              <w:rPr>
                <w:color w:val="8A6A1F"/>
                <w:sz w:val="19"/>
                <w:szCs w:val="19"/>
              </w:rPr>
              <w:t xml:space="preserve">advisory</w:t>
            </w:r>
          </w:p>
        </w:tc>
        <w:tc>
          <w:tcPr>
            <w:tcW w:type="dxa" w:w="2300"/>
            <w:shd w:fill="FFFFFF" w:val="clear"/>
            <w:tcMar>
              <w:top w:type="dxa" w:w="70"/>
              <w:left w:type="dxa" w:w="110"/>
              <w:bottom w:type="dxa" w:w="70"/>
              <w:right w:type="dxa" w:w="110"/>
            </w:tcMar>
            <w:vAlign w:val="top"/>
          </w:tcPr>
          <w:p>
            <w:pPr>
              <w:spacing w:after="0" w:line="250"/>
            </w:pPr>
            <w:r>
              <w:rPr>
                <w:color w:val="1F2430"/>
                <w:sz w:val="19"/>
                <w:szCs w:val="19"/>
              </w:rPr>
              <w:t xml:space="preserve">Every language variant's review status.</w:t>
            </w:r>
          </w:p>
        </w:tc>
        <w:tc>
          <w:tcPr>
            <w:tcW w:type="dxa" w:w="3770"/>
            <w:shd w:fill="FFFFFF" w:val="clear"/>
            <w:tcMar>
              <w:top w:type="dxa" w:w="70"/>
              <w:left w:type="dxa" w:w="110"/>
              <w:bottom w:type="dxa" w:w="70"/>
              <w:right w:type="dxa" w:w="110"/>
            </w:tcMar>
            <w:vAlign w:val="top"/>
          </w:tcPr>
          <w:p>
            <w:pPr>
              <w:spacing w:after="0" w:line="250"/>
            </w:pPr>
            <w:r>
              <w:rPr>
                <w:color w:val="1F2430"/>
                <w:sz w:val="19"/>
                <w:szCs w:val="19"/>
              </w:rPr>
              <w:t xml:space="preserve">“ES, ZH and AR variants are at fidelity pending. They are not deployable.”</w:t>
            </w:r>
          </w:p>
        </w:tc>
      </w:tr>
      <w:tr>
        <w:tc>
          <w:tcPr>
            <w:tcW w:type="dxa" w:w="400"/>
            <w:shd w:fill="F7F8FB" w:val="clear"/>
            <w:tcMar>
              <w:top w:type="dxa" w:w="70"/>
              <w:left w:type="dxa" w:w="110"/>
              <w:bottom w:type="dxa" w:w="70"/>
              <w:right w:type="dxa" w:w="110"/>
            </w:tcMar>
            <w:vAlign w:val="top"/>
          </w:tcPr>
          <w:p>
            <w:pPr>
              <w:spacing w:after="0" w:line="250"/>
            </w:pPr>
            <w:r>
              <w:rPr>
                <w:color w:val="1F2430"/>
                <w:sz w:val="19"/>
                <w:szCs w:val="19"/>
              </w:rPr>
              <w:t xml:space="preserve">9</w:t>
            </w:r>
          </w:p>
        </w:tc>
        <w:tc>
          <w:tcPr>
            <w:tcW w:type="dxa" w:w="1550"/>
            <w:shd w:fill="F7F8FB" w:val="clear"/>
            <w:tcMar>
              <w:top w:type="dxa" w:w="70"/>
              <w:left w:type="dxa" w:w="110"/>
              <w:bottom w:type="dxa" w:w="70"/>
              <w:right w:type="dxa" w:w="110"/>
            </w:tcMar>
            <w:vAlign w:val="top"/>
          </w:tcPr>
          <w:p>
            <w:pPr>
              <w:spacing w:after="0" w:line="250"/>
            </w:pPr>
            <w:r>
              <w:rPr>
                <w:color w:val="1F2430"/>
                <w:sz w:val="19"/>
                <w:szCs w:val="19"/>
              </w:rPr>
              <w:t xml:space="preserve">Traceability</w:t>
            </w:r>
          </w:p>
        </w:tc>
        <w:tc>
          <w:tcPr>
            <w:tcW w:type="dxa" w:w="1000"/>
            <w:shd w:fill="F7F8FB" w:val="clear"/>
            <w:tcMar>
              <w:top w:type="dxa" w:w="70"/>
              <w:left w:type="dxa" w:w="110"/>
              <w:bottom w:type="dxa" w:w="70"/>
              <w:right w:type="dxa" w:w="110"/>
            </w:tcMar>
            <w:vAlign w:val="top"/>
          </w:tcPr>
          <w:p>
            <w:pPr>
              <w:spacing w:after="0" w:line="250"/>
            </w:pPr>
            <w:r>
              <w:rPr>
                <w:color w:val="8A6A1F"/>
                <w:sz w:val="19"/>
                <w:szCs w:val="19"/>
              </w:rPr>
              <w:t xml:space="preserve">advisory</w:t>
            </w:r>
          </w:p>
        </w:tc>
        <w:tc>
          <w:tcPr>
            <w:tcW w:type="dxa" w:w="2300"/>
            <w:shd w:fill="F7F8FB" w:val="clear"/>
            <w:tcMar>
              <w:top w:type="dxa" w:w="70"/>
              <w:left w:type="dxa" w:w="110"/>
              <w:bottom w:type="dxa" w:w="70"/>
              <w:right w:type="dxa" w:w="110"/>
            </w:tcMar>
            <w:vAlign w:val="top"/>
          </w:tcPr>
          <w:p>
            <w:pPr>
              <w:spacing w:after="0" w:line="250"/>
            </w:pPr>
            <w:r>
              <w:rPr>
                <w:color w:val="1F2430"/>
                <w:sz w:val="19"/>
                <w:szCs w:val="19"/>
              </w:rPr>
              <w:t xml:space="preserve">Whether every determination resolves to object, version and verbatim span.</w:t>
            </w:r>
          </w:p>
        </w:tc>
        <w:tc>
          <w:tcPr>
            <w:tcW w:type="dxa" w:w="3770"/>
            <w:shd w:fill="F7F8FB" w:val="clear"/>
            <w:tcMar>
              <w:top w:type="dxa" w:w="70"/>
              <w:left w:type="dxa" w:w="110"/>
              <w:bottom w:type="dxa" w:w="70"/>
              <w:right w:type="dxa" w:w="110"/>
            </w:tcMar>
            <w:vAlign w:val="top"/>
          </w:tcPr>
          <w:p>
            <w:pPr>
              <w:spacing w:after="0" w:line="250"/>
            </w:pPr>
            <w:r>
              <w:rPr>
                <w:color w:val="1F2430"/>
                <w:sz w:val="19"/>
                <w:szCs w:val="19"/>
              </w:rPr>
              <w:t xml:space="preserve">“Q-XXX-003 satisfaction rule is not verbatim-bound; its determination cannot be traced to the subject's own words.”</w:t>
            </w:r>
          </w:p>
        </w:tc>
      </w:tr>
    </w:tbl>
    <w:p>
      <w:pPr>
        <w:spacing w:after="80"/>
      </w:pPr>
    </w:p>
    <w:p>
      <w:pPr>
        <w:spacing w:after="140" w:before="0" w:line="276"/>
      </w:pPr>
      <w:r>
        <w:rPr>
          <w:i/>
          <w:iCs/>
          <w:color w:val="44546A"/>
          <w:sz w:val="21"/>
          <w:szCs w:val="21"/>
        </w:rPr>
        <w:t xml:space="preserve">An advisory failure does not block release. It appears on the report, and it should appear in the client conversation — an advisory finding left unaddressed for two release cycles is a governance problem even though the gate permits it.</w:t>
      </w:r>
    </w:p>
    <w:p>
      <w:pPr>
        <w:pStyle w:val="Heading1"/>
        <w:pageBreakBefore/>
      </w:pPr>
      <w:r>
        <w:t xml:space="preserve">Appendix C — Glossary</w:t>
      </w:r>
    </w:p>
    <w:tbl>
      <w:tblPr>
        <w:tblW w:type="dxa" w:w="9020"/>
        <w:tblBorders>
          <w:top w:val="single" w:color="C9CEDA" w:sz="4"/>
          <w:left w:val="none" w:color="FFFFFF" w:sz="0"/>
          <w:bottom w:val="single" w:color="C9CEDA" w:sz="4"/>
          <w:right w:val="none" w:color="FFFFFF" w:sz="0"/>
          <w:insideH w:val="single" w:color="C9CEDA" w:sz="2"/>
          <w:insideV w:val="none" w:color="FFFFFF" w:sz="0"/>
        </w:tblBorders>
      </w:tblPr>
      <w:tblGrid>
        <w:gridCol w:w="2100"/>
        <w:gridCol w:w="6920"/>
      </w:tblGrid>
      <w:tr>
        <w:trPr>
          <w:tblHeader/>
        </w:trPr>
        <w:tc>
          <w:tcPr>
            <w:tcW w:type="dxa" w:w="2100"/>
            <w:shd w:fill="EDEFF4" w:val="clear"/>
            <w:tcMar>
              <w:top w:type="dxa" w:w="70"/>
              <w:left w:type="dxa" w:w="110"/>
              <w:bottom w:type="dxa" w:w="70"/>
              <w:right w:type="dxa" w:w="110"/>
            </w:tcMar>
            <w:vAlign w:val="top"/>
          </w:tcPr>
          <w:p>
            <w:pPr>
              <w:spacing w:after="0" w:line="250"/>
            </w:pPr>
            <w:r>
              <w:rPr>
                <w:b/>
                <w:bCs/>
                <w:color w:val="16233A"/>
                <w:sz w:val="18"/>
                <w:szCs w:val="18"/>
              </w:rPr>
              <w:t xml:space="preserve">Term</w:t>
            </w:r>
          </w:p>
        </w:tc>
        <w:tc>
          <w:tcPr>
            <w:tcW w:type="dxa" w:w="6920"/>
            <w:shd w:fill="EDEFF4" w:val="clear"/>
            <w:tcMar>
              <w:top w:type="dxa" w:w="70"/>
              <w:left w:type="dxa" w:w="110"/>
              <w:bottom w:type="dxa" w:w="70"/>
              <w:right w:type="dxa" w:w="110"/>
            </w:tcMar>
            <w:vAlign w:val="top"/>
          </w:tcPr>
          <w:p>
            <w:pPr>
              <w:spacing w:after="0" w:line="250"/>
            </w:pPr>
            <w:r>
              <w:rPr>
                <w:b/>
                <w:bCs/>
                <w:color w:val="16233A"/>
                <w:sz w:val="18"/>
                <w:szCs w:val="18"/>
              </w:rPr>
              <w:t xml:space="preserve">Meaning</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Anchor authority</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The statute, framework, SOP or claims library a vertical's objects derive from. Declared on the pack; cited per element.</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AILS</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The explainability block on the AUREN scorecard. Composed from record fields, in the learner's language, and reads only from the Reasoning Map.</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Bundle</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An immutable, content-addressed snapshot of the EFFECTIVE object set. What the runtime loads.</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Closed generation</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The rule that the model orchestrates approved objects and never authors governed content at runtime.</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Doctrine</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A vertical's declared stance on adversarial pressure. Neutral verticals may not hold challenge objects at all.</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Eligibility</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The three-axis scope of an object: modes, languages, markets. Evaluated as a conjunction.</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Element</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What the determination turns on. Competency element, statutory element, or claim attribute depending on the vertical.</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Freeze rule</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The reasoning map stops updating during a challenge and shows its pre-challenge state, dimmed. Stop updating, not go blank.</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Governed interview</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The shared primitive: free narrative, element completion, systematic sweep, verbatim binding, human decision.</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Knowledge plane</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The registry, bundles, gate and ledger. Versioned, exportable, holds no personal data.</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Data plane</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Sessions, records, evidence, analytics. Tenant-isolated and jurisdiction-resident.</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Leading risk</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A question's grade for presupposing a fact. High is prohibited; medium requires a written legal rationale.</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Publish gate</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Ten mechanical tests, seven blocking, run as the condition of release rather than as a report after it.</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Satisfaction cue</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The per-language evidence that an answer resolved an element. Localised with the question, or every learner in that language silently fails.</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Surface</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A deployment context within a vertical, declaring whether it assesses and whether it is adversarial. Assessment binds here, not to the vertical.</w:t>
            </w:r>
          </w:p>
        </w:tc>
      </w:tr>
      <w:tr>
        <w:tc>
          <w:tcPr>
            <w:tcW w:type="dxa" w:w="2100"/>
            <w:shd w:fill="F7F8FB" w:val="clear"/>
            <w:tcMar>
              <w:top w:type="dxa" w:w="70"/>
              <w:left w:type="dxa" w:w="110"/>
              <w:bottom w:type="dxa" w:w="70"/>
              <w:right w:type="dxa" w:w="110"/>
            </w:tcMar>
            <w:vAlign w:val="top"/>
          </w:tcPr>
          <w:p>
            <w:pPr>
              <w:spacing w:after="0" w:line="250"/>
            </w:pPr>
            <w:r>
              <w:rPr>
                <w:color w:val="1F2430"/>
                <w:sz w:val="19"/>
                <w:szCs w:val="19"/>
              </w:rPr>
              <w:t xml:space="preserve">Surface distance</w:t>
            </w:r>
          </w:p>
        </w:tc>
        <w:tc>
          <w:tcPr>
            <w:tcW w:type="dxa" w:w="6920"/>
            <w:shd w:fill="F7F8FB" w:val="clear"/>
            <w:tcMar>
              <w:top w:type="dxa" w:w="70"/>
              <w:left w:type="dxa" w:w="110"/>
              <w:bottom w:type="dxa" w:w="70"/>
              <w:right w:type="dxa" w:w="110"/>
            </w:tcMar>
            <w:vAlign w:val="top"/>
          </w:tcPr>
          <w:p>
            <w:pPr>
              <w:spacing w:after="0" w:line="250"/>
            </w:pPr>
            <w:r>
              <w:rPr>
                <w:color w:val="1F2430"/>
                <w:sz w:val="19"/>
                <w:szCs w:val="19"/>
              </w:rPr>
              <w:t xml:space="preserve">The requirement that a retest be materially unlike the original scenario, so transfer is measured rather than recall.</w:t>
            </w:r>
          </w:p>
        </w:tc>
      </w:tr>
      <w:tr>
        <w:tc>
          <w:tcPr>
            <w:tcW w:type="dxa" w:w="2100"/>
            <w:shd w:fill="FFFFFF" w:val="clear"/>
            <w:tcMar>
              <w:top w:type="dxa" w:w="70"/>
              <w:left w:type="dxa" w:w="110"/>
              <w:bottom w:type="dxa" w:w="70"/>
              <w:right w:type="dxa" w:w="110"/>
            </w:tcMar>
            <w:vAlign w:val="top"/>
          </w:tcPr>
          <w:p>
            <w:pPr>
              <w:spacing w:after="0" w:line="250"/>
            </w:pPr>
            <w:r>
              <w:rPr>
                <w:color w:val="1F2430"/>
                <w:sz w:val="19"/>
                <w:szCs w:val="19"/>
              </w:rPr>
              <w:t xml:space="preserve">Vertical pack</w:t>
            </w:r>
          </w:p>
        </w:tc>
        <w:tc>
          <w:tcPr>
            <w:tcW w:type="dxa" w:w="6920"/>
            <w:shd w:fill="FFFFFF" w:val="clear"/>
            <w:tcMar>
              <w:top w:type="dxa" w:w="70"/>
              <w:left w:type="dxa" w:w="110"/>
              <w:bottom w:type="dxa" w:w="70"/>
              <w:right w:type="dxa" w:w="110"/>
            </w:tcMar>
            <w:vAlign w:val="top"/>
          </w:tcPr>
          <w:p>
            <w:pPr>
              <w:spacing w:after="0" w:line="250"/>
            </w:pPr>
            <w:r>
              <w:rPr>
                <w:color w:val="1F2430"/>
                <w:sz w:val="19"/>
                <w:szCs w:val="19"/>
              </w:rPr>
              <w:t xml:space="preserve">The data file declaring a vertical: doctrine, modes, languages, markets, anchor authority, output object, surfaces, human authority.</w:t>
            </w:r>
          </w:p>
        </w:tc>
      </w:tr>
    </w:tbl>
    <w:p>
      <w:pPr>
        <w:spacing w:after="200"/>
      </w:pPr>
    </w:p>
    <w:p>
      <w:pPr>
        <w:spacing w:after="140" w:before="0" w:line="276"/>
        <w:jc w:val="center"/>
      </w:pPr>
      <w:r>
        <w:rPr>
          <w:i/>
          <w:iCs/>
          <w:color w:val="44546A"/>
          <w:sz w:val="21"/>
          <w:szCs w:val="21"/>
        </w:rPr>
        <w:t xml:space="preserve">— End of paper —</w:t>
      </w:r>
    </w:p>
    <w:sectPr>
      <w:headerReference w:type="default" r:id="rId7"/>
      <w:headerReference w:type="first" r:id="rId8"/>
      <w:footerReference w:type="default" r:id="rId9"/>
      <w:footerReference w:type="first" r:id="rId10"/>
      <w:pgSz w:w="11906" w:h="16838" w:orient="portrait"/>
      <w:pgMar w:top="1300" w:right="1440" w:bottom="130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44546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A" w:sz="4" w:space="6"/>
      </w:pBdr>
      <w:tabs>
        <w:tab w:val="right" w:pos="9020"/>
      </w:tabs>
      <w:spacing w:after="0"/>
    </w:pPr>
    <w:r>
      <w:rPr>
        <w:color w:val="44546A"/>
        <w:sz w:val="16"/>
        <w:szCs w:val="16"/>
      </w:rPr>
      <w:t xml:space="preserve">The Governed Interview Engine</w:t>
    </w:r>
    <w:r>
      <w:rPr>
        <w:color w:val="44546A"/>
        <w:sz w:val="16"/>
        <w:szCs w:val="16"/>
      </w:rPr>
      <w:t xml:space="preserve">		BYOND Asia  ·  Solution paper v1.0  ·  Internal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3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300"/>
    </w:pPr>
    <w:rPr>
      <w:rFonts w:ascii="Calibri" w:cs="Calibri" w:eastAsia="Calibri" w:hAnsi="Calibri"/>
      <w:b/>
      <w:bCs/>
      <w:color w:val="16233A"/>
      <w:sz w:val="32"/>
      <w:szCs w:val="32"/>
    </w:rPr>
  </w:style>
  <w:style w:type="paragraph" w:styleId="Heading2">
    <w:name w:val="Heading 2"/>
    <w:basedOn w:val="Normal"/>
    <w:next w:val="Normal"/>
    <w:qFormat/>
    <w:pPr>
      <w:keepNext/>
      <w:spacing w:after="130" w:before="300"/>
    </w:pPr>
    <w:rPr>
      <w:rFonts w:ascii="Calibri" w:cs="Calibri" w:eastAsia="Calibri" w:hAnsi="Calibri"/>
      <w:b/>
      <w:bCs/>
      <w:color w:val="2C3E5D"/>
      <w:sz w:val="25"/>
      <w:szCs w:val="25"/>
    </w:rPr>
  </w:style>
  <w:style w:type="paragraph" w:styleId="Heading3">
    <w:name w:val="Heading 3"/>
    <w:basedOn w:val="Normal"/>
    <w:next w:val="Normal"/>
    <w:qFormat/>
    <w:pPr>
      <w:keepNext/>
      <w:spacing w:after="100" w:before="240"/>
    </w:pPr>
    <w:rPr>
      <w:rFonts w:ascii="Calibri" w:cs="Calibri" w:eastAsia="Calibri" w:hAnsi="Calibri"/>
      <w:b/>
      <w:bCs/>
      <w:color w:val="3C4F7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6uwqhsvtwpc39wtp3ho2" Type="http://schemas.openxmlformats.org/officeDocument/2006/relationships/hyperlink" Target="https://claude.ai/code/artifact/84754cd0-ee85-4c03-a426-1a9e51d734ed" TargetMode="External"/><Relationship Id="rIdt4w_ew0z8tpny1wzzqewx" Type="http://schemas.openxmlformats.org/officeDocument/2006/relationships/hyperlink" Target="https://claude.ai/code/artifact/d94944df-a68c-4ee6-b63c-aca37c4261eb" TargetMode="External"/><Relationship Id="rIdguelplwiwko6ykn6lbu4m" Type="http://schemas.openxmlformats.org/officeDocument/2006/relationships/hyperlink" Target="https://claude.ai/code/artifact/84754cd0-ee85-4c03-a426-1a9e51d734ed" TargetMode="External"/><Relationship Id="rIdcte-xl35oeybgvxxbd6oi" Type="http://schemas.openxmlformats.org/officeDocument/2006/relationships/hyperlink" Target="https://claude.ai/code/artifact/d94944df-a68c-4ee6-b63c-aca37c4261eb"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Governed Interview Engine — solution paper v1.0</dc:title>
  <dc:creator>BYOND Asia</dc:creator>
  <dc:description>One primitive, two layers, three verticals. AUREN, Project Pioneer, Beauty Intelligence.</dc:description>
  <cp:lastModifiedBy>Un-named</cp:lastModifiedBy>
  <cp:revision>1</cp:revision>
  <dcterms:created xsi:type="dcterms:W3CDTF">2026-08-29T15:25:19.663Z</dcterms:created>
  <dcterms:modified xsi:type="dcterms:W3CDTF">2026-08-29T15:25:19.664Z</dcterms:modified>
</cp:coreProperties>
</file>

<file path=docProps/custom.xml><?xml version="1.0" encoding="utf-8"?>
<Properties xmlns="http://schemas.openxmlformats.org/officeDocument/2006/custom-properties" xmlns:vt="http://schemas.openxmlformats.org/officeDocument/2006/docPropsVTypes"/>
</file>