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40"/>
      </w:pPr>
      <w:r>
        <w:rPr>
          <w:rFonts w:ascii="Cambria" w:cs="Cambria" w:eastAsia="Cambria" w:hAnsi="Cambria"/>
          <w:b/>
          <w:bCs/>
          <w:color w:val="16122C"/>
          <w:spacing w:val="60"/>
          <w:sz w:val="96"/>
          <w:szCs w:val="96"/>
        </w:rPr>
        <w:t xml:space="preserve">AUREN</w:t>
      </w:r>
    </w:p>
    <w:p>
      <w:pPr>
        <w:spacing w:after="320"/>
      </w:pPr>
      <w:r>
        <w:rPr>
          <w:rFonts w:ascii="Calibri" w:cs="Calibri" w:eastAsia="Calibri" w:hAnsi="Calibri"/>
          <w:b/>
          <w:bCs/>
          <w:color w:val="7C6BC4"/>
          <w:spacing w:val="40"/>
          <w:sz w:val="20"/>
          <w:szCs w:val="20"/>
        </w:rPr>
        <w:t xml:space="preserve">A  H O L O M E   S O L U T I O N</w:t>
      </w:r>
    </w:p>
    <w:p>
      <w:pPr>
        <w:pBdr>
          <w:top w:val="single" w:color="7C6BC4" w:sz="10" w:space="16"/>
        </w:pBdr>
        <w:spacing w:after="200" w:line="340"/>
      </w:pPr>
      <w:r>
        <w:rPr>
          <w:rFonts w:ascii="Cambria" w:cs="Cambria" w:eastAsia="Cambria" w:hAnsi="Cambria"/>
          <w:i/>
          <w:iCs/>
          <w:color w:val="16122C"/>
          <w:sz w:val="30"/>
          <w:szCs w:val="30"/>
        </w:rPr>
        <w:t xml:space="preserve">A governed behavioural intelligence platform delivered through a hyper-realistic digital human.</w:t>
      </w:r>
    </w:p>
    <w:p>
      <w:pPr>
        <w:spacing w:after="520" w:before="0" w:line="288"/>
      </w:pPr>
      <w:r>
        <w:rPr>
          <w:rFonts w:ascii="Calibri" w:cs="Calibri" w:eastAsia="Calibri" w:hAnsi="Calibri"/>
          <w:color w:val="2A2447"/>
          <w:sz w:val="22"/>
          <w:szCs w:val="22"/>
        </w:rPr>
        <w:t xml:space="preserve">It does not tell investors what is safe. It places them under controlled pressure, measures what they actually do, coaches the failure, and retests until the protective behaviour is demonstrated.</w:t>
      </w:r>
    </w:p>
    <w:p>
      <w:pPr>
        <w:spacing w:after="60" w:before="0" w:line="288"/>
      </w:pPr>
      <w:r>
        <w:rPr>
          <w:rFonts w:ascii="Calibri" w:cs="Calibri" w:eastAsia="Calibri" w:hAnsi="Calibri"/>
          <w:b/>
          <w:bCs/>
          <w:color w:val="544491"/>
          <w:sz w:val="21"/>
          <w:szCs w:val="21"/>
        </w:rPr>
        <w:t xml:space="preserve">Three solutions, one engine</w:t>
      </w:r>
    </w:p>
    <w:p>
      <w:pPr>
        <w:spacing w:after="520" w:before="0" w:line="288"/>
      </w:pPr>
      <w:r>
        <w:rPr>
          <w:rFonts w:ascii="Calibri" w:cs="Calibri" w:eastAsia="Calibri" w:hAnsi="Calibri"/>
          <w:color w:val="2A2447"/>
          <w:sz w:val="21"/>
          <w:szCs w:val="21"/>
        </w:rPr>
        <w:t xml:space="preserve">Rehearse · Nexus · Supervision</w:t>
      </w:r>
    </w:p>
    <w:p>
      <w:pPr>
        <w:spacing w:after="30" w:before="0" w:line="288"/>
      </w:pPr>
      <w:r>
        <w:rPr>
          <w:rFonts w:ascii="Calibri" w:cs="Calibri" w:eastAsia="Calibri" w:hAnsi="Calibri"/>
          <w:color w:val="6B6880"/>
          <w:sz w:val="20"/>
          <w:szCs w:val="20"/>
        </w:rPr>
        <w:t xml:space="preserve">Presented by </w:t>
      </w:r>
      <w:r>
        <w:rPr>
          <w:rFonts w:ascii="Calibri" w:cs="Calibri" w:eastAsia="Calibri" w:hAnsi="Calibri"/>
          <w:b/>
          <w:bCs/>
          <w:color w:val="2A2447"/>
          <w:sz w:val="20"/>
          <w:szCs w:val="20"/>
        </w:rPr>
        <w:t xml:space="preserve">BYOND Asia</w:t>
      </w:r>
    </w:p>
    <w:p>
      <w:pPr>
        <w:spacing w:after="30" w:before="0" w:line="288"/>
      </w:pPr>
      <w:r>
        <w:rPr>
          <w:rFonts w:ascii="Calibri" w:cs="Calibri" w:eastAsia="Calibri" w:hAnsi="Calibri"/>
          <w:color w:val="6B6880"/>
          <w:sz w:val="20"/>
          <w:szCs w:val="20"/>
        </w:rPr>
        <w:t xml:space="preserve">AUREN is powered by </w:t>
      </w:r>
      <w:r>
        <w:rPr>
          <w:rFonts w:ascii="Calibri" w:cs="Calibri" w:eastAsia="Calibri" w:hAnsi="Calibri"/>
          <w:b/>
          <w:bCs/>
          <w:color w:val="2A2447"/>
          <w:sz w:val="20"/>
          <w:szCs w:val="20"/>
        </w:rPr>
        <w:t xml:space="preserve">HoloMe</w:t>
      </w:r>
    </w:p>
    <w:p>
      <w:pPr>
        <w:spacing w:after="0" w:before="0" w:line="288"/>
      </w:pPr>
      <w:r>
        <w:rPr>
          <w:rFonts w:ascii="Calibri" w:cs="Calibri" w:eastAsia="Calibri" w:hAnsi="Calibri"/>
          <w:color w:val="6B6880"/>
          <w:sz w:val="18"/>
          <w:szCs w:val="18"/>
        </w:rPr>
        <w:t xml:space="preserve">Solution paper · version 1.0 · September 2026</w:t>
      </w:r>
    </w:p>
    <w:p>
      <w:r>
        <w:br w:type="page"/>
      </w:r>
    </w:p>
    <w:p>
      <w:pPr>
        <w:keepNext/>
        <w:spacing w:after="60" w:before="420"/>
      </w:pPr>
      <w:r>
        <w:rPr>
          <w:rFonts w:ascii="Cambria" w:cs="Cambria" w:eastAsia="Cambria" w:hAnsi="Cambria"/>
          <w:b/>
          <w:bCs/>
          <w:color w:val="7C6BC4"/>
          <w:sz w:val="30"/>
          <w:szCs w:val="30"/>
        </w:rPr>
        <w:t xml:space="preserve">  </w:t>
      </w:r>
      <w:r>
        <w:rPr>
          <w:rFonts w:ascii="Cambria" w:cs="Cambria" w:eastAsia="Cambria" w:hAnsi="Cambria"/>
          <w:b/>
          <w:bCs/>
          <w:color w:val="16122C"/>
          <w:sz w:val="30"/>
          <w:szCs w:val="30"/>
        </w:rPr>
        <w:t xml:space="preserve">Contents</w:t>
      </w:r>
    </w:p>
    <w:p>
      <w:pPr>
        <w:spacing w:after="60" w:before="0" w:line="288"/>
      </w:pPr>
      <w:r>
        <w:rPr>
          <w:rFonts w:ascii="Consolas" w:cs="Consolas" w:eastAsia="Consolas" w:hAnsi="Consolas"/>
          <w:b/>
          <w:bCs/>
          <w:color w:val="7C6BC4"/>
          <w:sz w:val="19"/>
          <w:szCs w:val="19"/>
        </w:rPr>
        <w:t xml:space="preserve">1   </w:t>
      </w:r>
      <w:r>
        <w:rPr>
          <w:rFonts w:ascii="Calibri" w:cs="Calibri" w:eastAsia="Calibri" w:hAnsi="Calibri"/>
          <w:color w:val="2A2447"/>
          <w:sz w:val="21"/>
          <w:szCs w:val="21"/>
        </w:rPr>
        <w:t xml:space="preserve">What this is</w:t>
      </w:r>
    </w:p>
    <w:p>
      <w:pPr>
        <w:spacing w:after="60" w:before="0" w:line="288"/>
      </w:pPr>
      <w:r>
        <w:rPr>
          <w:rFonts w:ascii="Consolas" w:cs="Consolas" w:eastAsia="Consolas" w:hAnsi="Consolas"/>
          <w:b/>
          <w:bCs/>
          <w:color w:val="7C6BC4"/>
          <w:sz w:val="19"/>
          <w:szCs w:val="19"/>
        </w:rPr>
        <w:t xml:space="preserve">2   </w:t>
      </w:r>
      <w:r>
        <w:rPr>
          <w:rFonts w:ascii="Calibri" w:cs="Calibri" w:eastAsia="Calibri" w:hAnsi="Calibri"/>
          <w:color w:val="2A2447"/>
          <w:sz w:val="21"/>
          <w:szCs w:val="21"/>
        </w:rPr>
        <w:t xml:space="preserve">The problem, precisely stated</w:t>
      </w:r>
    </w:p>
    <w:p>
      <w:pPr>
        <w:spacing w:after="60" w:before="0" w:line="288"/>
      </w:pPr>
      <w:r>
        <w:rPr>
          <w:rFonts w:ascii="Consolas" w:cs="Consolas" w:eastAsia="Consolas" w:hAnsi="Consolas"/>
          <w:b/>
          <w:bCs/>
          <w:color w:val="7C6BC4"/>
          <w:sz w:val="19"/>
          <w:szCs w:val="19"/>
        </w:rPr>
        <w:t xml:space="preserve">3   </w:t>
      </w:r>
      <w:r>
        <w:rPr>
          <w:rFonts w:ascii="Calibri" w:cs="Calibri" w:eastAsia="Calibri" w:hAnsi="Calibri"/>
          <w:color w:val="2A2447"/>
          <w:sz w:val="21"/>
          <w:szCs w:val="21"/>
        </w:rPr>
        <w:t xml:space="preserve">Three solutions, one engine</w:t>
      </w:r>
    </w:p>
    <w:p>
      <w:pPr>
        <w:spacing w:after="60" w:before="0" w:line="288"/>
      </w:pPr>
      <w:r>
        <w:rPr>
          <w:rFonts w:ascii="Consolas" w:cs="Consolas" w:eastAsia="Consolas" w:hAnsi="Consolas"/>
          <w:b/>
          <w:bCs/>
          <w:color w:val="7C6BC4"/>
          <w:sz w:val="19"/>
          <w:szCs w:val="19"/>
        </w:rPr>
        <w:t xml:space="preserve">4   </w:t>
      </w:r>
      <w:r>
        <w:rPr>
          <w:rFonts w:ascii="Calibri" w:cs="Calibri" w:eastAsia="Calibri" w:hAnsi="Calibri"/>
          <w:color w:val="2A2447"/>
          <w:sz w:val="21"/>
          <w:szCs w:val="21"/>
        </w:rPr>
        <w:t xml:space="preserve">Rehearse — the investor-facing loop</w:t>
      </w:r>
    </w:p>
    <w:p>
      <w:pPr>
        <w:spacing w:after="60" w:before="0" w:line="288"/>
      </w:pPr>
      <w:r>
        <w:rPr>
          <w:rFonts w:ascii="Consolas" w:cs="Consolas" w:eastAsia="Consolas" w:hAnsi="Consolas"/>
          <w:b/>
          <w:bCs/>
          <w:color w:val="7C6BC4"/>
          <w:sz w:val="19"/>
          <w:szCs w:val="19"/>
        </w:rPr>
        <w:t xml:space="preserve">5   </w:t>
      </w:r>
      <w:r>
        <w:rPr>
          <w:rFonts w:ascii="Calibri" w:cs="Calibri" w:eastAsia="Calibri" w:hAnsi="Calibri"/>
          <w:color w:val="2A2447"/>
          <w:sz w:val="21"/>
          <w:szCs w:val="21"/>
        </w:rPr>
        <w:t xml:space="preserve">Nexus — where governed knowledge comes from</w:t>
      </w:r>
    </w:p>
    <w:p>
      <w:pPr>
        <w:spacing w:after="60" w:before="0" w:line="288"/>
      </w:pPr>
      <w:r>
        <w:rPr>
          <w:rFonts w:ascii="Consolas" w:cs="Consolas" w:eastAsia="Consolas" w:hAnsi="Consolas"/>
          <w:b/>
          <w:bCs/>
          <w:color w:val="7C6BC4"/>
          <w:sz w:val="19"/>
          <w:szCs w:val="19"/>
        </w:rPr>
        <w:t xml:space="preserve">6   </w:t>
      </w:r>
      <w:r>
        <w:rPr>
          <w:rFonts w:ascii="Calibri" w:cs="Calibri" w:eastAsia="Calibri" w:hAnsi="Calibri"/>
          <w:color w:val="2A2447"/>
          <w:sz w:val="21"/>
          <w:szCs w:val="21"/>
        </w:rPr>
        <w:t xml:space="preserve">Supervision — who is ready, and who is not</w:t>
      </w:r>
    </w:p>
    <w:p>
      <w:pPr>
        <w:spacing w:after="60" w:before="0" w:line="288"/>
      </w:pPr>
      <w:r>
        <w:rPr>
          <w:rFonts w:ascii="Consolas" w:cs="Consolas" w:eastAsia="Consolas" w:hAnsi="Consolas"/>
          <w:b/>
          <w:bCs/>
          <w:color w:val="7C6BC4"/>
          <w:sz w:val="19"/>
          <w:szCs w:val="19"/>
        </w:rPr>
        <w:t xml:space="preserve">7   </w:t>
      </w:r>
      <w:r>
        <w:rPr>
          <w:rFonts w:ascii="Calibri" w:cs="Calibri" w:eastAsia="Calibri" w:hAnsi="Calibri"/>
          <w:color w:val="2A2447"/>
          <w:sz w:val="21"/>
          <w:szCs w:val="21"/>
        </w:rPr>
        <w:t xml:space="preserve">Why not simply use a large language model</w:t>
      </w:r>
    </w:p>
    <w:p>
      <w:pPr>
        <w:spacing w:after="60" w:before="0" w:line="288"/>
      </w:pPr>
      <w:r>
        <w:rPr>
          <w:rFonts w:ascii="Consolas" w:cs="Consolas" w:eastAsia="Consolas" w:hAnsi="Consolas"/>
          <w:b/>
          <w:bCs/>
          <w:color w:val="7C6BC4"/>
          <w:sz w:val="19"/>
          <w:szCs w:val="19"/>
        </w:rPr>
        <w:t xml:space="preserve">8   </w:t>
      </w:r>
      <w:r>
        <w:rPr>
          <w:rFonts w:ascii="Calibri" w:cs="Calibri" w:eastAsia="Calibri" w:hAnsi="Calibri"/>
          <w:color w:val="2A2447"/>
          <w:sz w:val="21"/>
          <w:szCs w:val="21"/>
        </w:rPr>
        <w:t xml:space="preserve">The five layers of intellectual property</w:t>
      </w:r>
    </w:p>
    <w:p>
      <w:pPr>
        <w:spacing w:after="60" w:before="0" w:line="288"/>
      </w:pPr>
      <w:r>
        <w:rPr>
          <w:rFonts w:ascii="Consolas" w:cs="Consolas" w:eastAsia="Consolas" w:hAnsi="Consolas"/>
          <w:b/>
          <w:bCs/>
          <w:color w:val="7C6BC4"/>
          <w:sz w:val="19"/>
          <w:szCs w:val="19"/>
        </w:rPr>
        <w:t xml:space="preserve">9   </w:t>
      </w:r>
      <w:r>
        <w:rPr>
          <w:rFonts w:ascii="Calibri" w:cs="Calibri" w:eastAsia="Calibri" w:hAnsi="Calibri"/>
          <w:color w:val="2A2447"/>
          <w:sz w:val="21"/>
          <w:szCs w:val="21"/>
        </w:rPr>
        <w:t xml:space="preserve">The governance that makes it deployable</w:t>
      </w:r>
    </w:p>
    <w:p>
      <w:pPr>
        <w:spacing w:after="60" w:before="0" w:line="288"/>
      </w:pPr>
      <w:r>
        <w:rPr>
          <w:rFonts w:ascii="Consolas" w:cs="Consolas" w:eastAsia="Consolas" w:hAnsi="Consolas"/>
          <w:b/>
          <w:bCs/>
          <w:color w:val="7C6BC4"/>
          <w:sz w:val="19"/>
          <w:szCs w:val="19"/>
        </w:rPr>
        <w:t xml:space="preserve">10  </w:t>
      </w:r>
      <w:r>
        <w:rPr>
          <w:rFonts w:ascii="Calibri" w:cs="Calibri" w:eastAsia="Calibri" w:hAnsi="Calibri"/>
          <w:color w:val="2A2447"/>
          <w:sz w:val="21"/>
          <w:szCs w:val="21"/>
        </w:rPr>
        <w:t xml:space="preserve">Languages</w:t>
      </w:r>
    </w:p>
    <w:p>
      <w:pPr>
        <w:spacing w:after="60" w:before="0" w:line="288"/>
      </w:pPr>
      <w:r>
        <w:rPr>
          <w:rFonts w:ascii="Consolas" w:cs="Consolas" w:eastAsia="Consolas" w:hAnsi="Consolas"/>
          <w:b/>
          <w:bCs/>
          <w:color w:val="7C6BC4"/>
          <w:sz w:val="19"/>
          <w:szCs w:val="19"/>
        </w:rPr>
        <w:t xml:space="preserve">11  </w:t>
      </w:r>
      <w:r>
        <w:rPr>
          <w:rFonts w:ascii="Calibri" w:cs="Calibri" w:eastAsia="Calibri" w:hAnsi="Calibri"/>
          <w:color w:val="2A2447"/>
          <w:sz w:val="21"/>
          <w:szCs w:val="21"/>
        </w:rPr>
        <w:t xml:space="preserve">Who signs in, and what they may see</w:t>
      </w:r>
    </w:p>
    <w:p>
      <w:pPr>
        <w:spacing w:after="60" w:before="0" w:line="288"/>
      </w:pPr>
      <w:r>
        <w:rPr>
          <w:rFonts w:ascii="Consolas" w:cs="Consolas" w:eastAsia="Consolas" w:hAnsi="Consolas"/>
          <w:b/>
          <w:bCs/>
          <w:color w:val="7C6BC4"/>
          <w:sz w:val="19"/>
          <w:szCs w:val="19"/>
        </w:rPr>
        <w:t xml:space="preserve">12  </w:t>
      </w:r>
      <w:r>
        <w:rPr>
          <w:rFonts w:ascii="Calibri" w:cs="Calibri" w:eastAsia="Calibri" w:hAnsi="Calibri"/>
          <w:color w:val="2A2447"/>
          <w:sz w:val="21"/>
          <w:szCs w:val="21"/>
        </w:rPr>
        <w:t xml:space="preserve">Proving it works</w:t>
      </w:r>
    </w:p>
    <w:p>
      <w:pPr>
        <w:spacing w:after="60" w:before="0" w:line="288"/>
      </w:pPr>
      <w:r>
        <w:rPr>
          <w:rFonts w:ascii="Consolas" w:cs="Consolas" w:eastAsia="Consolas" w:hAnsi="Consolas"/>
          <w:b/>
          <w:bCs/>
          <w:color w:val="7C6BC4"/>
          <w:sz w:val="19"/>
          <w:szCs w:val="19"/>
        </w:rPr>
        <w:t xml:space="preserve">13  </w:t>
      </w:r>
      <w:r>
        <w:rPr>
          <w:rFonts w:ascii="Calibri" w:cs="Calibri" w:eastAsia="Calibri" w:hAnsi="Calibri"/>
          <w:color w:val="2A2447"/>
          <w:sz w:val="21"/>
          <w:szCs w:val="21"/>
        </w:rPr>
        <w:t xml:space="preserve">The economic case</w:t>
      </w:r>
    </w:p>
    <w:p>
      <w:pPr>
        <w:spacing w:after="60" w:before="0" w:line="288"/>
      </w:pPr>
      <w:r>
        <w:rPr>
          <w:rFonts w:ascii="Consolas" w:cs="Consolas" w:eastAsia="Consolas" w:hAnsi="Consolas"/>
          <w:b/>
          <w:bCs/>
          <w:color w:val="7C6BC4"/>
          <w:sz w:val="19"/>
          <w:szCs w:val="19"/>
        </w:rPr>
        <w:t xml:space="preserve">14  </w:t>
      </w:r>
      <w:r>
        <w:rPr>
          <w:rFonts w:ascii="Calibri" w:cs="Calibri" w:eastAsia="Calibri" w:hAnsi="Calibri"/>
          <w:color w:val="2A2447"/>
          <w:sz w:val="21"/>
          <w:szCs w:val="21"/>
        </w:rPr>
        <w:t xml:space="preserve">What is not built</w:t>
      </w:r>
    </w:p>
    <w:p>
      <w:pPr>
        <w:spacing w:after="60" w:before="0" w:line="288"/>
      </w:pPr>
      <w:r>
        <w:rPr>
          <w:rFonts w:ascii="Consolas" w:cs="Consolas" w:eastAsia="Consolas" w:hAnsi="Consolas"/>
          <w:b/>
          <w:bCs/>
          <w:color w:val="7C6BC4"/>
          <w:sz w:val="19"/>
          <w:szCs w:val="19"/>
        </w:rPr>
        <w:t xml:space="preserve">15  </w:t>
      </w:r>
      <w:r>
        <w:rPr>
          <w:rFonts w:ascii="Calibri" w:cs="Calibri" w:eastAsia="Calibri" w:hAnsi="Calibri"/>
          <w:color w:val="2A2447"/>
          <w:sz w:val="21"/>
          <w:szCs w:val="21"/>
        </w:rPr>
        <w:t xml:space="preserve">What we need from a partner</w:t>
      </w:r>
    </w:p>
    <w:p>
      <w:pPr>
        <w:spacing w:after="60" w:before="0" w:line="288"/>
      </w:pPr>
      <w:r>
        <w:rPr>
          <w:rFonts w:ascii="Consolas" w:cs="Consolas" w:eastAsia="Consolas" w:hAnsi="Consolas"/>
          <w:b/>
          <w:bCs/>
          <w:color w:val="7C6BC4"/>
          <w:sz w:val="19"/>
          <w:szCs w:val="19"/>
        </w:rPr>
        <w:t xml:space="preserve">A   </w:t>
      </w:r>
      <w:r>
        <w:rPr>
          <w:rFonts w:ascii="Calibri" w:cs="Calibri" w:eastAsia="Calibri" w:hAnsi="Calibri"/>
          <w:color w:val="2A2447"/>
          <w:sz w:val="21"/>
          <w:szCs w:val="21"/>
        </w:rPr>
        <w:t xml:space="preserve">Appendix — the ten publish-gate tests</w:t>
      </w:r>
    </w:p>
    <w:p>
      <w:pPr>
        <w:spacing w:after="60" w:before="0" w:line="288"/>
      </w:pPr>
      <w:r>
        <w:rPr>
          <w:rFonts w:ascii="Consolas" w:cs="Consolas" w:eastAsia="Consolas" w:hAnsi="Consolas"/>
          <w:b/>
          <w:bCs/>
          <w:color w:val="7C6BC4"/>
          <w:sz w:val="19"/>
          <w:szCs w:val="19"/>
        </w:rPr>
        <w:t xml:space="preserve">B   </w:t>
      </w:r>
      <w:r>
        <w:rPr>
          <w:rFonts w:ascii="Calibri" w:cs="Calibri" w:eastAsia="Calibri" w:hAnsi="Calibri"/>
          <w:color w:val="2A2447"/>
          <w:sz w:val="21"/>
          <w:szCs w:val="21"/>
        </w:rPr>
        <w:t xml:space="preserve">Appendix — generation permissions</w:t>
      </w:r>
    </w:p>
    <w:p>
      <w:pPr>
        <w:spacing w:after="60" w:before="0" w:line="288"/>
      </w:pPr>
      <w:r>
        <w:rPr>
          <w:rFonts w:ascii="Consolas" w:cs="Consolas" w:eastAsia="Consolas" w:hAnsi="Consolas"/>
          <w:b/>
          <w:bCs/>
          <w:color w:val="7C6BC4"/>
          <w:sz w:val="19"/>
          <w:szCs w:val="19"/>
        </w:rPr>
        <w:t xml:space="preserve">C   </w:t>
      </w:r>
      <w:r>
        <w:rPr>
          <w:rFonts w:ascii="Calibri" w:cs="Calibri" w:eastAsia="Calibri" w:hAnsi="Calibri"/>
          <w:color w:val="2A2447"/>
          <w:sz w:val="21"/>
          <w:szCs w:val="21"/>
        </w:rPr>
        <w:t xml:space="preserve">Appendix — where each part lives</w:t>
      </w:r>
    </w:p>
    <w:p>
      <w:r>
        <w:br w:type="page"/>
      </w:r>
    </w:p>
    <w:p>
      <w:pPr>
        <w:keepNext/>
        <w:spacing w:after="60" w:before="420"/>
      </w:pPr>
      <w:r>
        <w:rPr>
          <w:rFonts w:ascii="Cambria" w:cs="Cambria" w:eastAsia="Cambria" w:hAnsi="Cambria"/>
          <w:b/>
          <w:bCs/>
          <w:color w:val="7C6BC4"/>
          <w:sz w:val="30"/>
          <w:szCs w:val="30"/>
        </w:rPr>
        <w:t xml:space="preserve">1  </w:t>
      </w:r>
      <w:r>
        <w:rPr>
          <w:rFonts w:ascii="Cambria" w:cs="Cambria" w:eastAsia="Cambria" w:hAnsi="Cambria"/>
          <w:b/>
          <w:bCs/>
          <w:color w:val="16122C"/>
          <w:sz w:val="30"/>
          <w:szCs w:val="30"/>
        </w:rPr>
        <w:t xml:space="preserve">What this is</w:t>
      </w:r>
    </w:p>
    <w:p>
      <w:pPr>
        <w:spacing w:after="130" w:before="0" w:line="288"/>
      </w:pPr>
      <w:r>
        <w:rPr>
          <w:rFonts w:ascii="Calibri" w:cs="Calibri" w:eastAsia="Calibri" w:hAnsi="Calibri"/>
          <w:color w:val="2A2447"/>
          <w:sz w:val="21"/>
          <w:szCs w:val="21"/>
        </w:rPr>
        <w:t xml:space="preserve">AUREN is an investor-readiness system. A person speaks to a digital human for five minutes; the digital human listens, works out where their reasoning breaks, then stops being a coach and behaves like somebody trying to sell them an investment. It applies the pressure a real approach applies. When the person's reasoning fails, it names the failure using the person's own sentence, coaches it, and then puts them into a completely different scam that asks the same underlying question.</w:t>
      </w:r>
    </w:p>
    <w:p>
      <w:pPr>
        <w:spacing w:after="130" w:before="0" w:line="288"/>
      </w:pPr>
      <w:r>
        <w:rPr>
          <w:rFonts w:ascii="Calibri" w:cs="Calibri" w:eastAsia="Calibri" w:hAnsi="Calibri"/>
          <w:color w:val="2A2447"/>
          <w:sz w:val="21"/>
          <w:szCs w:val="21"/>
        </w:rPr>
        <w:t xml:space="preserve">What comes out is not a score. It is a record in which every line points at something the person actually said.</w:t>
      </w:r>
    </w:p>
    <w:p>
      <w:pPr>
        <w:pBdr>
          <w:left w:val="single" w:color="7C6BC4" w:sz="14" w:space="14"/>
        </w:pBdr>
        <w:spacing w:after="170" w:before="170" w:line="300"/>
        <w:ind w:left="260"/>
      </w:pPr>
      <w:r>
        <w:rPr>
          <w:rFonts w:ascii="Cambria" w:cs="Cambria" w:eastAsia="Cambria" w:hAnsi="Cambria"/>
          <w:i/>
          <w:iCs/>
          <w:color w:val="16122C"/>
          <w:sz w:val="23"/>
          <w:szCs w:val="23"/>
        </w:rPr>
        <w:t xml:space="preserve">Everyone knows the rules. Almost nobody follows them when someone is pushing.</w:t>
      </w:r>
    </w:p>
    <w:p>
      <w:pPr>
        <w:spacing w:after="130" w:before="0" w:line="288"/>
      </w:pPr>
      <w:r>
        <w:rPr>
          <w:rFonts w:ascii="Calibri" w:cs="Calibri" w:eastAsia="Calibri" w:hAnsi="Calibri"/>
          <w:color w:val="2A2447"/>
          <w:sz w:val="21"/>
          <w:szCs w:val="21"/>
        </w:rPr>
        <w:t xml:space="preserve">That sentence is the entire product thesis. Investor education has been delivered for thirty years as information, and information is not the binding constraint. People who can recite every warning sign still transfer the money, because the warning signs were learned in a quiet room and the transfer happens under pressure, on a deadline, from somebody plausible. The gap is not knowledge. It is behaviour under conditions that were never rehearsed.</w:t>
      </w:r>
    </w:p>
    <w:p>
      <w:pPr>
        <w:spacing w:after="130" w:before="0" w:line="288"/>
      </w:pPr>
      <w:r>
        <w:rPr>
          <w:rFonts w:ascii="Calibri" w:cs="Calibri" w:eastAsia="Calibri" w:hAnsi="Calibri"/>
          <w:color w:val="2A2447"/>
          <w:sz w:val="21"/>
          <w:szCs w:val="21"/>
        </w:rPr>
        <w:t xml:space="preserve">AUREN closes that gap the way every other high-consequence profession closes it — by rehearsal under realistic conditions, with an assessor who can prove what happened.</w:t>
      </w:r>
    </w:p>
    <w:p>
      <w:pPr>
        <w:pBdr>
          <w:top w:val="single" w:color="EFECF9" w:sz="2" w:space="10"/>
          <w:bottom w:val="single" w:color="EFECF9" w:sz="2" w:space="10"/>
          <w:left w:val="single" w:color="EFECF9" w:sz="2" w:space="12"/>
          <w:right w:val="single" w:color="EFECF9" w:sz="2" w:space="12"/>
        </w:pBdr>
        <w:shd w:fill="F8F6FD" w:val="clear"/>
        <w:spacing w:after="150" w:before="150" w:line="282"/>
      </w:pPr>
      <w:r>
        <w:rPr>
          <w:rFonts w:ascii="Calibri" w:cs="Calibri" w:eastAsia="Calibri" w:hAnsi="Calibri"/>
          <w:b/>
          <w:bCs/>
          <w:color w:val="16122C"/>
          <w:sz w:val="20"/>
          <w:szCs w:val="20"/>
        </w:rPr>
        <w:t xml:space="preserve">A note on what this document is. </w:t>
      </w:r>
      <w:r>
        <w:rPr>
          <w:rFonts w:ascii="Calibri" w:cs="Calibri" w:eastAsia="Calibri" w:hAnsi="Calibri"/>
          <w:color w:val="2A2447"/>
          <w:sz w:val="20"/>
          <w:szCs w:val="20"/>
        </w:rPr>
        <w:t xml:space="preserve">Everything described here is built and running, unless it appears in section 14, which lists what is not. The screenshots, figures and behaviours are from the working system rather than from a specification. Where something is modelled rather than measured, the paper says so in the sentence that introduces it.</w:t>
      </w:r>
    </w:p>
    <w:p>
      <w:pPr>
        <w:keepNext/>
        <w:spacing w:after="60" w:before="420"/>
      </w:pPr>
      <w:r>
        <w:rPr>
          <w:rFonts w:ascii="Cambria" w:cs="Cambria" w:eastAsia="Cambria" w:hAnsi="Cambria"/>
          <w:b/>
          <w:bCs/>
          <w:color w:val="7C6BC4"/>
          <w:sz w:val="30"/>
          <w:szCs w:val="30"/>
        </w:rPr>
        <w:t xml:space="preserve">2  </w:t>
      </w:r>
      <w:r>
        <w:rPr>
          <w:rFonts w:ascii="Cambria" w:cs="Cambria" w:eastAsia="Cambria" w:hAnsi="Cambria"/>
          <w:b/>
          <w:bCs/>
          <w:color w:val="16122C"/>
          <w:sz w:val="30"/>
          <w:szCs w:val="30"/>
        </w:rPr>
        <w:t xml:space="preserve">The problem, precisely stated</w:t>
      </w:r>
    </w:p>
    <w:p>
      <w:pPr>
        <w:spacing w:after="130" w:before="0" w:line="288"/>
      </w:pPr>
      <w:r>
        <w:rPr>
          <w:rFonts w:ascii="Calibri" w:cs="Calibri" w:eastAsia="Calibri" w:hAnsi="Calibri"/>
          <w:color w:val="2A2447"/>
          <w:sz w:val="21"/>
          <w:szCs w:val="21"/>
        </w:rPr>
        <w:t xml:space="preserve">Investment fraud is not a fringe crime. The Global State of Scams survey puts worldwide losses at approximately US$442 billion in 2024, extrapolated from around 46,000 adults across 42 markets. Bank Negara Malaysia reports RM2.8 billion in scam losses for 2025 across telecommunications, e-commerce, loan, investment, romance, malware and phishing categories. Reported losses are a floor: under-reporting in this category is heavy and systematic, because victims are ashamed.</w:t>
      </w:r>
    </w:p>
    <w:p>
      <w:pPr>
        <w:spacing w:after="130" w:before="0" w:line="288"/>
      </w:pPr>
      <w:r>
        <w:rPr>
          <w:rFonts w:ascii="Calibri" w:cs="Calibri" w:eastAsia="Calibri" w:hAnsi="Calibri"/>
          <w:color w:val="2A2447"/>
          <w:sz w:val="21"/>
          <w:szCs w:val="21"/>
        </w:rPr>
        <w:t xml:space="preserve">Three features of the crime defeat the current response.</w:t>
      </w:r>
    </w:p>
    <w:p>
      <w:pPr>
        <w:keepNext/>
        <w:spacing w:after="50" w:before="240"/>
      </w:pPr>
      <w:r>
        <w:rPr>
          <w:rFonts w:ascii="Calibri" w:cs="Calibri" w:eastAsia="Calibri" w:hAnsi="Calibri"/>
          <w:b/>
          <w:bCs/>
          <w:color w:val="544491"/>
          <w:spacing w:val="34"/>
          <w:sz w:val="15"/>
          <w:szCs w:val="15"/>
        </w:rPr>
        <w:t xml:space="preserve">IT IS CONVERSATIONAL</w:t>
      </w:r>
    </w:p>
    <w:p>
      <w:pPr>
        <w:spacing w:after="130" w:before="0" w:line="288"/>
      </w:pPr>
      <w:r>
        <w:rPr>
          <w:rFonts w:ascii="Calibri" w:cs="Calibri" w:eastAsia="Calibri" w:hAnsi="Calibri"/>
          <w:color w:val="2A2447"/>
          <w:sz w:val="21"/>
          <w:szCs w:val="21"/>
        </w:rPr>
        <w:t xml:space="preserve">A scam is not a document a person could have read more carefully. It is a conversation in which somebody skilled applies pressure over minutes or weeks. Countermeasures delivered as documents are answering the wrong format.</w:t>
      </w:r>
    </w:p>
    <w:p>
      <w:pPr>
        <w:keepNext/>
        <w:spacing w:after="50" w:before="240"/>
      </w:pPr>
      <w:r>
        <w:rPr>
          <w:rFonts w:ascii="Calibri" w:cs="Calibri" w:eastAsia="Calibri" w:hAnsi="Calibri"/>
          <w:b/>
          <w:bCs/>
          <w:color w:val="544491"/>
          <w:spacing w:val="34"/>
          <w:sz w:val="15"/>
          <w:szCs w:val="15"/>
        </w:rPr>
        <w:t xml:space="preserve">IT IS ADAPTIVE</w:t>
      </w:r>
    </w:p>
    <w:p>
      <w:pPr>
        <w:spacing w:after="130" w:before="0" w:line="288"/>
      </w:pPr>
      <w:r>
        <w:rPr>
          <w:rFonts w:ascii="Calibri" w:cs="Calibri" w:eastAsia="Calibri" w:hAnsi="Calibri"/>
          <w:color w:val="2A2447"/>
          <w:sz w:val="21"/>
          <w:szCs w:val="21"/>
        </w:rPr>
        <w:t xml:space="preserve">Typologies change faster than curricula. A leaflet describing last year's tactic is not merely stale — it teaches a pattern that the current adversary has already moved past, which can leave a person more confident and less safe.</w:t>
      </w:r>
    </w:p>
    <w:p>
      <w:pPr>
        <w:keepNext/>
        <w:spacing w:after="50" w:before="240"/>
      </w:pPr>
      <w:r>
        <w:rPr>
          <w:rFonts w:ascii="Calibri" w:cs="Calibri" w:eastAsia="Calibri" w:hAnsi="Calibri"/>
          <w:b/>
          <w:bCs/>
          <w:color w:val="544491"/>
          <w:spacing w:val="34"/>
          <w:sz w:val="15"/>
          <w:szCs w:val="15"/>
        </w:rPr>
        <w:t xml:space="preserve">IT DEFEATS KNOWLEDGE SPECIFICALLY</w:t>
      </w:r>
    </w:p>
    <w:p>
      <w:pPr>
        <w:spacing w:after="130" w:before="0" w:line="288"/>
      </w:pPr>
      <w:r>
        <w:rPr>
          <w:rFonts w:ascii="Calibri" w:cs="Calibri" w:eastAsia="Calibri" w:hAnsi="Calibri"/>
          <w:color w:val="2A2447"/>
          <w:sz w:val="21"/>
          <w:szCs w:val="21"/>
        </w:rPr>
        <w:t xml:space="preserve">Every tactic in the corpus is engineered to make a person stop doing something they know they should do. Urgency does not make you forget to check the register; it makes you not check it. That distinction is why measuring knowledge measures the wrong thing.</w:t>
      </w:r>
    </w:p>
    <w:p>
      <w:pPr>
        <w:pBdr>
          <w:left w:val="single" w:color="7C6BC4" w:sz="14" w:space="14"/>
        </w:pBdr>
        <w:spacing w:after="170" w:before="170" w:line="300"/>
        <w:ind w:left="260"/>
      </w:pPr>
      <w:r>
        <w:rPr>
          <w:rFonts w:ascii="Cambria" w:cs="Cambria" w:eastAsia="Cambria" w:hAnsi="Cambria"/>
          <w:i/>
          <w:iCs/>
          <w:color w:val="16122C"/>
          <w:sz w:val="23"/>
          <w:szCs w:val="23"/>
        </w:rPr>
        <w:t xml:space="preserve">A person who knows the rule and does not follow it under pressure is indistinguishable, on every existing measure, from a person who is protected.</w:t>
      </w:r>
    </w:p>
    <w:p>
      <w:pPr>
        <w:spacing w:after="130" w:before="0" w:line="288"/>
      </w:pPr>
      <w:r>
        <w:rPr>
          <w:rFonts w:ascii="Calibri" w:cs="Calibri" w:eastAsia="Calibri" w:hAnsi="Calibri"/>
          <w:color w:val="2A2447"/>
          <w:sz w:val="21"/>
          <w:szCs w:val="21"/>
        </w:rPr>
        <w:t xml:space="preserve">So the product's central design decision follows: AUREN does not assess what a person knows. It puts them under pressure and assesses what they do — and then it has to be able to prove that the assessment was fair, that the pressure was approved, and that the finding rests on something the person said rather than on something a model inferred.</w:t>
      </w:r>
    </w:p>
    <w:p>
      <w:pPr>
        <w:keepNext/>
        <w:spacing w:after="60" w:before="420"/>
      </w:pPr>
      <w:r>
        <w:rPr>
          <w:rFonts w:ascii="Cambria" w:cs="Cambria" w:eastAsia="Cambria" w:hAnsi="Cambria"/>
          <w:b/>
          <w:bCs/>
          <w:color w:val="7C6BC4"/>
          <w:sz w:val="30"/>
          <w:szCs w:val="30"/>
        </w:rPr>
        <w:t xml:space="preserve">3  </w:t>
      </w:r>
      <w:r>
        <w:rPr>
          <w:rFonts w:ascii="Cambria" w:cs="Cambria" w:eastAsia="Cambria" w:hAnsi="Cambria"/>
          <w:b/>
          <w:bCs/>
          <w:color w:val="16122C"/>
          <w:sz w:val="30"/>
          <w:szCs w:val="30"/>
        </w:rPr>
        <w:t xml:space="preserve">Three solutions, one engine</w:t>
      </w:r>
    </w:p>
    <w:p>
      <w:pPr>
        <w:spacing w:after="130" w:before="0" w:line="288"/>
      </w:pPr>
      <w:r>
        <w:rPr>
          <w:rFonts w:ascii="Calibri" w:cs="Calibri" w:eastAsia="Calibri" w:hAnsi="Calibri"/>
          <w:color w:val="2A2447"/>
          <w:sz w:val="21"/>
          <w:szCs w:val="21"/>
        </w:rPr>
        <w:t xml:space="preserve">AUREN is delivered as three surfaces. They are not three products sharing a brand; they are three views of one governed system, and each is load-bearing for the others.</w:t>
      </w:r>
    </w:p>
    <w:tbl>
      <w:tblPr>
        <w:tblW w:type="dxa" w:w="9070"/>
        <w:tblBorders>
          <w:top w:val="single" w:color="D8D4E8" w:sz="2"/>
          <w:left w:val="single" w:color="D8D4E8" w:sz="2"/>
          <w:bottom w:val="single" w:color="D8D4E8" w:sz="2"/>
          <w:right w:val="single" w:color="D8D4E8" w:sz="2"/>
          <w:insideH w:val="single" w:color="D8D4E8" w:sz="2"/>
          <w:insideV w:val="single" w:color="D8D4E8" w:sz="2"/>
        </w:tblBorders>
      </w:tblPr>
      <w:tblGrid>
        <w:gridCol w:w="1900"/>
        <w:gridCol w:w="2400"/>
        <w:gridCol w:w="4770"/>
      </w:tblGrid>
      <w:tr>
        <w:trPr>
          <w:tblHeader/>
        </w:trPr>
        <w:tc>
          <w:tcPr>
            <w:tcW w:type="dxa" w:w="19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Surface</w:t>
            </w:r>
          </w:p>
        </w:tc>
        <w:tc>
          <w:tcPr>
            <w:tcW w:type="dxa" w:w="24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Who opens it</w:t>
            </w:r>
          </w:p>
        </w:tc>
        <w:tc>
          <w:tcPr>
            <w:tcW w:type="dxa" w:w="477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What it does</w:t>
            </w:r>
          </w:p>
        </w:tc>
      </w:tr>
      <w:tr>
        <w:trPr>
          <w:tblHeader w:val="false"/>
        </w:trPr>
        <w:tc>
          <w:tcPr>
            <w:tcW w:type="dxa" w:w="19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Rehearse</w:t>
            </w:r>
          </w:p>
        </w:tc>
        <w:tc>
          <w:tcPr>
            <w:tcW w:type="dxa" w:w="24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 retail investor, from a link, with no account</w:t>
            </w:r>
          </w:p>
        </w:tc>
        <w:tc>
          <w:tcPr>
            <w:tcW w:type="dxa" w:w="47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The five-minute voice loop: understand, diagnose, stress, coach, retest, evidence.</w:t>
            </w:r>
          </w:p>
        </w:tc>
      </w:tr>
      <w:tr>
        <w:trPr>
          <w:tblHeader w:val="false"/>
        </w:trPr>
        <w:tc>
          <w:tcPr>
            <w:tcW w:type="dxa" w:w="19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Nexus</w:t>
            </w:r>
          </w:p>
        </w:tc>
        <w:tc>
          <w:tcPr>
            <w:tcW w:type="dxa" w:w="24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An authority's analyst, reviewer or contributing institution</w:t>
            </w:r>
          </w:p>
        </w:tc>
        <w:tc>
          <w:tcPr>
            <w:tcW w:type="dxa" w:w="47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Where governed knowledge comes from. Two intakes — emerging scam tactics, and the authority's existing training curricula — and the publish gate that decides what may ever be spoken.</w:t>
            </w:r>
          </w:p>
        </w:tc>
      </w:tr>
      <w:tr>
        <w:trPr>
          <w:tblHeader w:val="false"/>
        </w:trPr>
        <w:tc>
          <w:tcPr>
            <w:tcW w:type="dxa" w:w="19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Supervision</w:t>
            </w:r>
          </w:p>
        </w:tc>
        <w:tc>
          <w:tcPr>
            <w:tcW w:type="dxa" w:w="24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 regulator, a bank, a ministry</w:t>
            </w:r>
          </w:p>
        </w:tc>
        <w:tc>
          <w:tcPr>
            <w:tcW w:type="dxa" w:w="47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Who has been through it, how each person did, what to do about each of them, and whether the programme is working.</w:t>
            </w:r>
          </w:p>
        </w:tc>
      </w:tr>
    </w:tbl>
    <w:p>
      <w:pPr>
        <w:spacing w:after="140"/>
      </w:pPr>
    </w:p>
    <w:p>
      <w:pPr>
        <w:spacing w:after="130" w:before="0" w:line="288"/>
      </w:pPr>
      <w:r>
        <w:rPr>
          <w:rFonts w:ascii="Calibri" w:cs="Calibri" w:eastAsia="Calibri" w:hAnsi="Calibri"/>
          <w:color w:val="2A2447"/>
          <w:sz w:val="21"/>
          <w:szCs w:val="21"/>
        </w:rPr>
        <w:t xml:space="preserve">The dependency runs in a loop, and the loop is the asset.</w:t>
      </w:r>
    </w:p>
    <w:p>
      <w:pPr>
        <w:pBdr>
          <w:left w:val="single" w:color="7C6BC4" w:sz="14" w:space="14"/>
        </w:pBdr>
        <w:spacing w:after="170" w:before="170" w:line="300"/>
        <w:ind w:left="260"/>
      </w:pPr>
      <w:r>
        <w:rPr>
          <w:rFonts w:ascii="Cambria" w:cs="Cambria" w:eastAsia="Cambria" w:hAnsi="Cambria"/>
          <w:i/>
          <w:iCs/>
          <w:color w:val="16122C"/>
          <w:sz w:val="21"/>
          <w:szCs w:val="21"/>
        </w:rPr>
        <w:t xml:space="preserve">A coach with no intelligence feed is teaching last year's scam. A console reporting on a corpus nobody refreshes is measuring a fixed exam. Intelligence with no supervision never learns which tactics are actually beating people.</w:t>
      </w:r>
    </w:p>
    <w:p>
      <w:pPr>
        <w:spacing w:after="130" w:before="0" w:line="288"/>
      </w:pPr>
      <w:r>
        <w:rPr>
          <w:rFonts w:ascii="Calibri" w:cs="Calibri" w:eastAsia="Calibri" w:hAnsi="Calibri"/>
          <w:color w:val="2A2447"/>
          <w:sz w:val="21"/>
          <w:szCs w:val="21"/>
        </w:rPr>
        <w:t xml:space="preserve">Supervision tells the network which tactics are defeating people and which of those cannot yet be rehearsed against. That gap list is the instruction to the intelligence layer about what to go and find. Nexus turns the answer into approved objects. Rehearse puts people through them. Which produces the next gap list.</w:t>
      </w:r>
    </w:p>
    <w:p>
      <w:pPr>
        <w:spacing w:after="130" w:before="0" w:line="288"/>
      </w:pPr>
      <w:r>
        <w:rPr>
          <w:rFonts w:ascii="Calibri" w:cs="Calibri" w:eastAsia="Calibri" w:hAnsi="Calibri"/>
          <w:color w:val="2A2447"/>
          <w:sz w:val="21"/>
          <w:szCs w:val="21"/>
        </w:rPr>
        <w:t xml:space="preserve">No competitor can assemble that loop by licensing a model, because none of its three parts is a model.</w:t>
      </w:r>
    </w:p>
    <w:p>
      <w:r>
        <w:br w:type="page"/>
      </w:r>
    </w:p>
    <w:p>
      <w:pPr>
        <w:keepNext/>
        <w:spacing w:after="60" w:before="420"/>
      </w:pPr>
      <w:r>
        <w:rPr>
          <w:rFonts w:ascii="Cambria" w:cs="Cambria" w:eastAsia="Cambria" w:hAnsi="Cambria"/>
          <w:b/>
          <w:bCs/>
          <w:color w:val="7C6BC4"/>
          <w:sz w:val="30"/>
          <w:szCs w:val="30"/>
        </w:rPr>
        <w:t xml:space="preserve">4  </w:t>
      </w:r>
      <w:r>
        <w:rPr>
          <w:rFonts w:ascii="Cambria" w:cs="Cambria" w:eastAsia="Cambria" w:hAnsi="Cambria"/>
          <w:b/>
          <w:bCs/>
          <w:color w:val="16122C"/>
          <w:sz w:val="30"/>
          <w:szCs w:val="30"/>
        </w:rPr>
        <w:t xml:space="preserve">Rehearse — the investor-facing loop</w:t>
      </w:r>
    </w:p>
    <w:p>
      <w:pPr>
        <w:spacing w:after="130" w:before="0" w:line="288"/>
      </w:pPr>
      <w:r>
        <w:rPr>
          <w:rFonts w:ascii="Calibri" w:cs="Calibri" w:eastAsia="Calibri" w:hAnsi="Calibri"/>
          <w:color w:val="2A2447"/>
          <w:sz w:val="21"/>
          <w:szCs w:val="21"/>
        </w:rPr>
        <w:t xml:space="preserve">Five minutes, spoken, with no account and nothing to type. The learner talks; the digital human listens.</w:t>
      </w:r>
    </w:p>
    <w:p>
      <w:pPr>
        <w:keepNext/>
        <w:spacing w:after="70" w:before="300"/>
      </w:pPr>
      <w:r>
        <w:rPr>
          <w:rFonts w:ascii="Cambria" w:cs="Cambria" w:eastAsia="Cambria" w:hAnsi="Cambria"/>
          <w:b/>
          <w:bCs/>
          <w:color w:val="16122C"/>
          <w:sz w:val="23"/>
          <w:szCs w:val="23"/>
        </w:rPr>
        <w:t xml:space="preserve">The seven stages</w:t>
      </w:r>
    </w:p>
    <w:tbl>
      <w:tblPr>
        <w:tblW w:type="dxa" w:w="9070"/>
        <w:tblBorders>
          <w:top w:val="single" w:color="D8D4E8" w:sz="2"/>
          <w:left w:val="single" w:color="D8D4E8" w:sz="2"/>
          <w:bottom w:val="single" w:color="D8D4E8" w:sz="2"/>
          <w:right w:val="single" w:color="D8D4E8" w:sz="2"/>
          <w:insideH w:val="single" w:color="D8D4E8" w:sz="2"/>
          <w:insideV w:val="single" w:color="D8D4E8" w:sz="2"/>
        </w:tblBorders>
      </w:tblPr>
      <w:tblGrid>
        <w:gridCol w:w="1500"/>
        <w:gridCol w:w="1500"/>
        <w:gridCol w:w="6070"/>
      </w:tblGrid>
      <w:tr>
        <w:trPr>
          <w:tblHeader/>
        </w:trPr>
        <w:tc>
          <w:tcPr>
            <w:tcW w:type="dxa" w:w="15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Stage</w:t>
            </w:r>
          </w:p>
        </w:tc>
        <w:tc>
          <w:tcPr>
            <w:tcW w:type="dxa" w:w="15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Engine</w:t>
            </w:r>
          </w:p>
        </w:tc>
        <w:tc>
          <w:tcPr>
            <w:tcW w:type="dxa" w:w="607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What happens</w:t>
            </w:r>
          </w:p>
        </w:tc>
      </w:tr>
      <w:tr>
        <w:trPr>
          <w:tblHeader w:val="false"/>
        </w:trPr>
        <w:tc>
          <w:tcPr>
            <w:tcW w:type="dxa" w:w="15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Understand</w:t>
            </w:r>
          </w:p>
        </w:tc>
        <w:tc>
          <w:tcPr>
            <w:tcW w:type="dxa" w:w="15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S1</w:t>
            </w:r>
          </w:p>
        </w:tc>
        <w:tc>
          <w:tcPr>
            <w:tcW w:type="dxa" w:w="60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The learner describes the investment in their own words, uninterrupted. Nothing analytical is shown — the situation map populates silently, because a person narrating is a person not yet performing.</w:t>
            </w:r>
          </w:p>
        </w:tc>
      </w:tr>
      <w:tr>
        <w:trPr>
          <w:tblHeader w:val="false"/>
        </w:trPr>
        <w:tc>
          <w:tcPr>
            <w:tcW w:type="dxa" w:w="15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Diagnose</w:t>
            </w:r>
          </w:p>
        </w:tc>
        <w:tc>
          <w:tcPr>
            <w:tcW w:type="dxa" w:w="15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S3</w:t>
            </w:r>
          </w:p>
        </w:tc>
        <w:tc>
          <w:tcPr>
            <w:tcW w:type="dxa" w:w="60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Four governed questions resolve four competency elements. Each answer is evaluated against satisfaction cues authored in that language. Statuses resolve silently; the rail shows only that work is happening.</w:t>
            </w:r>
          </w:p>
        </w:tc>
      </w:tr>
      <w:tr>
        <w:trPr>
          <w:tblHeader w:val="false"/>
        </w:trPr>
        <w:tc>
          <w:tcPr>
            <w:tcW w:type="dxa" w:w="15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Stress</w:t>
            </w:r>
          </w:p>
        </w:tc>
        <w:tc>
          <w:tcPr>
            <w:tcW w:type="dxa" w:w="15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S5</w:t>
            </w:r>
          </w:p>
        </w:tc>
        <w:tc>
          <w:tcPr>
            <w:tcW w:type="dxa" w:w="60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The coach leaves. An approved adversary arrives — different voice, different colour, a nameplate in silence before a word is spoken. It climbs an approved escalation ladder. No mid-scenario correction, ever.</w:t>
            </w:r>
          </w:p>
        </w:tc>
      </w:tr>
      <w:tr>
        <w:trPr>
          <w:tblHeader w:val="false"/>
        </w:trPr>
        <w:tc>
          <w:tcPr>
            <w:tcW w:type="dxa" w:w="15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Coach</w:t>
            </w:r>
          </w:p>
        </w:tc>
        <w:tc>
          <w:tcPr>
            <w:tcW w:type="dxa" w:w="15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S6</w:t>
            </w:r>
          </w:p>
        </w:tc>
        <w:tc>
          <w:tcPr>
            <w:tcW w:type="dxa" w:w="60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Three staged beats. Their own sentence lands alone and in silence. Then the failure signature is named. Then the reasoning map unfreezes and the elements flip.</w:t>
            </w:r>
          </w:p>
        </w:tc>
      </w:tr>
      <w:tr>
        <w:trPr>
          <w:tblHeader w:val="false"/>
        </w:trPr>
        <w:tc>
          <w:tcPr>
            <w:tcW w:type="dxa" w:w="15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Retest</w:t>
            </w:r>
          </w:p>
        </w:tc>
        <w:tc>
          <w:tcPr>
            <w:tcW w:type="dxa" w:w="15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S5′</w:t>
            </w:r>
          </w:p>
        </w:tc>
        <w:tc>
          <w:tcPr>
            <w:tcW w:type="dxa" w:w="60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 completely different scam asking the same underlying question, sharing no typology, channel, persona or product class with the one they failed.</w:t>
            </w:r>
          </w:p>
        </w:tc>
      </w:tr>
      <w:tr>
        <w:trPr>
          <w:tblHeader w:val="false"/>
        </w:trPr>
        <w:tc>
          <w:tcPr>
            <w:tcW w:type="dxa" w:w="15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Debrief</w:t>
            </w:r>
          </w:p>
        </w:tc>
        <w:tc>
          <w:tcPr>
            <w:tcW w:type="dxa" w:w="15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S7·a</w:t>
            </w:r>
          </w:p>
        </w:tc>
        <w:tc>
          <w:tcPr>
            <w:tcW w:type="dxa" w:w="60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The coach speaks the assessment — what held, what broke, what changes — with her face on screen and nothing analytical near it.</w:t>
            </w:r>
          </w:p>
        </w:tc>
      </w:tr>
      <w:tr>
        <w:trPr>
          <w:tblHeader w:val="false"/>
        </w:trPr>
        <w:tc>
          <w:tcPr>
            <w:tcW w:type="dxa" w:w="15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Evidence</w:t>
            </w:r>
          </w:p>
        </w:tc>
        <w:tc>
          <w:tcPr>
            <w:tcW w:type="dxa" w:w="15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S7</w:t>
            </w:r>
          </w:p>
        </w:tc>
        <w:tc>
          <w:tcPr>
            <w:tcW w:type="dxa" w:w="60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The Investor Readiness Record. Verdict first, the four-column evidence chain underneath.</w:t>
            </w:r>
          </w:p>
        </w:tc>
      </w:tr>
    </w:tbl>
    <w:p>
      <w:pPr>
        <w:spacing w:after="140"/>
      </w:pPr>
    </w:p>
    <w:p>
      <w:pPr>
        <w:keepNext/>
        <w:spacing w:after="70" w:before="300"/>
      </w:pPr>
      <w:r>
        <w:rPr>
          <w:rFonts w:ascii="Cambria" w:cs="Cambria" w:eastAsia="Cambria" w:hAnsi="Cambria"/>
          <w:b/>
          <w:bCs/>
          <w:color w:val="16122C"/>
          <w:sz w:val="23"/>
          <w:szCs w:val="23"/>
        </w:rPr>
        <w:t xml:space="preserve">Three decisions inside the loop that are easy to get wrong</w:t>
      </w:r>
    </w:p>
    <w:p>
      <w:pPr>
        <w:keepNext/>
        <w:spacing w:after="50" w:before="240"/>
      </w:pPr>
      <w:r>
        <w:rPr>
          <w:rFonts w:ascii="Calibri" w:cs="Calibri" w:eastAsia="Calibri" w:hAnsi="Calibri"/>
          <w:b/>
          <w:bCs/>
          <w:color w:val="544491"/>
          <w:spacing w:val="34"/>
          <w:sz w:val="15"/>
          <w:szCs w:val="15"/>
        </w:rPr>
        <w:t xml:space="preserve">THE MAP FREEZES DURING THE CHALLENGE</w:t>
      </w:r>
    </w:p>
    <w:p>
      <w:pPr>
        <w:spacing w:after="130" w:before="0" w:line="288"/>
      </w:pPr>
      <w:r>
        <w:rPr>
          <w:rFonts w:ascii="Calibri" w:cs="Calibri" w:eastAsia="Calibri" w:hAnsi="Calibri"/>
          <w:color w:val="2A2447"/>
          <w:sz w:val="21"/>
          <w:szCs w:val="21"/>
        </w:rPr>
        <w:t xml:space="preserve">While the adversary is working, the reasoning map dims and stops updating. Elements never flip live during a scenario. The mistake has to be allowed to happen quietly — a learner who sees a red cross appear mid-conversation has been told the answer, and the rest of the scenario measures nothing.</w:t>
      </w:r>
    </w:p>
    <w:p>
      <w:pPr>
        <w:keepNext/>
        <w:spacing w:after="50" w:before="240"/>
      </w:pPr>
      <w:r>
        <w:rPr>
          <w:rFonts w:ascii="Calibri" w:cs="Calibri" w:eastAsia="Calibri" w:hAnsi="Calibri"/>
          <w:b/>
          <w:bCs/>
          <w:color w:val="544491"/>
          <w:spacing w:val="34"/>
          <w:sz w:val="15"/>
          <w:szCs w:val="15"/>
        </w:rPr>
        <w:t xml:space="preserve">NON-TRANSFER IS CARRIED HONESTLY</w:t>
      </w:r>
    </w:p>
    <w:p>
      <w:pPr>
        <w:spacing w:after="130" w:before="0" w:line="288"/>
      </w:pPr>
      <w:r>
        <w:rPr>
          <w:rFonts w:ascii="Calibri" w:cs="Calibri" w:eastAsia="Calibri" w:hAnsi="Calibri"/>
          <w:color w:val="2A2447"/>
          <w:sz w:val="21"/>
          <w:szCs w:val="21"/>
        </w:rPr>
        <w:t xml:space="preserve">If the learner is coached and the new scenario still gets past them, that is what the record says. The alternative — coaching again until they pass — manufactures a result and destroys the only claim the product makes.</w:t>
      </w:r>
    </w:p>
    <w:p>
      <w:pPr>
        <w:keepNext/>
        <w:spacing w:after="50" w:before="240"/>
      </w:pPr>
      <w:r>
        <w:rPr>
          <w:rFonts w:ascii="Calibri" w:cs="Calibri" w:eastAsia="Calibri" w:hAnsi="Calibri"/>
          <w:b/>
          <w:bCs/>
          <w:color w:val="544491"/>
          <w:spacing w:val="34"/>
          <w:sz w:val="15"/>
          <w:szCs w:val="15"/>
        </w:rPr>
        <w:t xml:space="preserve">THE COACH DELIVERS THE VERDICT, NOT A DOCUMENT</w:t>
      </w:r>
    </w:p>
    <w:p>
      <w:pPr>
        <w:spacing w:after="130" w:before="0" w:line="288"/>
      </w:pPr>
      <w:r>
        <w:rPr>
          <w:rFonts w:ascii="Calibri" w:cs="Calibri" w:eastAsia="Calibri" w:hAnsi="Calibri"/>
          <w:color w:val="2A2447"/>
          <w:sz w:val="21"/>
          <w:szCs w:val="21"/>
        </w:rPr>
        <w:t xml:space="preserve">The loop used to end by replacing the digital human with a full-screen record. That is backwards for a product whose whole claim is the human: at the moment the learner most needs a person, the person left. The coach now says it, and the written record follows on request as the audit trail rather than as the delivery.</w:t>
      </w:r>
    </w:p>
    <w:p>
      <w:pPr>
        <w:pBdr>
          <w:left w:val="single" w:color="7C6BC4" w:sz="14" w:space="14"/>
        </w:pBdr>
        <w:spacing w:after="170" w:before="170" w:line="300"/>
        <w:ind w:left="260"/>
      </w:pPr>
      <w:r>
        <w:rPr>
          <w:rFonts w:ascii="Cambria" w:cs="Cambria" w:eastAsia="Cambria" w:hAnsi="Cambria"/>
          <w:i/>
          <w:iCs/>
          <w:color w:val="16122C"/>
          <w:sz w:val="23"/>
          <w:szCs w:val="23"/>
        </w:rPr>
        <w:t xml:space="preserve">A record the learner reads is a document. A record the coach says to them is the thing they carry out of the room.</w:t>
      </w:r>
    </w:p>
    <w:p>
      <w:pPr>
        <w:keepNext/>
        <w:spacing w:after="70" w:before="300"/>
      </w:pPr>
      <w:r>
        <w:rPr>
          <w:rFonts w:ascii="Cambria" w:cs="Cambria" w:eastAsia="Cambria" w:hAnsi="Cambria"/>
          <w:b/>
          <w:bCs/>
          <w:color w:val="16122C"/>
          <w:sz w:val="23"/>
          <w:szCs w:val="23"/>
        </w:rPr>
        <w:t xml:space="preserve">What the record proves</w:t>
      </w:r>
    </w:p>
    <w:p>
      <w:pPr>
        <w:spacing w:after="130" w:before="0" w:line="288"/>
      </w:pPr>
      <w:r>
        <w:rPr>
          <w:rFonts w:ascii="Calibri" w:cs="Calibri" w:eastAsia="Calibri" w:hAnsi="Calibri"/>
          <w:color w:val="2A2447"/>
          <w:sz w:val="21"/>
          <w:szCs w:val="21"/>
        </w:rPr>
        <w:t xml:space="preserve">Four columns per competency element — baseline, under pressure, after coaching, in a novel scenario — and under each one, the learner's own sentence and the question that elicited it. The headline is a verdict in plain language, and the number sits underneath it.</w:t>
      </w:r>
    </w:p>
    <w:p>
      <w:pPr>
        <w:pBdr>
          <w:top w:val="single" w:color="EFECF9" w:sz="2" w:space="10"/>
          <w:bottom w:val="single" w:color="EFECF9" w:sz="2" w:space="10"/>
          <w:left w:val="single" w:color="EFECF9" w:sz="2" w:space="12"/>
          <w:right w:val="single" w:color="EFECF9" w:sz="2" w:space="12"/>
        </w:pBdr>
        <w:shd w:fill="F8F6FD" w:val="clear"/>
        <w:spacing w:after="150" w:before="150" w:line="282"/>
      </w:pPr>
      <w:r>
        <w:rPr>
          <w:rFonts w:ascii="Calibri" w:cs="Calibri" w:eastAsia="Calibri" w:hAnsi="Calibri"/>
          <w:b/>
          <w:bCs/>
          <w:color w:val="16122C"/>
          <w:sz w:val="20"/>
          <w:szCs w:val="20"/>
        </w:rPr>
        <w:t xml:space="preserve">The claim is bounded, on the record itself. </w:t>
      </w:r>
      <w:r>
        <w:rPr>
          <w:rFonts w:ascii="Calibri" w:cs="Calibri" w:eastAsia="Calibri" w:hAnsi="Calibri"/>
          <w:color w:val="2A2447"/>
          <w:sz w:val="20"/>
          <w:szCs w:val="20"/>
        </w:rPr>
        <w:t xml:space="preserve">Transfer is measured within one session. The record says so where the number is, and the certificate states that it attests to a rehearsal rather than to investment competence and makes no claim about durable behaviour change. Overstating that would be the fastest way to lose a regulator.</w:t>
      </w:r>
    </w:p>
    <w:p>
      <w:r>
        <w:br w:type="page"/>
      </w:r>
    </w:p>
    <w:p>
      <w:pPr>
        <w:keepNext/>
        <w:spacing w:after="60" w:before="420"/>
      </w:pPr>
      <w:r>
        <w:rPr>
          <w:rFonts w:ascii="Cambria" w:cs="Cambria" w:eastAsia="Cambria" w:hAnsi="Cambria"/>
          <w:b/>
          <w:bCs/>
          <w:color w:val="7C6BC4"/>
          <w:sz w:val="30"/>
          <w:szCs w:val="30"/>
        </w:rPr>
        <w:t xml:space="preserve">5  </w:t>
      </w:r>
      <w:r>
        <w:rPr>
          <w:rFonts w:ascii="Cambria" w:cs="Cambria" w:eastAsia="Cambria" w:hAnsi="Cambria"/>
          <w:b/>
          <w:bCs/>
          <w:color w:val="16122C"/>
          <w:sz w:val="30"/>
          <w:szCs w:val="30"/>
        </w:rPr>
        <w:t xml:space="preserve">Nexus — where governed knowledge comes from</w:t>
      </w:r>
    </w:p>
    <w:p>
      <w:pPr>
        <w:spacing w:after="130" w:before="0" w:line="288"/>
      </w:pPr>
      <w:r>
        <w:rPr>
          <w:rFonts w:ascii="Calibri" w:cs="Calibri" w:eastAsia="Calibri" w:hAnsi="Calibri"/>
          <w:color w:val="2A2447"/>
          <w:sz w:val="21"/>
          <w:szCs w:val="21"/>
        </w:rPr>
        <w:t xml:space="preserve">If a freshly-lodged scam report could reach a learner as speech, then nobody approved what the persona says, the escalation ladder has no ceiling anyone signed, and a tactic submitted as intelligence becomes a script a machine reads to a retail investor while applying pressure to them.</w:t>
      </w:r>
    </w:p>
    <w:p>
      <w:pPr>
        <w:spacing w:after="130" w:before="0" w:line="288"/>
      </w:pPr>
      <w:r>
        <w:rPr>
          <w:rFonts w:ascii="Calibri" w:cs="Calibri" w:eastAsia="Calibri" w:hAnsi="Calibri"/>
          <w:color w:val="2A2447"/>
          <w:sz w:val="21"/>
          <w:szCs w:val="21"/>
        </w:rPr>
        <w:t xml:space="preserve">So Nexus is a pipeline with a human gate. It has two intakes, and keeping them distinct is the design.</w:t>
      </w:r>
    </w:p>
    <w:p>
      <w:pPr>
        <w:pBdr>
          <w:left w:val="single" w:color="7C6BC4" w:sz="14" w:space="14"/>
        </w:pBdr>
        <w:spacing w:after="170" w:before="170" w:line="300"/>
        <w:ind w:left="260"/>
      </w:pPr>
      <w:r>
        <w:rPr>
          <w:rFonts w:ascii="Cambria" w:cs="Cambria" w:eastAsia="Cambria" w:hAnsi="Cambria"/>
          <w:i/>
          <w:iCs/>
          <w:color w:val="16122C"/>
          <w:sz w:val="23"/>
          <w:szCs w:val="23"/>
        </w:rPr>
        <w:t xml:space="preserve">A signal says what the adversary does. A module says what the authority teaches.</w:t>
      </w:r>
    </w:p>
    <w:p>
      <w:pPr>
        <w:keepNext/>
        <w:spacing w:after="70" w:before="300"/>
      </w:pPr>
      <w:r>
        <w:rPr>
          <w:rFonts w:ascii="Cambria" w:cs="Cambria" w:eastAsia="Cambria" w:hAnsi="Cambria"/>
          <w:b/>
          <w:bCs/>
          <w:color w:val="16122C"/>
          <w:sz w:val="23"/>
          <w:szCs w:val="23"/>
        </w:rPr>
        <w:t xml:space="preserve">Two intakes, different outputs</w:t>
      </w:r>
    </w:p>
    <w:tbl>
      <w:tblPr>
        <w:tblW w:type="dxa" w:w="9070"/>
        <w:tblBorders>
          <w:top w:val="single" w:color="D8D4E8" w:sz="2"/>
          <w:left w:val="single" w:color="D8D4E8" w:sz="2"/>
          <w:bottom w:val="single" w:color="D8D4E8" w:sz="2"/>
          <w:right w:val="single" w:color="D8D4E8" w:sz="2"/>
          <w:insideH w:val="single" w:color="D8D4E8" w:sz="2"/>
          <w:insideV w:val="single" w:color="D8D4E8" w:sz="2"/>
        </w:tblBorders>
      </w:tblPr>
      <w:tblGrid>
        <w:gridCol w:w="2400"/>
        <w:gridCol w:w="3300"/>
        <w:gridCol w:w="3370"/>
      </w:tblGrid>
      <w:tr>
        <w:trPr>
          <w:tblHeader/>
        </w:trPr>
        <w:tc>
          <w:tcPr>
            <w:tcW w:type="dxa" w:w="24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Intake</w:t>
            </w:r>
          </w:p>
        </w:tc>
        <w:tc>
          <w:tcPr>
            <w:tcW w:type="dxa" w:w="33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Produces</w:t>
            </w:r>
          </w:p>
        </w:tc>
        <w:tc>
          <w:tcPr>
            <w:tcW w:type="dxa" w:w="337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Because</w:t>
            </w:r>
          </w:p>
        </w:tc>
      </w:tr>
      <w:tr>
        <w:trPr>
          <w:tblHeader w:val="false"/>
        </w:trPr>
        <w:tc>
          <w:tcPr>
            <w:tcW w:type="dxa" w:w="24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Threat signal — an emerging tactic lodged by an authority</w:t>
            </w:r>
          </w:p>
        </w:tc>
        <w:tc>
          <w:tcPr>
            <w:tcW w:type="dxa" w:w="33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Challenges and failure signatures</w:t>
            </w:r>
          </w:p>
        </w:tc>
        <w:tc>
          <w:tcPr>
            <w:tcW w:type="dxa" w:w="33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It describes an adversary</w:t>
            </w:r>
          </w:p>
        </w:tc>
      </w:tr>
      <w:tr>
        <w:trPr>
          <w:tblHeader w:val="false"/>
        </w:trPr>
        <w:tc>
          <w:tcPr>
            <w:tcW w:type="dxa" w:w="24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Training module — the authority's existing curriculum</w:t>
            </w:r>
          </w:p>
        </w:tc>
        <w:tc>
          <w:tcPr>
            <w:tcW w:type="dxa" w:w="33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Competency elements and diagnostic questions</w:t>
            </w:r>
          </w:p>
        </w:tc>
        <w:tc>
          <w:tcPr>
            <w:tcW w:type="dxa" w:w="33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It describes a competence</w:t>
            </w:r>
          </w:p>
        </w:tc>
      </w:tr>
    </w:tbl>
    <w:p>
      <w:pPr>
        <w:spacing w:after="140"/>
      </w:pPr>
    </w:p>
    <w:p>
      <w:pPr>
        <w:spacing w:after="130" w:before="0" w:line="288"/>
      </w:pPr>
      <w:r>
        <w:rPr>
          <w:rFonts w:ascii="Calibri" w:cs="Calibri" w:eastAsia="Calibri" w:hAnsi="Calibri"/>
          <w:color w:val="2A2447"/>
          <w:sz w:val="21"/>
          <w:szCs w:val="21"/>
        </w:rPr>
        <w:t xml:space="preserve">A challenge with no element to score against is theatre. An element with no challenge to pressure it is a quiz. Neither intake alone produces a rehearsal, which is the clearest statement of why the network is worth joining.</w:t>
      </w:r>
    </w:p>
    <w:p>
      <w:pPr>
        <w:keepNext/>
        <w:spacing w:after="70" w:before="300"/>
      </w:pPr>
      <w:r>
        <w:rPr>
          <w:rFonts w:ascii="Cambria" w:cs="Cambria" w:eastAsia="Cambria" w:hAnsi="Cambria"/>
          <w:b/>
          <w:bCs/>
          <w:color w:val="16122C"/>
          <w:sz w:val="23"/>
          <w:szCs w:val="23"/>
        </w:rPr>
        <w:t xml:space="preserve">What a training module can do that a signal cannot</w:t>
      </w:r>
    </w:p>
    <w:p>
      <w:pPr>
        <w:spacing w:after="130" w:before="0" w:line="288"/>
      </w:pPr>
      <w:r>
        <w:rPr>
          <w:rFonts w:ascii="Calibri" w:cs="Calibri" w:eastAsia="Calibri" w:hAnsi="Calibri"/>
          <w:color w:val="2A2447"/>
          <w:sz w:val="21"/>
          <w:szCs w:val="21"/>
        </w:rPr>
        <w:t xml:space="preserve">Anchor an element. Every competency element must cite the published principle it derives from, and the publish gate blocks release without one. For a threat signal that is the most expensive gap in the set — a legal reviewer has to go and find the principle. A training module is the authority's own published guidance, so a clause of it arrives as the citation. The reviewer confirms that the clause supports the element rather than sourcing one, which is a different order of work.</w:t>
      </w:r>
    </w:p>
    <w:p>
      <w:pPr>
        <w:spacing w:after="130" w:before="0" w:line="288"/>
      </w:pPr>
      <w:r>
        <w:rPr>
          <w:rFonts w:ascii="Calibri" w:cs="Calibri" w:eastAsia="Calibri" w:hAnsi="Calibri"/>
          <w:color w:val="2A2447"/>
          <w:sz w:val="21"/>
          <w:szCs w:val="21"/>
        </w:rPr>
        <w:t xml:space="preserve">Where a module's outcome lands on an element AUREN already carries, the mapping creates nothing and says so. That is a result rather than a failure: a second authority's published principle now stands behind a competence whose first anchor came from one jurisdiction.</w:t>
      </w:r>
    </w:p>
    <w:p>
      <w:pPr>
        <w:keepNext/>
        <w:spacing w:after="70" w:before="300"/>
      </w:pPr>
      <w:r>
        <w:rPr>
          <w:rFonts w:ascii="Cambria" w:cs="Cambria" w:eastAsia="Cambria" w:hAnsi="Cambria"/>
          <w:b/>
          <w:bCs/>
          <w:color w:val="16122C"/>
          <w:sz w:val="23"/>
          <w:szCs w:val="23"/>
        </w:rPr>
        <w:t xml:space="preserve">What derivation is not allowed to do</w:t>
      </w:r>
    </w:p>
    <w:p>
      <w:pPr>
        <w:spacing w:after="130" w:before="0" w:line="288"/>
      </w:pPr>
      <w:r>
        <w:rPr>
          <w:rFonts w:ascii="Calibri" w:cs="Calibri" w:eastAsia="Calibri" w:hAnsi="Calibri"/>
          <w:color w:val="2A2447"/>
          <w:sz w:val="21"/>
          <w:szCs w:val="21"/>
        </w:rPr>
        <w:t xml:space="preserve">Everything either intake emits is DRAFT, carries the roles that must sign it, and comes with an explicit list of what could not be supplied and who must supply it. The gaps are the product. A console reporting “four objects created” from an upload would be telling the operator they had finished when they had not started.</w:t>
      </w:r>
    </w:p>
    <w:p>
      <w:pPr>
        <w:pStyle w:val="ListParagraph"/>
        <w:numPr>
          <w:ilvl w:val="0"/>
          <w:numId w:val="2"/>
        </w:numPr>
        <w:spacing w:after="70" w:line="282"/>
      </w:pPr>
      <w:r>
        <w:rPr>
          <w:rFonts w:ascii="Calibri" w:cs="Calibri" w:eastAsia="Calibri" w:hAnsi="Calibri"/>
          <w:color w:val="2A2447"/>
          <w:sz w:val="21"/>
          <w:szCs w:val="21"/>
        </w:rPr>
        <w:t xml:space="preserve">The persona's actual words, at every ladder step — safety and domain reviewer</w:t>
      </w:r>
    </w:p>
    <w:p>
      <w:pPr>
        <w:pStyle w:val="ListParagraph"/>
        <w:numPr>
          <w:ilvl w:val="0"/>
          <w:numId w:val="2"/>
        </w:numPr>
        <w:spacing w:after="70" w:line="282"/>
      </w:pPr>
      <w:r>
        <w:rPr>
          <w:rFonts w:ascii="Calibri" w:cs="Calibri" w:eastAsia="Calibri" w:hAnsi="Calibri"/>
          <w:color w:val="2A2447"/>
          <w:sz w:val="21"/>
          <w:szCs w:val="21"/>
        </w:rPr>
        <w:t xml:space="preserve">The ladder ceiling — safety reviewer</w:t>
      </w:r>
    </w:p>
    <w:p>
      <w:pPr>
        <w:pStyle w:val="ListParagraph"/>
        <w:numPr>
          <w:ilvl w:val="0"/>
          <w:numId w:val="2"/>
        </w:numPr>
        <w:spacing w:after="70" w:line="282"/>
      </w:pPr>
      <w:r>
        <w:rPr>
          <w:rFonts w:ascii="Calibri" w:cs="Calibri" w:eastAsia="Calibri" w:hAnsi="Calibri"/>
          <w:color w:val="2A2447"/>
          <w:sz w:val="21"/>
          <w:szCs w:val="21"/>
        </w:rPr>
        <w:t xml:space="preserve">Question wording, in every deployed language, with native review — domain reviewer plus native reviewers</w:t>
      </w:r>
    </w:p>
    <w:p>
      <w:pPr>
        <w:pStyle w:val="ListParagraph"/>
        <w:numPr>
          <w:ilvl w:val="0"/>
          <w:numId w:val="2"/>
        </w:numPr>
        <w:spacing w:after="70" w:line="282"/>
      </w:pPr>
      <w:r>
        <w:rPr>
          <w:rFonts w:ascii="Calibri" w:cs="Calibri" w:eastAsia="Calibri" w:hAnsi="Calibri"/>
          <w:color w:val="2A2447"/>
          <w:sz w:val="21"/>
          <w:szCs w:val="21"/>
        </w:rPr>
        <w:t xml:space="preserve">The authority anchor, where no clause was supplied — legal reviewer</w:t>
      </w:r>
    </w:p>
    <w:p>
      <w:pPr>
        <w:spacing w:after="130" w:before="0" w:line="288"/>
      </w:pPr>
      <w:r>
        <w:rPr>
          <w:rFonts w:ascii="Calibri" w:cs="Calibri" w:eastAsia="Calibri" w:hAnsi="Calibri"/>
          <w:color w:val="2A2447"/>
          <w:sz w:val="21"/>
          <w:szCs w:val="21"/>
        </w:rPr>
        <w:t xml:space="preserve">And one absence stated before a contributing authority has to ask: no scenario comes out of a curriculum. A handbook describes a competence, not an adversary, and inventing the adversary is not something a mapping is entitled to do.</w:t>
      </w:r>
    </w:p>
    <w:p>
      <w:pPr>
        <w:keepNext/>
        <w:spacing w:after="70" w:before="300"/>
      </w:pPr>
      <w:r>
        <w:rPr>
          <w:rFonts w:ascii="Cambria" w:cs="Cambria" w:eastAsia="Cambria" w:hAnsi="Cambria"/>
          <w:b/>
          <w:bCs/>
          <w:color w:val="16122C"/>
          <w:sz w:val="23"/>
          <w:szCs w:val="23"/>
        </w:rPr>
        <w:t xml:space="preserve">Usage basis is a legal fact, not a tag</w:t>
      </w:r>
    </w:p>
    <w:p>
      <w:pPr>
        <w:spacing w:after="130" w:before="0" w:line="288"/>
      </w:pPr>
      <w:r>
        <w:rPr>
          <w:rFonts w:ascii="Calibri" w:cs="Calibri" w:eastAsia="Calibri" w:hAnsi="Calibri"/>
          <w:color w:val="2A2447"/>
          <w:sz w:val="21"/>
          <w:szCs w:val="21"/>
        </w:rPr>
        <w:t xml:space="preserve">Three bases, and getting this wrong is not a governance abstraction — it is quoting someone else's copyrighted curriculum to a retail investor, or publishing a bank's internal interception procedure to the people it is designed to detect.</w:t>
      </w:r>
    </w:p>
    <w:tbl>
      <w:tblPr>
        <w:tblW w:type="dxa" w:w="9070"/>
        <w:tblBorders>
          <w:top w:val="single" w:color="D8D4E8" w:sz="2"/>
          <w:left w:val="single" w:color="D8D4E8" w:sz="2"/>
          <w:bottom w:val="single" w:color="D8D4E8" w:sz="2"/>
          <w:right w:val="single" w:color="D8D4E8" w:sz="2"/>
          <w:insideH w:val="single" w:color="D8D4E8" w:sz="2"/>
          <w:insideV w:val="single" w:color="D8D4E8" w:sz="2"/>
        </w:tblBorders>
      </w:tblPr>
      <w:tblGrid>
        <w:gridCol w:w="2400"/>
        <w:gridCol w:w="6670"/>
      </w:tblGrid>
      <w:tr>
        <w:trPr>
          <w:tblHeader/>
        </w:trPr>
        <w:tc>
          <w:tcPr>
            <w:tcW w:type="dxa" w:w="24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Basis</w:t>
            </w:r>
          </w:p>
        </w:tc>
        <w:tc>
          <w:tcPr>
            <w:tcW w:type="dxa" w:w="667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What follows</w:t>
            </w:r>
          </w:p>
        </w:tc>
      </w:tr>
      <w:tr>
        <w:trPr>
          <w:tblHeader w:val="false"/>
        </w:trPr>
        <w:tc>
          <w:tcPr>
            <w:tcW w:type="dxa" w:w="24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The authority's own publication</w:t>
            </w:r>
          </w:p>
        </w:tc>
        <w:tc>
          <w:tcPr>
            <w:tcW w:type="dxa" w:w="66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Quotable. A clause may anchor an element.</w:t>
            </w:r>
          </w:p>
        </w:tc>
      </w:tr>
      <w:tr>
        <w:trPr>
          <w:tblHeader w:val="false"/>
        </w:trPr>
        <w:tc>
          <w:tcPr>
            <w:tcW w:type="dxa" w:w="24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Licensed to the programme</w:t>
            </w:r>
          </w:p>
        </w:tc>
        <w:tc>
          <w:tcPr>
            <w:tcW w:type="dxa" w:w="66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Quotable while the licence runs. The licence expiry becomes the review date of everything mapped from it, because content outliving its licence is a live exposure nobody notices until somebody asks where a sentence came from.</w:t>
            </w:r>
          </w:p>
        </w:tc>
      </w:tr>
      <w:tr>
        <w:trPr>
          <w:tblHeader w:val="false"/>
        </w:trPr>
        <w:tc>
          <w:tcPr>
            <w:tcW w:type="dxa" w:w="24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Restricted — internal procedure</w:t>
            </w:r>
          </w:p>
        </w:tc>
        <w:tc>
          <w:tcPr>
            <w:tcW w:type="dxa" w:w="66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May inform what gets rehearsed. Nothing derived from it may quote it, and it never becomes an anchor.</w:t>
            </w:r>
          </w:p>
        </w:tc>
      </w:tr>
    </w:tbl>
    <w:p>
      <w:pPr>
        <w:spacing w:after="140"/>
      </w:pPr>
    </w:p>
    <w:p>
      <w:pPr>
        <w:keepNext/>
        <w:spacing w:after="70" w:before="300"/>
      </w:pPr>
      <w:r>
        <w:rPr>
          <w:rFonts w:ascii="Cambria" w:cs="Cambria" w:eastAsia="Cambria" w:hAnsi="Cambria"/>
          <w:b/>
          <w:bCs/>
          <w:color w:val="16122C"/>
          <w:sz w:val="23"/>
          <w:szCs w:val="23"/>
        </w:rPr>
        <w:t xml:space="preserve">The publish gate</w:t>
      </w:r>
    </w:p>
    <w:p>
      <w:pPr>
        <w:spacing w:after="130" w:before="0" w:line="288"/>
      </w:pPr>
      <w:r>
        <w:rPr>
          <w:rFonts w:ascii="Calibri" w:cs="Calibri" w:eastAsia="Calibri" w:hAnsi="Calibri"/>
          <w:color w:val="2A2447"/>
          <w:sz w:val="21"/>
          <w:szCs w:val="21"/>
        </w:rPr>
        <w:t xml:space="preserve">Ten tests, seven of them blocking, with no waive path. Objects reach a learner only in a signed, immutable bundle that passed all of them. The full list is at Appendix A.</w:t>
      </w:r>
    </w:p>
    <w:p>
      <w:pPr>
        <w:pBdr>
          <w:top w:val="single" w:color="EFECF9" w:sz="2" w:space="10"/>
          <w:bottom w:val="single" w:color="EFECF9" w:sz="2" w:space="10"/>
          <w:left w:val="single" w:color="EFECF9" w:sz="2" w:space="12"/>
          <w:right w:val="single" w:color="EFECF9" w:sz="2" w:space="12"/>
        </w:pBdr>
        <w:shd w:fill="F8F6FD" w:val="clear"/>
        <w:spacing w:after="150" w:before="150" w:line="282"/>
      </w:pPr>
      <w:r>
        <w:rPr>
          <w:rFonts w:ascii="Calibri" w:cs="Calibri" w:eastAsia="Calibri" w:hAnsi="Calibri"/>
          <w:b/>
          <w:bCs/>
          <w:color w:val="16122C"/>
          <w:sz w:val="20"/>
          <w:szCs w:val="20"/>
        </w:rPr>
        <w:t xml:space="preserve">A worked example of the gate doing its job. </w:t>
      </w:r>
      <w:r>
        <w:rPr>
          <w:rFonts w:ascii="Calibri" w:cs="Calibri" w:eastAsia="Calibri" w:hAnsi="Calibri"/>
          <w:color w:val="2A2447"/>
          <w:sz w:val="20"/>
          <w:szCs w:val="20"/>
        </w:rPr>
        <w:t xml:space="preserve">Deploying Japanese as a fifth language broke the gate: the boundary refusal had been proven in four languages, and a boundary that has not been proven in a language it will be spoken in is not a boundary. Supplying the Japanese probe closed it. That is the honest cost of reach — every new market re-opens the governance work, and a system where it does not is a system with a gate that is not connected to anything.</w:t>
      </w:r>
    </w:p>
    <w:p>
      <w:r>
        <w:br w:type="page"/>
      </w:r>
    </w:p>
    <w:p>
      <w:pPr>
        <w:keepNext/>
        <w:spacing w:after="60" w:before="420"/>
      </w:pPr>
      <w:r>
        <w:rPr>
          <w:rFonts w:ascii="Cambria" w:cs="Cambria" w:eastAsia="Cambria" w:hAnsi="Cambria"/>
          <w:b/>
          <w:bCs/>
          <w:color w:val="7C6BC4"/>
          <w:sz w:val="30"/>
          <w:szCs w:val="30"/>
        </w:rPr>
        <w:t xml:space="preserve">6  </w:t>
      </w:r>
      <w:r>
        <w:rPr>
          <w:rFonts w:ascii="Cambria" w:cs="Cambria" w:eastAsia="Cambria" w:hAnsi="Cambria"/>
          <w:b/>
          <w:bCs/>
          <w:color w:val="16122C"/>
          <w:sz w:val="30"/>
          <w:szCs w:val="30"/>
        </w:rPr>
        <w:t xml:space="preserve">Supervision — who is ready, and who is not</w:t>
      </w:r>
    </w:p>
    <w:p>
      <w:pPr>
        <w:spacing w:after="130" w:before="0" w:line="288"/>
      </w:pPr>
      <w:r>
        <w:rPr>
          <w:rFonts w:ascii="Calibri" w:cs="Calibri" w:eastAsia="Calibri" w:hAnsi="Calibri"/>
          <w:color w:val="2A2447"/>
          <w:sz w:val="21"/>
          <w:szCs w:val="21"/>
        </w:rPr>
        <w:t xml:space="preserve">The console a securities commission, a bank or a ministry signs into. Every enrolled person, every assessment, the verdict on each, and what to do about them.</w:t>
      </w:r>
    </w:p>
    <w:p>
      <w:pPr>
        <w:keepNext/>
        <w:spacing w:after="70" w:before="300"/>
      </w:pPr>
      <w:r>
        <w:rPr>
          <w:rFonts w:ascii="Cambria" w:cs="Cambria" w:eastAsia="Cambria" w:hAnsi="Cambria"/>
          <w:b/>
          <w:bCs/>
          <w:color w:val="16122C"/>
          <w:sz w:val="23"/>
          <w:szCs w:val="23"/>
        </w:rPr>
        <w:t xml:space="preserve">Three rules that are decisions, not defaults</w:t>
      </w:r>
    </w:p>
    <w:p>
      <w:pPr>
        <w:keepNext/>
        <w:spacing w:after="50" w:before="240"/>
      </w:pPr>
      <w:r>
        <w:rPr>
          <w:rFonts w:ascii="Calibri" w:cs="Calibri" w:eastAsia="Calibri" w:hAnsi="Calibri"/>
          <w:b/>
          <w:bCs/>
          <w:color w:val="544491"/>
          <w:spacing w:val="34"/>
          <w:sz w:val="15"/>
          <w:szCs w:val="15"/>
        </w:rPr>
        <w:t xml:space="preserve">THE VERDICT COMES FROM THE LATEST ASSESSMENT, NEVER THE BEST</w:t>
      </w:r>
    </w:p>
    <w:p>
      <w:pPr>
        <w:spacing w:after="130" w:before="0" w:line="288"/>
      </w:pPr>
      <w:r>
        <w:rPr>
          <w:rFonts w:ascii="Calibri" w:cs="Calibri" w:eastAsia="Calibri" w:hAnsi="Calibri"/>
          <w:color w:val="2A2447"/>
          <w:sz w:val="21"/>
          <w:szCs w:val="21"/>
        </w:rPr>
        <w:t xml:space="preserve">Somebody who held in week one and failed in week four is not ready. A console showing their best score would say the opposite, and it is the kind of default that gets chosen once and never revisited.</w:t>
      </w:r>
    </w:p>
    <w:p>
      <w:pPr>
        <w:keepNext/>
        <w:spacing w:after="50" w:before="240"/>
      </w:pPr>
      <w:r>
        <w:rPr>
          <w:rFonts w:ascii="Calibri" w:cs="Calibri" w:eastAsia="Calibri" w:hAnsi="Calibri"/>
          <w:b/>
          <w:bCs/>
          <w:color w:val="544491"/>
          <w:spacing w:val="34"/>
          <w:sz w:val="15"/>
          <w:szCs w:val="15"/>
        </w:rPr>
        <w:t xml:space="preserve">READINESS REQUIRES THAT NOTHING FAILED A RETEST</w:t>
      </w:r>
    </w:p>
    <w:p>
      <w:pPr>
        <w:spacing w:after="130" w:before="0" w:line="288"/>
      </w:pPr>
      <w:r>
        <w:rPr>
          <w:rFonts w:ascii="Calibri" w:cs="Calibri" w:eastAsia="Calibri" w:hAnsi="Calibri"/>
          <w:color w:val="2A2447"/>
          <w:sz w:val="21"/>
          <w:szCs w:val="21"/>
        </w:rPr>
        <w:t xml:space="preserve">At or above the threshold and no failed transfer. But transfer is only measured where something broke — a participant who held every element they met has no failure to retest, so the record says “not tested”, which is neither a pass nor a penalty. Modelling that as a boolean was a real bug in an earlier build: it left the investor-ready bucket empty for every cohort, because holding cleanly was being scored as failing to transfer.</w:t>
      </w:r>
    </w:p>
    <w:p>
      <w:pPr>
        <w:keepNext/>
        <w:spacing w:after="50" w:before="240"/>
      </w:pPr>
      <w:r>
        <w:rPr>
          <w:rFonts w:ascii="Calibri" w:cs="Calibri" w:eastAsia="Calibri" w:hAnsi="Calibri"/>
          <w:b/>
          <w:bCs/>
          <w:color w:val="544491"/>
          <w:spacing w:val="34"/>
          <w:sz w:val="15"/>
          <w:szCs w:val="15"/>
        </w:rPr>
        <w:t xml:space="preserve">TRANSFER RATE HAS A DENOMINATOR, AND IT IS NOT EVERY ASSESSMENT</w:t>
      </w:r>
    </w:p>
    <w:p>
      <w:pPr>
        <w:spacing w:after="130" w:before="0" w:line="288"/>
      </w:pPr>
      <w:r>
        <w:rPr>
          <w:rFonts w:ascii="Calibri" w:cs="Calibri" w:eastAsia="Calibri" w:hAnsi="Calibri"/>
          <w:color w:val="2A2447"/>
          <w:sz w:val="21"/>
          <w:szCs w:val="21"/>
        </w:rPr>
        <w:t xml:space="preserve">Sessions with nothing to retest sit outside the ratio. Counting them as passes would inflate the single number the programme is judged on.</w:t>
      </w:r>
    </w:p>
    <w:p>
      <w:pPr>
        <w:keepNext/>
        <w:spacing w:after="70" w:before="300"/>
      </w:pPr>
      <w:r>
        <w:rPr>
          <w:rFonts w:ascii="Cambria" w:cs="Cambria" w:eastAsia="Cambria" w:hAnsi="Cambria"/>
          <w:b/>
          <w:bCs/>
          <w:color w:val="16122C"/>
          <w:sz w:val="23"/>
          <w:szCs w:val="23"/>
        </w:rPr>
        <w:t xml:space="preserve">Verdict is not a band on the score</w:t>
      </w:r>
    </w:p>
    <w:p>
      <w:pPr>
        <w:spacing w:after="130" w:before="0" w:line="288"/>
      </w:pPr>
      <w:r>
        <w:rPr>
          <w:rFonts w:ascii="Calibri" w:cs="Calibri" w:eastAsia="Calibri" w:hAnsi="Calibri"/>
          <w:color w:val="2A2447"/>
          <w:sz w:val="21"/>
          <w:szCs w:val="21"/>
        </w:rPr>
        <w:t xml:space="preserve">A session can sit above another and still be priority, because three failure signatures bound under pressure and the coached behaviour did not hold on a distant retest. The table carries a transfer column and says this underneath, rather than leaving a supervisor to read it as a bug.</w:t>
      </w:r>
    </w:p>
    <w:p>
      <w:pPr>
        <w:keepNext/>
        <w:spacing w:after="70" w:before="300"/>
      </w:pPr>
      <w:r>
        <w:rPr>
          <w:rFonts w:ascii="Cambria" w:cs="Cambria" w:eastAsia="Cambria" w:hAnsi="Cambria"/>
          <w:b/>
          <w:bCs/>
          <w:color w:val="16122C"/>
          <w:sz w:val="23"/>
          <w:szCs w:val="23"/>
        </w:rPr>
        <w:t xml:space="preserve">Opening one person</w:t>
      </w:r>
    </w:p>
    <w:p>
      <w:pPr>
        <w:spacing w:after="130" w:before="0" w:line="288"/>
      </w:pPr>
      <w:r>
        <w:rPr>
          <w:rFonts w:ascii="Calibri" w:cs="Calibri" w:eastAsia="Calibri" w:hAnsi="Calibri"/>
          <w:color w:val="2A2447"/>
          <w:sz w:val="21"/>
          <w:szCs w:val="21"/>
        </w:rPr>
        <w:t xml:space="preserve">Five dimensions, each scored with a threshold marker and each citing the participant's own sentence. What held and what broke. The failure signatures, bound to what was said. The transfer result. Then the recommendation: what to book, which tactic next, and why that one.</w:t>
      </w:r>
    </w:p>
    <w:p>
      <w:pPr>
        <w:pBdr>
          <w:left w:val="single" w:color="7C6BC4" w:sz="14" w:space="14"/>
        </w:pBdr>
        <w:spacing w:after="170" w:before="170" w:line="300"/>
        <w:ind w:left="260"/>
      </w:pPr>
      <w:r>
        <w:rPr>
          <w:rFonts w:ascii="Cambria" w:cs="Cambria" w:eastAsia="Cambria" w:hAnsi="Cambria"/>
          <w:i/>
          <w:iCs/>
          <w:color w:val="16122C"/>
          <w:sz w:val="23"/>
          <w:szCs w:val="23"/>
        </w:rPr>
        <w:t xml:space="preserve">A dimension the session never exercised says so, rather than being filled in with a plausible number.</w:t>
      </w:r>
    </w:p>
    <w:p>
      <w:pPr>
        <w:keepNext/>
        <w:spacing w:after="70" w:before="300"/>
      </w:pPr>
      <w:r>
        <w:rPr>
          <w:rFonts w:ascii="Cambria" w:cs="Cambria" w:eastAsia="Cambria" w:hAnsi="Cambria"/>
          <w:b/>
          <w:bCs/>
          <w:color w:val="16122C"/>
          <w:sz w:val="23"/>
          <w:szCs w:val="23"/>
        </w:rPr>
        <w:t xml:space="preserve">Two populations that cannot be joined</w:t>
      </w:r>
    </w:p>
    <w:p>
      <w:pPr>
        <w:spacing w:after="130" w:before="0" w:line="288"/>
      </w:pPr>
      <w:r>
        <w:rPr>
          <w:rFonts w:ascii="Calibri" w:cs="Calibri" w:eastAsia="Calibri" w:hAnsi="Calibri"/>
          <w:color w:val="2A2447"/>
          <w:sz w:val="21"/>
          <w:szCs w:val="21"/>
        </w:rPr>
        <w:t xml:space="preserve">The console shows people who enrolled through a programme and consented at enrolment to their sponsor reviewing readiness. A much larger population — members of the public who opened AUREN from a link — appears only in aggregate. No account, no name, nothing retained that identifies them. Asking the console how one of them did is not a permissions question with a stricter answer: the record does not exist.</w:t>
      </w:r>
    </w:p>
    <w:p>
      <w:pPr>
        <w:spacing w:after="130" w:before="0" w:line="288"/>
      </w:pPr>
      <w:r>
        <w:rPr>
          <w:rFonts w:ascii="Calibri" w:cs="Calibri" w:eastAsia="Calibri" w:hAnsi="Calibri"/>
          <w:color w:val="2A2447"/>
          <w:sz w:val="21"/>
          <w:szCs w:val="21"/>
        </w:rPr>
        <w:t xml:space="preserve">That is the property which makes the public rehearsal safe to offer at all, and it is why the two populations are never reconciled into one number.</w:t>
      </w:r>
    </w:p>
    <w:p>
      <w:r>
        <w:br w:type="page"/>
      </w:r>
    </w:p>
    <w:p>
      <w:pPr>
        <w:keepNext/>
        <w:spacing w:after="60" w:before="420"/>
      </w:pPr>
      <w:r>
        <w:rPr>
          <w:rFonts w:ascii="Cambria" w:cs="Cambria" w:eastAsia="Cambria" w:hAnsi="Cambria"/>
          <w:b/>
          <w:bCs/>
          <w:color w:val="7C6BC4"/>
          <w:sz w:val="30"/>
          <w:szCs w:val="30"/>
        </w:rPr>
        <w:t xml:space="preserve">7  </w:t>
      </w:r>
      <w:r>
        <w:rPr>
          <w:rFonts w:ascii="Cambria" w:cs="Cambria" w:eastAsia="Cambria" w:hAnsi="Cambria"/>
          <w:b/>
          <w:bCs/>
          <w:color w:val="16122C"/>
          <w:sz w:val="30"/>
          <w:szCs w:val="30"/>
        </w:rPr>
        <w:t xml:space="preserve">Why not simply use a large language model</w:t>
      </w:r>
    </w:p>
    <w:p>
      <w:pPr>
        <w:spacing w:after="130" w:before="0" w:line="288"/>
      </w:pPr>
      <w:r>
        <w:rPr>
          <w:rFonts w:ascii="Calibri" w:cs="Calibri" w:eastAsia="Calibri" w:hAnsi="Calibri"/>
          <w:color w:val="2A2447"/>
          <w:sz w:val="21"/>
          <w:szCs w:val="21"/>
        </w:rPr>
        <w:t xml:space="preserve">This is the first question every technical reviewer asks, and it deserves a direct answer rather than a defensive one.</w:t>
      </w:r>
    </w:p>
    <w:p>
      <w:pPr>
        <w:spacing w:after="130" w:before="0" w:line="288"/>
      </w:pPr>
      <w:r>
        <w:rPr>
          <w:rFonts w:ascii="Calibri" w:cs="Calibri" w:eastAsia="Calibri" w:hAnsi="Calibri"/>
          <w:color w:val="2A2447"/>
          <w:sz w:val="21"/>
          <w:szCs w:val="21"/>
        </w:rPr>
        <w:t xml:space="preserve">A frontier model generates plausible language from broad training data. It does not know which jurisdiction applies, whether a rule is still in force, who approved the content, whether a translation has been validated, or whether its assessment rests on sufficient evidence. It can improvise, it can hallucinate, and it will change its answer when the question is rephrased — which is fatal for an assessment, because the same person asked twice must get the same finding.</w:t>
      </w:r>
    </w:p>
    <w:p>
      <w:pPr>
        <w:pBdr>
          <w:left w:val="single" w:color="7C6BC4" w:sz="14" w:space="14"/>
        </w:pBdr>
        <w:spacing w:after="170" w:before="170" w:line="300"/>
        <w:ind w:left="260"/>
      </w:pPr>
      <w:r>
        <w:rPr>
          <w:rFonts w:ascii="Cambria" w:cs="Cambria" w:eastAsia="Cambria" w:hAnsi="Cambria"/>
          <w:i/>
          <w:iCs/>
          <w:color w:val="16122C"/>
          <w:sz w:val="23"/>
          <w:szCs w:val="23"/>
        </w:rPr>
        <w:t xml:space="preserve">The model supplies language intelligence. AUREN supplies authority.</w:t>
      </w:r>
    </w:p>
    <w:p>
      <w:pPr>
        <w:spacing w:after="130" w:before="0" w:line="288"/>
      </w:pPr>
      <w:r>
        <w:rPr>
          <w:rFonts w:ascii="Calibri" w:cs="Calibri" w:eastAsia="Calibri" w:hAnsi="Calibri"/>
          <w:color w:val="2A2447"/>
          <w:sz w:val="21"/>
          <w:szCs w:val="21"/>
        </w:rPr>
        <w:t xml:space="preserve">The model is the replaceable component, and that is deliberate. Swap one frontier model for another and nothing in this paper changes, because a moat built on model access is not a moat — the competitor has the same models.</w:t>
      </w:r>
    </w:p>
    <w:tbl>
      <w:tblPr>
        <w:tblW w:type="dxa" w:w="9070"/>
        <w:tblBorders>
          <w:top w:val="single" w:color="D8D4E8" w:sz="2"/>
          <w:left w:val="single" w:color="D8D4E8" w:sz="2"/>
          <w:bottom w:val="single" w:color="D8D4E8" w:sz="2"/>
          <w:right w:val="single" w:color="D8D4E8" w:sz="2"/>
          <w:insideH w:val="single" w:color="D8D4E8" w:sz="2"/>
          <w:insideV w:val="single" w:color="D8D4E8" w:sz="2"/>
        </w:tblBorders>
      </w:tblPr>
      <w:tblGrid>
        <w:gridCol w:w="4300"/>
        <w:gridCol w:w="4770"/>
      </w:tblGrid>
      <w:tr>
        <w:trPr>
          <w:tblHeader/>
        </w:trPr>
        <w:tc>
          <w:tcPr>
            <w:tcW w:type="dxa" w:w="43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A general model</w:t>
            </w:r>
          </w:p>
        </w:tc>
        <w:tc>
          <w:tcPr>
            <w:tcW w:type="dxa" w:w="477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AUREN</w:t>
            </w:r>
          </w:p>
        </w:tc>
      </w:tr>
      <w:tr>
        <w:trPr>
          <w:tblHeader w:val="false"/>
        </w:trPr>
        <w:tc>
          <w:tcPr>
            <w:tcW w:type="dxa" w:w="43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Broad internet-trained knowledge</w:t>
            </w:r>
          </w:p>
        </w:tc>
        <w:tc>
          <w:tcPr>
            <w:tcW w:type="dxa" w:w="47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Authority-approved, versioned objects</w:t>
            </w:r>
          </w:p>
        </w:tc>
      </w:tr>
      <w:tr>
        <w:trPr>
          <w:tblHeader w:val="false"/>
        </w:trPr>
        <w:tc>
          <w:tcPr>
            <w:tcW w:type="dxa" w:w="43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May be outdated</w:t>
            </w:r>
          </w:p>
        </w:tc>
        <w:tc>
          <w:tcPr>
            <w:tcW w:type="dxa" w:w="47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Effective dates, expiry and supersession</w:t>
            </w:r>
          </w:p>
        </w:tc>
      </w:tr>
      <w:tr>
        <w:trPr>
          <w:tblHeader w:val="false"/>
        </w:trPr>
        <w:tc>
          <w:tcPr>
            <w:tcW w:type="dxa" w:w="43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Generic across countries</w:t>
            </w:r>
          </w:p>
        </w:tc>
        <w:tc>
          <w:tcPr>
            <w:tcW w:type="dxa" w:w="47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Jurisdiction-specific signed bundles</w:t>
            </w:r>
          </w:p>
        </w:tc>
      </w:tr>
      <w:tr>
        <w:trPr>
          <w:tblHeader w:val="false"/>
        </w:trPr>
        <w:tc>
          <w:tcPr>
            <w:tcW w:type="dxa" w:w="43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Personality from a prompt</w:t>
            </w:r>
          </w:p>
        </w:tc>
        <w:tc>
          <w:tcPr>
            <w:tcW w:type="dxa" w:w="47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Governed persona manifests with approvers</w:t>
            </w:r>
          </w:p>
        </w:tc>
      </w:tr>
      <w:tr>
        <w:trPr>
          <w:tblHeader w:val="false"/>
        </w:trPr>
        <w:tc>
          <w:tcPr>
            <w:tcW w:type="dxa" w:w="43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Improvised role-play</w:t>
            </w:r>
          </w:p>
        </w:tc>
        <w:tc>
          <w:tcPr>
            <w:tcW w:type="dxa" w:w="47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Bounded scenario state machines</w:t>
            </w:r>
          </w:p>
        </w:tc>
      </w:tr>
      <w:tr>
        <w:trPr>
          <w:tblHeader w:val="false"/>
        </w:trPr>
        <w:tc>
          <w:tcPr>
            <w:tcW w:type="dxa" w:w="43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Produces an opinion or a score</w:t>
            </w:r>
          </w:p>
        </w:tc>
        <w:tc>
          <w:tcPr>
            <w:tcW w:type="dxa" w:w="47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Produces evidence-bound determinations</w:t>
            </w:r>
          </w:p>
        </w:tc>
      </w:tr>
      <w:tr>
        <w:trPr>
          <w:tblHeader w:val="false"/>
        </w:trPr>
        <w:tc>
          <w:tcPr>
            <w:tcW w:type="dxa" w:w="43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Limited auditability</w:t>
            </w:r>
          </w:p>
        </w:tc>
        <w:tc>
          <w:tcPr>
            <w:tcW w:type="dxa" w:w="47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Full source, version and decision trace</w:t>
            </w:r>
          </w:p>
        </w:tc>
      </w:tr>
      <w:tr>
        <w:trPr>
          <w:tblHeader w:val="false"/>
        </w:trPr>
        <w:tc>
          <w:tcPr>
            <w:tcW w:type="dxa" w:w="43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Open web access</w:t>
            </w:r>
          </w:p>
        </w:tc>
        <w:tc>
          <w:tcPr>
            <w:tcW w:type="dxa" w:w="47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Allow-listed real-time connectors</w:t>
            </w:r>
          </w:p>
        </w:tc>
      </w:tr>
      <w:tr>
        <w:trPr>
          <w:tblHeader w:val="false"/>
        </w:trPr>
        <w:tc>
          <w:tcPr>
            <w:tcW w:type="dxa" w:w="43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Model-dependent</w:t>
            </w:r>
          </w:p>
        </w:tc>
        <w:tc>
          <w:tcPr>
            <w:tcW w:type="dxa" w:w="47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Model-agnostic orchestration</w:t>
            </w:r>
          </w:p>
        </w:tc>
      </w:tr>
      <w:tr>
        <w:trPr>
          <w:tblHeader w:val="false"/>
        </w:trPr>
        <w:tc>
          <w:tcPr>
            <w:tcW w:type="dxa" w:w="43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Answers questions</w:t>
            </w:r>
          </w:p>
        </w:tc>
        <w:tc>
          <w:tcPr>
            <w:tcW w:type="dxa" w:w="47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Assesses, coaches, rehearses and retests</w:t>
            </w:r>
          </w:p>
        </w:tc>
      </w:tr>
    </w:tbl>
    <w:p>
      <w:pPr>
        <w:spacing w:after="140"/>
      </w:pPr>
    </w:p>
    <w:p>
      <w:pPr>
        <w:keepNext/>
        <w:spacing w:after="70" w:before="300"/>
      </w:pPr>
      <w:r>
        <w:rPr>
          <w:rFonts w:ascii="Cambria" w:cs="Cambria" w:eastAsia="Cambria" w:hAnsi="Cambria"/>
          <w:b/>
          <w:bCs/>
          <w:color w:val="16122C"/>
          <w:sz w:val="23"/>
          <w:szCs w:val="23"/>
        </w:rPr>
        <w:t xml:space="preserve">Why not a vector database of the regulator's PDFs</w:t>
      </w:r>
    </w:p>
    <w:p>
      <w:pPr>
        <w:spacing w:after="130" w:before="0" w:line="288"/>
      </w:pPr>
      <w:r>
        <w:rPr>
          <w:rFonts w:ascii="Calibri" w:cs="Calibri" w:eastAsia="Calibri" w:hAnsi="Calibri"/>
          <w:color w:val="2A2447"/>
          <w:sz w:val="21"/>
          <w:szCs w:val="21"/>
        </w:rPr>
        <w:t xml:space="preserve">The obvious build is retrieval over the source documents. It fails this product in four specific ways, none of them fixable with a better embedding model.</w:t>
      </w:r>
    </w:p>
    <w:p>
      <w:pPr>
        <w:pStyle w:val="ListParagraph"/>
        <w:numPr>
          <w:ilvl w:val="0"/>
          <w:numId w:val="3"/>
        </w:numPr>
        <w:spacing w:after="70" w:line="282"/>
      </w:pPr>
      <w:r>
        <w:rPr>
          <w:rFonts w:ascii="Calibri" w:cs="Calibri" w:eastAsia="Calibri" w:hAnsi="Calibri"/>
          <w:color w:val="2A2447"/>
          <w:sz w:val="21"/>
          <w:szCs w:val="21"/>
        </w:rPr>
        <w:t xml:space="preserve">Retrieval returns what is similar, not what is in force. A superseded clause embeds almost identically to the one that replaced it.</w:t>
      </w:r>
    </w:p>
    <w:p>
      <w:pPr>
        <w:pStyle w:val="ListParagraph"/>
        <w:numPr>
          <w:ilvl w:val="0"/>
          <w:numId w:val="3"/>
        </w:numPr>
        <w:spacing w:after="70" w:line="282"/>
      </w:pPr>
      <w:r>
        <w:rPr>
          <w:rFonts w:ascii="Calibri" w:cs="Calibri" w:eastAsia="Calibri" w:hAnsi="Calibri"/>
          <w:color w:val="2A2447"/>
          <w:sz w:val="21"/>
          <w:szCs w:val="21"/>
        </w:rPr>
        <w:t xml:space="preserve">A chunk carries no governance — no jurisdiction, no effective date, no approver — so nothing downstream can tell whether it may be said here, now, to this person.</w:t>
      </w:r>
    </w:p>
    <w:p>
      <w:pPr>
        <w:pStyle w:val="ListParagraph"/>
        <w:numPr>
          <w:ilvl w:val="0"/>
          <w:numId w:val="3"/>
        </w:numPr>
        <w:spacing w:after="70" w:line="282"/>
      </w:pPr>
      <w:r>
        <w:rPr>
          <w:rFonts w:ascii="Calibri" w:cs="Calibri" w:eastAsia="Calibri" w:hAnsi="Calibri"/>
          <w:color w:val="2A2447"/>
          <w:sz w:val="21"/>
          <w:szCs w:val="21"/>
        </w:rPr>
        <w:t xml:space="preserve">There is no unit to approve. A reviewer can sign off a document; they cannot sign off the three hundred chunks it was split into, which is what the model actually sees.</w:t>
      </w:r>
    </w:p>
    <w:p>
      <w:pPr>
        <w:pStyle w:val="ListParagraph"/>
        <w:numPr>
          <w:ilvl w:val="0"/>
          <w:numId w:val="3"/>
        </w:numPr>
        <w:spacing w:after="70" w:line="282"/>
      </w:pPr>
      <w:r>
        <w:rPr>
          <w:rFonts w:ascii="Calibri" w:cs="Calibri" w:eastAsia="Calibri" w:hAnsi="Calibri"/>
          <w:color w:val="2A2447"/>
          <w:sz w:val="21"/>
          <w:szCs w:val="21"/>
        </w:rPr>
        <w:t xml:space="preserve">Anything that reaches the index reaches the learner. Poisoned or merely wrong content has no gate to fail.</w:t>
      </w:r>
    </w:p>
    <w:p>
      <w:pPr>
        <w:keepNext/>
        <w:spacing w:after="60" w:before="420"/>
      </w:pPr>
      <w:r>
        <w:rPr>
          <w:rFonts w:ascii="Cambria" w:cs="Cambria" w:eastAsia="Cambria" w:hAnsi="Cambria"/>
          <w:b/>
          <w:bCs/>
          <w:color w:val="7C6BC4"/>
          <w:sz w:val="30"/>
          <w:szCs w:val="30"/>
        </w:rPr>
        <w:t xml:space="preserve">8  </w:t>
      </w:r>
      <w:r>
        <w:rPr>
          <w:rFonts w:ascii="Cambria" w:cs="Cambria" w:eastAsia="Cambria" w:hAnsi="Cambria"/>
          <w:b/>
          <w:bCs/>
          <w:color w:val="16122C"/>
          <w:sz w:val="30"/>
          <w:szCs w:val="30"/>
        </w:rPr>
        <w:t xml:space="preserve">The five layers of intellectual property</w:t>
      </w:r>
    </w:p>
    <w:p>
      <w:pPr>
        <w:spacing w:after="130" w:before="0" w:line="288"/>
      </w:pPr>
      <w:r>
        <w:rPr>
          <w:rFonts w:ascii="Calibri" w:cs="Calibri" w:eastAsia="Calibri" w:hAnsi="Calibri"/>
          <w:color w:val="2A2447"/>
          <w:sz w:val="21"/>
          <w:szCs w:val="21"/>
        </w:rPr>
        <w:t xml:space="preserve">AUREN should not be positioned as a language model with financial content and a digital human. Its defensible assets sit in five layers, and the model sits inside the third of them as a component.</w:t>
      </w:r>
    </w:p>
    <w:tbl>
      <w:tblPr>
        <w:tblW w:type="dxa" w:w="9070"/>
        <w:tblBorders>
          <w:top w:val="single" w:color="D8D4E8" w:sz="2"/>
          <w:left w:val="single" w:color="D8D4E8" w:sz="2"/>
          <w:bottom w:val="single" w:color="D8D4E8" w:sz="2"/>
          <w:right w:val="single" w:color="D8D4E8" w:sz="2"/>
          <w:insideH w:val="single" w:color="D8D4E8" w:sz="2"/>
          <w:insideV w:val="single" w:color="D8D4E8" w:sz="2"/>
        </w:tblBorders>
      </w:tblPr>
      <w:tblGrid>
        <w:gridCol w:w="700"/>
        <w:gridCol w:w="2300"/>
        <w:gridCol w:w="6070"/>
      </w:tblGrid>
      <w:tr>
        <w:trPr>
          <w:tblHeader/>
        </w:trPr>
        <w:tc>
          <w:tcPr>
            <w:tcW w:type="dxa" w:w="7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
            </w:r>
          </w:p>
        </w:tc>
        <w:tc>
          <w:tcPr>
            <w:tcW w:type="dxa" w:w="23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Layer</w:t>
            </w:r>
          </w:p>
        </w:tc>
        <w:tc>
          <w:tcPr>
            <w:tcW w:type="dxa" w:w="607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What is defensible in it</w:t>
            </w:r>
          </w:p>
        </w:tc>
      </w:tr>
      <w:tr>
        <w:trPr>
          <w:tblHeader w:val="false"/>
        </w:trPr>
        <w:tc>
          <w:tcPr>
            <w:tcW w:type="dxa" w:w="7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1</w:t>
            </w:r>
          </w:p>
        </w:tc>
        <w:tc>
          <w:tcPr>
            <w:tcW w:type="dxa" w:w="23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Governed knowledge</w:t>
            </w:r>
          </w:p>
        </w:tc>
        <w:tc>
          <w:tcPr>
            <w:tcW w:type="dxa" w:w="60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The regulator-approved object schema, the eight-state lifecycle, three-axis eligibility, the five libraries, and a corpus contributed to by multiple authorities who classify the same typologies the same way.</w:t>
            </w:r>
          </w:p>
        </w:tc>
      </w:tr>
      <w:tr>
        <w:trPr>
          <w:tblHeader w:val="false"/>
        </w:trPr>
        <w:tc>
          <w:tcPr>
            <w:tcW w:type="dxa" w:w="7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2</w:t>
            </w:r>
          </w:p>
        </w:tc>
        <w:tc>
          <w:tcPr>
            <w:tcW w:type="dxa" w:w="23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Controlled coaching</w:t>
            </w:r>
          </w:p>
        </w:tc>
        <w:tc>
          <w:tcPr>
            <w:tcW w:type="dxa" w:w="60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Approved interventions bound to specific failure signatures, in a register the person in front of you can use, in every deployed language with native review.</w:t>
            </w:r>
          </w:p>
        </w:tc>
      </w:tr>
      <w:tr>
        <w:trPr>
          <w:tblHeader w:val="false"/>
        </w:trPr>
        <w:tc>
          <w:tcPr>
            <w:tcW w:type="dxa" w:w="7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3</w:t>
            </w:r>
          </w:p>
        </w:tc>
        <w:tc>
          <w:tcPr>
            <w:tcW w:type="dxa" w:w="23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Bounded role-play</w:t>
            </w:r>
          </w:p>
        </w:tc>
        <w:tc>
          <w:tcPr>
            <w:tcW w:type="dxa" w:w="60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Scenario graphs with approved lines, ladders, ceilings and distress exits — and the engine that refuses a transition outside them.</w:t>
            </w:r>
          </w:p>
        </w:tc>
      </w:tr>
      <w:tr>
        <w:trPr>
          <w:tblHeader w:val="false"/>
        </w:trPr>
        <w:tc>
          <w:tcPr>
            <w:tcW w:type="dxa" w:w="7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4</w:t>
            </w:r>
          </w:p>
        </w:tc>
        <w:tc>
          <w:tcPr>
            <w:tcW w:type="dxa" w:w="23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Evidence-based assessment</w:t>
            </w:r>
          </w:p>
        </w:tc>
        <w:tc>
          <w:tcPr>
            <w:tcW w:type="dxa" w:w="60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The competency framework, the multilingual evidence rules, surface-distance retest selection, and determinations bound to verbatim spans.</w:t>
            </w:r>
          </w:p>
        </w:tc>
      </w:tr>
      <w:tr>
        <w:trPr>
          <w:tblHeader w:val="false"/>
        </w:trPr>
        <w:tc>
          <w:tcPr>
            <w:tcW w:type="dxa" w:w="7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5</w:t>
            </w:r>
          </w:p>
        </w:tc>
        <w:tc>
          <w:tcPr>
            <w:tcW w:type="dxa" w:w="23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Hyper-realistic delivery</w:t>
            </w:r>
          </w:p>
        </w:tc>
        <w:tc>
          <w:tcPr>
            <w:tcW w:type="dxa" w:w="60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HoloMe: face, voice, timing, gaze, gesture and expression rendering a governed persona manifest reproducibly.</w:t>
            </w:r>
          </w:p>
        </w:tc>
      </w:tr>
    </w:tbl>
    <w:p>
      <w:pPr>
        <w:spacing w:after="140"/>
      </w:pPr>
    </w:p>
    <w:p>
      <w:pPr>
        <w:spacing w:after="130" w:before="0" w:line="288"/>
      </w:pPr>
      <w:r>
        <w:rPr>
          <w:rFonts w:ascii="Calibri" w:cs="Calibri" w:eastAsia="Calibri" w:hAnsi="Calibri"/>
          <w:color w:val="2A2447"/>
          <w:sz w:val="21"/>
          <w:szCs w:val="21"/>
        </w:rPr>
        <w:t xml:space="preserve">Two further assets are not layers but accumulate from operating the five: the behavioural transcript dataset, and longitudinal evidence that rehearsal improves real-world scam resistance.</w:t>
      </w:r>
    </w:p>
    <w:p>
      <w:pPr>
        <w:pBdr>
          <w:left w:val="single" w:color="7C6BC4" w:sz="14" w:space="14"/>
        </w:pBdr>
        <w:spacing w:after="170" w:before="170" w:line="300"/>
        <w:ind w:left="260"/>
      </w:pPr>
      <w:r>
        <w:rPr>
          <w:rFonts w:ascii="Cambria" w:cs="Cambria" w:eastAsia="Cambria" w:hAnsi="Cambria"/>
          <w:i/>
          <w:iCs/>
          <w:color w:val="16122C"/>
          <w:sz w:val="23"/>
          <w:szCs w:val="23"/>
        </w:rPr>
        <w:t xml:space="preserve">That last asset is the most valuable and the only one that cannot be bought, hired or copied — it can only be accumulated. Every month of operation is a month a competitor cannot buy back.</w:t>
      </w:r>
    </w:p>
    <w:p>
      <w:pPr>
        <w:spacing w:after="130" w:before="0" w:line="288"/>
      </w:pPr>
      <w:r>
        <w:rPr>
          <w:rFonts w:ascii="Calibri" w:cs="Calibri" w:eastAsia="Calibri" w:hAnsi="Calibri"/>
          <w:color w:val="2A2447"/>
          <w:sz w:val="21"/>
          <w:szCs w:val="21"/>
        </w:rPr>
        <w:t xml:space="preserve">Which has a practical consequence for sequencing: outcome follow-up should be instrumented from the first pilot, because the asset only accrues from the day measurement starts.</w:t>
      </w:r>
    </w:p>
    <w:p>
      <w:r>
        <w:br w:type="page"/>
      </w:r>
    </w:p>
    <w:p>
      <w:pPr>
        <w:keepNext/>
        <w:spacing w:after="60" w:before="420"/>
      </w:pPr>
      <w:r>
        <w:rPr>
          <w:rFonts w:ascii="Cambria" w:cs="Cambria" w:eastAsia="Cambria" w:hAnsi="Cambria"/>
          <w:b/>
          <w:bCs/>
          <w:color w:val="7C6BC4"/>
          <w:sz w:val="30"/>
          <w:szCs w:val="30"/>
        </w:rPr>
        <w:t xml:space="preserve">9  </w:t>
      </w:r>
      <w:r>
        <w:rPr>
          <w:rFonts w:ascii="Cambria" w:cs="Cambria" w:eastAsia="Cambria" w:hAnsi="Cambria"/>
          <w:b/>
          <w:bCs/>
          <w:color w:val="16122C"/>
          <w:sz w:val="30"/>
          <w:szCs w:val="30"/>
        </w:rPr>
        <w:t xml:space="preserve">The governance that makes it deployable</w:t>
      </w:r>
    </w:p>
    <w:p>
      <w:pPr>
        <w:spacing w:after="130" w:before="0" w:line="288"/>
      </w:pPr>
      <w:r>
        <w:rPr>
          <w:rFonts w:ascii="Calibri" w:cs="Calibri" w:eastAsia="Calibri" w:hAnsi="Calibri"/>
          <w:color w:val="2A2447"/>
          <w:sz w:val="21"/>
          <w:szCs w:val="21"/>
        </w:rPr>
        <w:t xml:space="preserve">Six mechanisms. Each exists because of a specific way this class of system fails.</w:t>
      </w:r>
    </w:p>
    <w:p>
      <w:pPr>
        <w:keepNext/>
        <w:spacing w:after="70" w:before="300"/>
      </w:pPr>
      <w:r>
        <w:rPr>
          <w:rFonts w:ascii="Cambria" w:cs="Cambria" w:eastAsia="Cambria" w:hAnsi="Cambria"/>
          <w:b/>
          <w:bCs/>
          <w:color w:val="16122C"/>
          <w:sz w:val="23"/>
          <w:szCs w:val="23"/>
        </w:rPr>
        <w:t xml:space="preserve">9.1  Closed generation</w:t>
      </w:r>
    </w:p>
    <w:p>
      <w:pPr>
        <w:pBdr>
          <w:left w:val="single" w:color="7C6BC4" w:sz="14" w:space="14"/>
        </w:pBdr>
        <w:spacing w:after="170" w:before="170" w:line="300"/>
        <w:ind w:left="260"/>
      </w:pPr>
      <w:r>
        <w:rPr>
          <w:rFonts w:ascii="Cambria" w:cs="Cambria" w:eastAsia="Cambria" w:hAnsi="Cambria"/>
          <w:i/>
          <w:iCs/>
          <w:color w:val="16122C"/>
          <w:sz w:val="22"/>
          <w:szCs w:val="22"/>
        </w:rPr>
        <w:t xml:space="preserve">The model may select, sequence, explain and deliver. It may not create authority.</w:t>
      </w:r>
    </w:p>
    <w:p>
      <w:pPr>
        <w:spacing w:after="130" w:before="0" w:line="288"/>
      </w:pPr>
      <w:r>
        <w:rPr>
          <w:rFonts w:ascii="Calibri" w:cs="Calibri" w:eastAsia="Calibri" w:hAnsi="Calibri"/>
          <w:color w:val="2A2447"/>
          <w:sz w:val="21"/>
          <w:szCs w:val="21"/>
        </w:rPr>
        <w:t xml:space="preserve">Every product in this space has a sentence like that on a slide. The difference between a slide and a system is whether it is checkable at runtime, on the bytes the model returned, before they reach a person.</w:t>
      </w:r>
    </w:p>
    <w:p>
      <w:pPr>
        <w:spacing w:after="130" w:before="0" w:line="288"/>
      </w:pPr>
      <w:r>
        <w:rPr>
          <w:rFonts w:ascii="Calibri" w:cs="Calibri" w:eastAsia="Calibri" w:hAnsi="Calibri"/>
          <w:color w:val="2A2447"/>
          <w:sz w:val="21"/>
          <w:szCs w:val="21"/>
        </w:rPr>
        <w:t xml:space="preserve">Freedom is a property of the mode rather than of the product. Explaining an approved fact to a confused learner is a different act from deciding whether they passed, and conflating them is how a system improvises an assessment criterion. Six modes, each with its own ceiling — the matrix is at Appendix B.</w:t>
      </w:r>
    </w:p>
    <w:p>
      <w:pPr>
        <w:spacing w:after="130" w:before="0" w:line="288"/>
      </w:pPr>
      <w:r>
        <w:rPr>
          <w:rFonts w:ascii="Calibri" w:cs="Calibri" w:eastAsia="Calibri" w:hAnsi="Calibri"/>
          <w:color w:val="2A2447"/>
          <w:sz w:val="21"/>
          <w:szCs w:val="21"/>
        </w:rPr>
        <w:t xml:space="preserve">Four acts are refused in every mode with no waiver path: composing sentences not traceable to an approved object, creating or altering an assessment criterion, writing a new assessment question, and giving a personalised investment recommendation. They are kept out of the per-mode table entirely rather than set to “no” six times, because a permission that can be granted somewhere eventually is.</w:t>
      </w:r>
    </w:p>
    <w:p>
      <w:pPr>
        <w:keepNext/>
        <w:spacing w:after="70" w:before="300"/>
      </w:pPr>
      <w:r>
        <w:rPr>
          <w:rFonts w:ascii="Cambria" w:cs="Cambria" w:eastAsia="Cambria" w:hAnsi="Cambria"/>
          <w:b/>
          <w:bCs/>
          <w:color w:val="16122C"/>
          <w:sz w:val="23"/>
          <w:szCs w:val="23"/>
        </w:rPr>
        <w:t xml:space="preserve">9.2  The turn contract</w:t>
      </w:r>
    </w:p>
    <w:p>
      <w:pPr>
        <w:spacing w:after="130" w:before="0" w:line="288"/>
      </w:pPr>
      <w:r>
        <w:rPr>
          <w:rFonts w:ascii="Calibri" w:cs="Calibri" w:eastAsia="Calibri" w:hAnsi="Calibri"/>
          <w:color w:val="2A2447"/>
          <w:sz w:val="21"/>
          <w:szCs w:val="21"/>
        </w:rPr>
        <w:t xml:space="preserve">The orchestrator hands the model a closed candidate set and a mode. Note what is absent: no corpus, no retrieved chunks, no instruction to be helpful with some documents. The model returns a structured object — which approved things happen, plus the delivery — never prose that something downstream has to trust.</w:t>
      </w:r>
    </w:p>
    <w:p>
      <w:pPr>
        <w:spacing w:after="130" w:before="0" w:line="288"/>
      </w:pPr>
      <w:r>
        <w:rPr>
          <w:rFonts w:ascii="Calibri" w:cs="Calibri" w:eastAsia="Calibri" w:hAnsi="Calibri"/>
          <w:color w:val="2A2447"/>
          <w:sz w:val="21"/>
          <w:szCs w:val="21"/>
        </w:rPr>
        <w:t xml:space="preserve">Every return is then validated before a syllable reaches the learner.</w:t>
      </w:r>
    </w:p>
    <w:tbl>
      <w:tblPr>
        <w:tblW w:type="dxa" w:w="9070"/>
        <w:tblBorders>
          <w:top w:val="single" w:color="D8D4E8" w:sz="2"/>
          <w:left w:val="single" w:color="D8D4E8" w:sz="2"/>
          <w:bottom w:val="single" w:color="D8D4E8" w:sz="2"/>
          <w:right w:val="single" w:color="D8D4E8" w:sz="2"/>
          <w:insideH w:val="single" w:color="D8D4E8" w:sz="2"/>
          <w:insideV w:val="single" w:color="D8D4E8" w:sz="2"/>
        </w:tblBorders>
      </w:tblPr>
      <w:tblGrid>
        <w:gridCol w:w="2400"/>
        <w:gridCol w:w="6670"/>
      </w:tblGrid>
      <w:tr>
        <w:trPr>
          <w:tblHeader/>
        </w:trPr>
        <w:tc>
          <w:tcPr>
            <w:tcW w:type="dxa" w:w="24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Rule</w:t>
            </w:r>
          </w:p>
        </w:tc>
        <w:tc>
          <w:tcPr>
            <w:tcW w:type="dxa" w:w="667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What it catches</w:t>
            </w:r>
          </w:p>
        </w:tc>
      </w:tr>
      <w:tr>
        <w:trPr>
          <w:tblHeader w:val="false"/>
        </w:trPr>
        <w:tc>
          <w:tcPr>
            <w:tcW w:type="dxa" w:w="24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Closed set</w:t>
            </w:r>
          </w:p>
        </w:tc>
        <w:tc>
          <w:tcPr>
            <w:tcW w:type="dxa" w:w="66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The model cited an object it was not given. In a retrieval architecture this is invisible, because everything in the index is fair game.</w:t>
            </w:r>
          </w:p>
        </w:tc>
      </w:tr>
      <w:tr>
        <w:trPr>
          <w:tblHeader w:val="false"/>
        </w:trPr>
        <w:tc>
          <w:tcPr>
            <w:tcW w:type="dxa" w:w="24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Citation</w:t>
            </w:r>
          </w:p>
        </w:tc>
        <w:tc>
          <w:tcPr>
            <w:tcW w:type="dxa" w:w="66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 user-facing sentence resting on nothing.</w:t>
            </w:r>
          </w:p>
        </w:tc>
      </w:tr>
      <w:tr>
        <w:trPr>
          <w:tblHeader w:val="false"/>
        </w:trPr>
        <w:tc>
          <w:tcPr>
            <w:tcW w:type="dxa" w:w="24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Classify</w:t>
            </w:r>
          </w:p>
        </w:tc>
        <w:tc>
          <w:tcPr>
            <w:tcW w:type="dxa" w:w="66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 determination returned from a coaching turn — how an aside becomes a finding on somebody's record without an assessment having been run.</w:t>
            </w:r>
          </w:p>
        </w:tc>
      </w:tr>
      <w:tr>
        <w:trPr>
          <w:tblHeader w:val="false"/>
        </w:trPr>
        <w:tc>
          <w:tcPr>
            <w:tcW w:type="dxa" w:w="24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Span fidelity</w:t>
            </w:r>
          </w:p>
        </w:tc>
        <w:tc>
          <w:tcPr>
            <w:tcW w:type="dxa" w:w="66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 finding bound to a paraphrase rather than to the transcript. A fair summary, and fatal anyway.</w:t>
            </w:r>
          </w:p>
        </w:tc>
      </w:tr>
      <w:tr>
        <w:trPr>
          <w:tblHeader w:val="false"/>
        </w:trPr>
        <w:tc>
          <w:tcPr>
            <w:tcW w:type="dxa" w:w="24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Ladder step</w:t>
            </w:r>
          </w:p>
        </w:tc>
        <w:tc>
          <w:tcPr>
            <w:tcW w:type="dxa" w:w="66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 jumped rung. Both rungs approved; the jump is not. A rehearsal that skips the middle is an ambush.</w:t>
            </w:r>
          </w:p>
        </w:tc>
      </w:tr>
      <w:tr>
        <w:trPr>
          <w:tblHeader w:val="false"/>
        </w:trPr>
        <w:tc>
          <w:tcPr>
            <w:tcW w:type="dxa" w:w="24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Ceiling</w:t>
            </w:r>
          </w:p>
        </w:tc>
        <w:tc>
          <w:tcPr>
            <w:tcW w:type="dxa" w:w="66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Pressure above what was approved for this cohort.</w:t>
            </w:r>
          </w:p>
        </w:tc>
      </w:tr>
      <w:tr>
        <w:trPr>
          <w:tblHeader w:val="false"/>
        </w:trPr>
        <w:tc>
          <w:tcPr>
            <w:tcW w:type="dxa" w:w="24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Refusal</w:t>
            </w:r>
          </w:p>
        </w:tc>
        <w:tc>
          <w:tcPr>
            <w:tcW w:type="dxa" w:w="66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 high-risk turn that answered instead of refusing — it decided the objects were sufficient, which is the decision it was not given.</w:t>
            </w:r>
          </w:p>
        </w:tc>
      </w:tr>
    </w:tbl>
    <w:p>
      <w:pPr>
        <w:spacing w:after="140"/>
      </w:pPr>
    </w:p>
    <w:p>
      <w:pPr>
        <w:spacing w:after="130" w:before="0" w:line="288"/>
      </w:pPr>
      <w:r>
        <w:rPr>
          <w:rFonts w:ascii="Calibri" w:cs="Calibri" w:eastAsia="Calibri" w:hAnsi="Calibri"/>
          <w:color w:val="2A2447"/>
          <w:sz w:val="21"/>
          <w:szCs w:val="21"/>
        </w:rPr>
        <w:t xml:space="preserve">Paraphrase is refused during assessment specifically, and the refusal is the point: the moment an assessor restates what the learner said, the determination binds to the restatement rather than to the person, and the evidence chain breaks exactly where it matters most.</w:t>
      </w:r>
    </w:p>
    <w:p>
      <w:pPr>
        <w:pBdr>
          <w:top w:val="single" w:color="EFECF9" w:sz="2" w:space="10"/>
          <w:bottom w:val="single" w:color="EFECF9" w:sz="2" w:space="10"/>
          <w:left w:val="single" w:color="EFECF9" w:sz="2" w:space="12"/>
          <w:right w:val="single" w:color="EFECF9" w:sz="2" w:space="12"/>
        </w:pBdr>
        <w:shd w:fill="F8F6FD" w:val="clear"/>
        <w:spacing w:after="150" w:before="150" w:line="282"/>
      </w:pPr>
      <w:r>
        <w:rPr>
          <w:rFonts w:ascii="Calibri" w:cs="Calibri" w:eastAsia="Calibri" w:hAnsi="Calibri"/>
          <w:b/>
          <w:bCs/>
          <w:color w:val="16122C"/>
          <w:sz w:val="20"/>
          <w:szCs w:val="20"/>
        </w:rPr>
        <w:t xml:space="preserve">The demonstration is the refusals. </w:t>
      </w:r>
      <w:r>
        <w:rPr>
          <w:rFonts w:ascii="Calibri" w:cs="Calibri" w:eastAsia="Calibri" w:hAnsi="Calibri"/>
          <w:color w:val="2A2447"/>
          <w:sz w:val="20"/>
          <w:szCs w:val="20"/>
        </w:rPr>
        <w:t xml:space="preserve">The Orchestration workspace runs eight model returns through this contract live — two admitted, six refused, each naming the rule and the remedy. Anyone can show a system working. What a regulator asks is what happens when the model does something it should not, and that question has to be answerable by watching rather than by assurance.</w:t>
      </w:r>
    </w:p>
    <w:p>
      <w:pPr>
        <w:keepNext/>
        <w:spacing w:after="70" w:before="300"/>
      </w:pPr>
      <w:r>
        <w:rPr>
          <w:rFonts w:ascii="Cambria" w:cs="Cambria" w:eastAsia="Cambria" w:hAnsi="Cambria"/>
          <w:b/>
          <w:bCs/>
          <w:color w:val="16122C"/>
          <w:sz w:val="23"/>
          <w:szCs w:val="23"/>
        </w:rPr>
        <w:t xml:space="preserve">9.3  Persona manifests, not system prompts</w:t>
      </w:r>
    </w:p>
    <w:p>
      <w:pPr>
        <w:spacing w:after="130" w:before="0" w:line="288"/>
      </w:pPr>
      <w:r>
        <w:rPr>
          <w:rFonts w:ascii="Calibri" w:cs="Calibri" w:eastAsia="Calibri" w:hAnsi="Calibri"/>
          <w:color w:val="2A2447"/>
          <w:sz w:val="21"/>
          <w:szCs w:val="21"/>
        </w:rPr>
        <w:t xml:space="preserve">The digital human is the easiest thing in the system to change carelessly. Swap the avatar, warm the tone, rename the coach — none of it looks like a governance event, and all of it changes what a learner experiences.</w:t>
      </w:r>
    </w:p>
    <w:p>
      <w:pPr>
        <w:pBdr>
          <w:left w:val="single" w:color="7C6BC4" w:sz="14" w:space="14"/>
        </w:pBdr>
        <w:spacing w:after="170" w:before="170" w:line="300"/>
        <w:ind w:left="260"/>
      </w:pPr>
      <w:r>
        <w:rPr>
          <w:rFonts w:ascii="Cambria" w:cs="Cambria" w:eastAsia="Cambria" w:hAnsi="Cambria"/>
          <w:i/>
          <w:iCs/>
          <w:color w:val="16122C"/>
          <w:sz w:val="23"/>
          <w:szCs w:val="23"/>
        </w:rPr>
        <w:t xml:space="preserve">Changing the face, the voice or the personality must not change the approved knowledge, the competency threshold or the safety boundaries.</w:t>
      </w:r>
    </w:p>
    <w:p>
      <w:pPr>
        <w:spacing w:after="130" w:before="0" w:line="288"/>
      </w:pPr>
      <w:r>
        <w:rPr>
          <w:rFonts w:ascii="Calibri" w:cs="Calibri" w:eastAsia="Calibri" w:hAnsi="Calibri"/>
          <w:color w:val="2A2447"/>
          <w:sz w:val="21"/>
          <w:szCs w:val="21"/>
        </w:rPr>
        <w:t xml:space="preserve">Four layers. Core identity — calm, respectful, non-judgmental, evidence-led, protective rather than paternalistic, never promotional, honest about uncertainty — lives in code rather than in the manifest, specifically so that no manifest can express its absence. Communication style, functional role and emotional state are configurable.</w:t>
      </w:r>
    </w:p>
    <w:p>
      <w:pPr>
        <w:spacing w:after="130" w:before="0" w:line="288"/>
      </w:pPr>
      <w:r>
        <w:rPr>
          <w:rFonts w:ascii="Calibri" w:cs="Calibri" w:eastAsia="Calibri" w:hAnsi="Calibri"/>
          <w:color w:val="2A2447"/>
          <w:sz w:val="21"/>
          <w:szCs w:val="21"/>
        </w:rPr>
        <w:t xml:space="preserve">The functional role fixes the generation mode, which is the mechanism that stops a costume change becoming a permissions change. A persona rendered as a concerned friend still operates under a role-play ceiling; a fraudulent recruiter is still inside a scenario graph.</w:t>
      </w:r>
    </w:p>
    <w:p>
      <w:pPr>
        <w:spacing w:after="130" w:before="0" w:line="288"/>
      </w:pPr>
      <w:r>
        <w:rPr>
          <w:rFonts w:ascii="Calibri" w:cs="Calibri" w:eastAsia="Calibri" w:hAnsi="Calibri"/>
          <w:color w:val="2A2447"/>
          <w:sz w:val="21"/>
          <w:szCs w:val="21"/>
        </w:rPr>
        <w:t xml:space="preserve">Emotional state is a closed list with declared triggers, and distress outranks everything. “Responds naturally to emotion” is how a coach ends up sounding disappointed in somebody who has just been defrauded.</w:t>
      </w:r>
    </w:p>
    <w:p>
      <w:pPr>
        <w:spacing w:after="130" w:before="0" w:line="288"/>
      </w:pPr>
      <w:r>
        <w:rPr>
          <w:rFonts w:ascii="Calibri" w:cs="Calibri" w:eastAsia="Calibri" w:hAnsi="Calibri"/>
          <w:color w:val="2A2447"/>
          <w:sz w:val="21"/>
          <w:szCs w:val="21"/>
        </w:rPr>
        <w:t xml:space="preserve">A system prompt is a paragraph somebody edited: no version, no approver, no diff anyone reviewed, and no way to tell afterwards which wording was live when a session ran. Two sessions on the same manifest version are comparable. Two sessions on “the prompt” are not.</w:t>
      </w:r>
    </w:p>
    <w:p>
      <w:pPr>
        <w:keepNext/>
        <w:spacing w:after="70" w:before="300"/>
      </w:pPr>
      <w:r>
        <w:rPr>
          <w:rFonts w:ascii="Cambria" w:cs="Cambria" w:eastAsia="Cambria" w:hAnsi="Cambria"/>
          <w:b/>
          <w:bCs/>
          <w:color w:val="16122C"/>
          <w:sz w:val="23"/>
          <w:szCs w:val="23"/>
        </w:rPr>
        <w:t xml:space="preserve">9.4  Bounded role-play</w:t>
      </w:r>
    </w:p>
    <w:p>
      <w:pPr>
        <w:spacing w:after="130" w:before="0" w:line="288"/>
      </w:pPr>
      <w:r>
        <w:rPr>
          <w:rFonts w:ascii="Calibri" w:cs="Calibri" w:eastAsia="Calibri" w:hAnsi="Calibri"/>
          <w:color w:val="2A2447"/>
          <w:sz w:val="21"/>
          <w:szCs w:val="21"/>
        </w:rPr>
        <w:t xml:space="preserve">The adversarial rehearsal is the sharpest differentiator and the largest risk, and those are the same fact. A machine applying commercial pressure to a real person is either inside a graph somebody approved, or it is an improvisation nobody can bound.</w:t>
      </w:r>
    </w:p>
    <w:p>
      <w:pPr>
        <w:spacing w:after="130" w:before="0" w:line="288"/>
      </w:pPr>
      <w:r>
        <w:rPr>
          <w:rFonts w:ascii="Calibri" w:cs="Calibri" w:eastAsia="Calibri" w:hAnsi="Calibri"/>
          <w:color w:val="2A2447"/>
          <w:sz w:val="21"/>
          <w:szCs w:val="21"/>
        </w:rPr>
        <w:t xml:space="preserve">A scenario is a state machine. Nodes carry a rung, a persuasion technique, the authored lines the persona may speak, the props it may show, and the failure signature the node is designed to elicit. The safety exit is reachable from every node and is added by the engine rather than wired by an author who might forget it.</w:t>
      </w:r>
    </w:p>
    <w:tbl>
      <w:tblPr>
        <w:tblW w:type="dxa" w:w="9070"/>
        <w:tblBorders>
          <w:top w:val="single" w:color="D8D4E8" w:sz="2"/>
          <w:left w:val="single" w:color="D8D4E8" w:sz="2"/>
          <w:bottom w:val="single" w:color="D8D4E8" w:sz="2"/>
          <w:right w:val="single" w:color="D8D4E8" w:sz="2"/>
          <w:insideH w:val="single" w:color="D8D4E8" w:sz="2"/>
          <w:insideV w:val="single" w:color="D8D4E8" w:sz="2"/>
        </w:tblBorders>
      </w:tblPr>
      <w:tblGrid>
        <w:gridCol w:w="3600"/>
        <w:gridCol w:w="5470"/>
      </w:tblGrid>
      <w:tr>
        <w:trPr>
          <w:tblHeader/>
        </w:trPr>
        <w:tc>
          <w:tcPr>
            <w:tcW w:type="dxa" w:w="36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The persona asks to…</w:t>
            </w:r>
          </w:p>
        </w:tc>
        <w:tc>
          <w:tcPr>
            <w:tcW w:type="dxa" w:w="547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The engine…</w:t>
            </w:r>
          </w:p>
        </w:tc>
      </w:tr>
      <w:tr>
        <w:trPr>
          <w:tblHeader w:val="false"/>
        </w:trPr>
        <w:tc>
          <w:tcPr>
            <w:tcW w:type="dxa" w:w="36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take an approved transition</w:t>
            </w:r>
          </w:p>
        </w:tc>
        <w:tc>
          <w:tcPr>
            <w:tcW w:type="dxa" w:w="54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allows it, and speaks the authored line at that node</w:t>
            </w:r>
          </w:p>
        </w:tc>
      </w:tr>
      <w:tr>
        <w:trPr>
          <w:tblHeader w:val="false"/>
        </w:trPr>
        <w:tc>
          <w:tcPr>
            <w:tcW w:type="dxa" w:w="36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take a branch not in the graph</w:t>
            </w:r>
          </w:p>
        </w:tc>
        <w:tc>
          <w:tcPr>
            <w:tcW w:type="dxa" w:w="54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refuses, and the rung holds</w:t>
            </w:r>
          </w:p>
        </w:tc>
      </w:tr>
      <w:tr>
        <w:trPr>
          <w:tblHeader w:val="false"/>
        </w:trPr>
        <w:tc>
          <w:tcPr>
            <w:tcW w:type="dxa" w:w="36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speak a line it composed itself</w:t>
            </w:r>
          </w:p>
        </w:tc>
        <w:tc>
          <w:tcPr>
            <w:tcW w:type="dxa" w:w="54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refuses — it may choose among authored strings, not write the adversary's words</w:t>
            </w:r>
          </w:p>
        </w:tc>
      </w:tr>
      <w:tr>
        <w:trPr>
          <w:tblHeader w:val="false"/>
        </w:trPr>
        <w:tc>
          <w:tcPr>
            <w:tcW w:type="dxa" w:w="36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climb above the manifest's ceiling</w:t>
            </w:r>
          </w:p>
        </w:tc>
        <w:tc>
          <w:tcPr>
            <w:tcW w:type="dxa" w:w="54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refuses — the effective ceiling is the lower of scenario and manifest, and neither may be raised at runtime</w:t>
            </w:r>
          </w:p>
        </w:tc>
      </w:tr>
      <w:tr>
        <w:trPr>
          <w:tblHeader w:val="false"/>
        </w:trPr>
        <w:tc>
          <w:tcPr>
            <w:tcW w:type="dxa" w:w="36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continue after distress is detected</w:t>
            </w:r>
          </w:p>
        </w:tc>
        <w:tc>
          <w:tcPr>
            <w:tcW w:type="dxa" w:w="54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exits to safety regardless of rung or learning objective</w:t>
            </w:r>
          </w:p>
        </w:tc>
      </w:tr>
      <w:tr>
        <w:trPr>
          <w:tblHeader w:val="false"/>
        </w:trPr>
        <w:tc>
          <w:tcPr>
            <w:tcW w:type="dxa" w:w="36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escalate after the learner held</w:t>
            </w:r>
          </w:p>
        </w:tc>
        <w:tc>
          <w:tcPr>
            <w:tcW w:type="dxa" w:w="54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exits to safety — escalating past a successful resistance teaches that resisting does not work</w:t>
            </w:r>
          </w:p>
        </w:tc>
      </w:tr>
    </w:tbl>
    <w:p>
      <w:pPr>
        <w:spacing w:after="140"/>
      </w:pPr>
    </w:p>
    <w:p>
      <w:pPr>
        <w:spacing w:after="130" w:before="0" w:line="288"/>
      </w:pPr>
      <w:r>
        <w:rPr>
          <w:rFonts w:ascii="Calibri" w:cs="Calibri" w:eastAsia="Calibri" w:hAnsi="Calibri"/>
          <w:color w:val="2A2447"/>
          <w:sz w:val="21"/>
          <w:szCs w:val="21"/>
        </w:rPr>
        <w:t xml:space="preserve">That last row is a design decision rather than a safety minimum, and it is the one worth arguing about: it costs a harder test in exchange for not teaching the opposite of the learning objective.</w:t>
      </w:r>
    </w:p>
    <w:p>
      <w:pPr>
        <w:keepNext/>
        <w:spacing w:after="70" w:before="300"/>
      </w:pPr>
      <w:r>
        <w:rPr>
          <w:rFonts w:ascii="Cambria" w:cs="Cambria" w:eastAsia="Cambria" w:hAnsi="Cambria"/>
          <w:b/>
          <w:bCs/>
          <w:color w:val="16122C"/>
          <w:sz w:val="23"/>
          <w:szCs w:val="23"/>
        </w:rPr>
        <w:t xml:space="preserve">9.5  The real-time trust gateway</w:t>
      </w:r>
    </w:p>
    <w:p>
      <w:pPr>
        <w:spacing w:after="130" w:before="0" w:line="288"/>
      </w:pPr>
      <w:r>
        <w:rPr>
          <w:rFonts w:ascii="Calibri" w:cs="Calibri" w:eastAsia="Calibri" w:hAnsi="Calibri"/>
          <w:color w:val="2A2447"/>
          <w:sz w:val="21"/>
          <w:szCs w:val="21"/>
        </w:rPr>
        <w:t xml:space="preserve">The coach needs facts that change daily — is this firm on the register, has this entity been named in an alert — and those cannot live in a bundle approved quarterly.</w:t>
      </w:r>
    </w:p>
    <w:p>
      <w:pPr>
        <w:pBdr>
          <w:left w:val="single" w:color="7C6BC4" w:sz="14" w:space="14"/>
        </w:pBdr>
        <w:spacing w:after="170" w:before="170" w:line="300"/>
        <w:ind w:left="260"/>
      </w:pPr>
      <w:r>
        <w:rPr>
          <w:rFonts w:ascii="Cambria" w:cs="Cambria" w:eastAsia="Cambria" w:hAnsi="Cambria"/>
          <w:i/>
          <w:iCs/>
          <w:color w:val="16122C"/>
          <w:sz w:val="23"/>
          <w:szCs w:val="23"/>
        </w:rPr>
        <w:t xml:space="preserve">Live information never flows from the internet into the digital human.</w:t>
      </w:r>
    </w:p>
    <w:p>
      <w:pPr>
        <w:spacing w:after="130" w:before="0" w:line="288"/>
      </w:pPr>
      <w:r>
        <w:rPr>
          <w:rFonts w:ascii="Calibri" w:cs="Calibri" w:eastAsia="Calibri" w:hAnsi="Calibri"/>
          <w:color w:val="2A2447"/>
          <w:sz w:val="21"/>
          <w:szCs w:val="21"/>
        </w:rPr>
        <w:t xml:space="preserve">Everything arrives through an allow-listed, authenticated connector and is verified, schema-validated, injection-scanned, freshness-checked and classified before it can be spoken. Fact and signal are not the same sentence: a register entry may be stated plainly with its publisher named; a scam-intelligence pattern match may only ever be reported as something needing a check. Saying the second in the voice of the first is how an educational system ends up accusing a real business of fraud.</w:t>
      </w:r>
    </w:p>
    <w:p>
      <w:pPr>
        <w:spacing w:after="130" w:before="0" w:line="288"/>
      </w:pPr>
      <w:r>
        <w:rPr>
          <w:rFonts w:ascii="Calibri" w:cs="Calibri" w:eastAsia="Calibri" w:hAnsi="Calibri"/>
          <w:color w:val="2A2447"/>
          <w:sz w:val="21"/>
          <w:szCs w:val="21"/>
        </w:rPr>
        <w:t xml:space="preserve">The injection scanner is a tripwire rather than a filter. A hit quarantines the whole field instead of editing it, because deciding what the safe remainder means is the same judgement the injection was attacking.</w:t>
      </w:r>
    </w:p>
    <w:p>
      <w:pPr>
        <w:spacing w:after="130" w:before="0" w:line="288"/>
      </w:pPr>
      <w:r>
        <w:rPr>
          <w:rFonts w:ascii="Calibri" w:cs="Calibri" w:eastAsia="Calibri" w:hAnsi="Calibri"/>
          <w:color w:val="2A2447"/>
          <w:sz w:val="21"/>
          <w:szCs w:val="21"/>
        </w:rPr>
        <w:t xml:space="preserve">When the gateway refuses, the session narrows rather than guesses: drop the live check, keep the rehearsal, and hand the learner the verification step to perform themselves. The behaviour being taught is the check — having AUREN perform it was always the lesser half.</w:t>
      </w:r>
    </w:p>
    <w:p>
      <w:pPr>
        <w:keepNext/>
        <w:spacing w:after="70" w:before="300"/>
      </w:pPr>
      <w:r>
        <w:rPr>
          <w:rFonts w:ascii="Cambria" w:cs="Cambria" w:eastAsia="Cambria" w:hAnsi="Cambria"/>
          <w:b/>
          <w:bCs/>
          <w:color w:val="16122C"/>
          <w:sz w:val="23"/>
          <w:szCs w:val="23"/>
        </w:rPr>
        <w:t xml:space="preserve">9.6  Provenance</w:t>
      </w:r>
    </w:p>
    <w:p>
      <w:pPr>
        <w:spacing w:after="130" w:before="0" w:line="288"/>
      </w:pPr>
      <w:r>
        <w:rPr>
          <w:rFonts w:ascii="Calibri" w:cs="Calibri" w:eastAsia="Calibri" w:hAnsi="Calibri"/>
          <w:color w:val="2A2447"/>
          <w:sz w:val="21"/>
          <w:szCs w:val="21"/>
        </w:rPr>
        <w:t xml:space="preserve">Source, interpretation, approved object, conversation, determination — as a chain anybody can walk backwards, shaped on the W3C PROV vocabulary so that an auditor who already reads PROV can read this and an export to a regulator's own system is a mapping rather than a translation.</w:t>
      </w:r>
    </w:p>
    <w:p>
      <w:pPr>
        <w:spacing w:after="130" w:before="0" w:line="288"/>
      </w:pPr>
      <w:r>
        <w:rPr>
          <w:rFonts w:ascii="Calibri" w:cs="Calibri" w:eastAsia="Calibri" w:hAnsi="Calibri"/>
          <w:color w:val="2A2447"/>
          <w:sz w:val="21"/>
          <w:szCs w:val="21"/>
        </w:rPr>
        <w:t xml:space="preserve">Every link is separately attackable, and a chain missing one link is worth nothing.</w:t>
      </w:r>
    </w:p>
    <w:p>
      <w:pPr>
        <w:pStyle w:val="ListParagraph"/>
        <w:numPr>
          <w:ilvl w:val="0"/>
          <w:numId w:val="2"/>
        </w:numPr>
        <w:spacing w:after="70" w:line="282"/>
      </w:pPr>
      <w:r>
        <w:rPr>
          <w:rFonts w:ascii="Calibri" w:cs="Calibri" w:eastAsia="Calibri" w:hAnsi="Calibri"/>
          <w:color w:val="2A2447"/>
          <w:sz w:val="21"/>
          <w:szCs w:val="21"/>
        </w:rPr>
        <w:t xml:space="preserve">A citation with no source hash cannot prove the source did not silently change.</w:t>
      </w:r>
    </w:p>
    <w:p>
      <w:pPr>
        <w:pStyle w:val="ListParagraph"/>
        <w:numPr>
          <w:ilvl w:val="0"/>
          <w:numId w:val="2"/>
        </w:numPr>
        <w:spacing w:after="70" w:line="282"/>
      </w:pPr>
      <w:r>
        <w:rPr>
          <w:rFonts w:ascii="Calibri" w:cs="Calibri" w:eastAsia="Calibri" w:hAnsi="Calibri"/>
          <w:color w:val="2A2447"/>
          <w:sz w:val="21"/>
          <w:szCs w:val="21"/>
        </w:rPr>
        <w:t xml:space="preserve">A hash with no approver cannot prove anyone read it.</w:t>
      </w:r>
    </w:p>
    <w:p>
      <w:pPr>
        <w:pStyle w:val="ListParagraph"/>
        <w:numPr>
          <w:ilvl w:val="0"/>
          <w:numId w:val="2"/>
        </w:numPr>
        <w:spacing w:after="70" w:line="282"/>
      </w:pPr>
      <w:r>
        <w:rPr>
          <w:rFonts w:ascii="Calibri" w:cs="Calibri" w:eastAsia="Calibri" w:hAnsi="Calibri"/>
          <w:color w:val="2A2447"/>
          <w:sz w:val="21"/>
          <w:szCs w:val="21"/>
        </w:rPr>
        <w:t xml:space="preserve">An approver with no verbatim span cannot prove the finding came from what the learner said rather than from what the model expected them to say.</w:t>
      </w:r>
    </w:p>
    <w:p>
      <w:r>
        <w:br w:type="page"/>
      </w:r>
    </w:p>
    <w:p>
      <w:pPr>
        <w:keepNext/>
        <w:spacing w:after="60" w:before="420"/>
      </w:pPr>
      <w:r>
        <w:rPr>
          <w:rFonts w:ascii="Cambria" w:cs="Cambria" w:eastAsia="Cambria" w:hAnsi="Cambria"/>
          <w:b/>
          <w:bCs/>
          <w:color w:val="7C6BC4"/>
          <w:sz w:val="30"/>
          <w:szCs w:val="30"/>
        </w:rPr>
        <w:t xml:space="preserve">10  </w:t>
      </w:r>
      <w:r>
        <w:rPr>
          <w:rFonts w:ascii="Cambria" w:cs="Cambria" w:eastAsia="Cambria" w:hAnsi="Cambria"/>
          <w:b/>
          <w:bCs/>
          <w:color w:val="16122C"/>
          <w:sz w:val="30"/>
          <w:szCs w:val="30"/>
        </w:rPr>
        <w:t xml:space="preserve">Languages</w:t>
      </w:r>
    </w:p>
    <w:p>
      <w:pPr>
        <w:spacing w:after="130" w:before="0" w:line="288"/>
      </w:pPr>
      <w:r>
        <w:rPr>
          <w:rFonts w:ascii="Calibri" w:cs="Calibri" w:eastAsia="Calibri" w:hAnsi="Calibri"/>
          <w:color w:val="2A2447"/>
          <w:sz w:val="21"/>
          <w:szCs w:val="21"/>
        </w:rPr>
        <w:t xml:space="preserve">Five deployed: English, Español, 中文, العربية and 日本語. Not a translated interface — 205 governed strings per language, including every diagnostic question, every escalation ladder, every failure-signature coaching line, the resistance patterns the retest reads, and the satisfaction cues that decide whether a competency element passed.</w:t>
      </w:r>
    </w:p>
    <w:p>
      <w:pPr>
        <w:pBdr>
          <w:left w:val="single" w:color="7C6BC4" w:sz="14" w:space="14"/>
        </w:pBdr>
        <w:spacing w:after="170" w:before="170" w:line="300"/>
        <w:ind w:left="260"/>
      </w:pPr>
      <w:r>
        <w:rPr>
          <w:rFonts w:ascii="Cambria" w:cs="Cambria" w:eastAsia="Cambria" w:hAnsi="Cambria"/>
          <w:i/>
          <w:iCs/>
          <w:color w:val="16122C"/>
          <w:sz w:val="23"/>
          <w:szCs w:val="23"/>
        </w:rPr>
        <w:t xml:space="preserve">Ship English cues only and every element silently fails for every non-English learner, while the screen looks perfectly translated.</w:t>
      </w:r>
    </w:p>
    <w:p>
      <w:pPr>
        <w:spacing w:after="130" w:before="0" w:line="288"/>
      </w:pPr>
      <w:r>
        <w:rPr>
          <w:rFonts w:ascii="Calibri" w:cs="Calibri" w:eastAsia="Calibri" w:hAnsi="Calibri"/>
          <w:color w:val="2A2447"/>
          <w:sz w:val="21"/>
          <w:szCs w:val="21"/>
        </w:rPr>
        <w:t xml:space="preserve">That is the failure mode language work in this category is prone to, and it is invisible from the outside: the product appears localised and quietly scores competent people as incompetent. So cues are authored per language rather than mapped, and the same applies to the resistance patterns — “I want to verify that myself” is not a translation exercise, it is the behaviour the retest measures.</w:t>
      </w:r>
    </w:p>
    <w:p>
      <w:pPr>
        <w:spacing w:after="130" w:before="0" w:line="288"/>
      </w:pPr>
      <w:r>
        <w:rPr>
          <w:rFonts w:ascii="Calibri" w:cs="Calibri" w:eastAsia="Calibri" w:hAnsi="Calibri"/>
          <w:color w:val="2A2447"/>
          <w:sz w:val="21"/>
          <w:szCs w:val="21"/>
        </w:rPr>
        <w:t xml:space="preserve">Arabic is right-to-left throughout, with typography corrected rather than mirrored: letter-spacing is neutralised because it severs cursive joining, and Arabic faces sit after the Latin ones in each stack so element identifiers still render monospaced while the prose renders properly.</w:t>
      </w:r>
    </w:p>
    <w:p>
      <w:pPr>
        <w:keepNext/>
        <w:spacing w:after="70" w:before="300"/>
      </w:pPr>
      <w:r>
        <w:rPr>
          <w:rFonts w:ascii="Cambria" w:cs="Cambria" w:eastAsia="Cambria" w:hAnsi="Cambria"/>
          <w:b/>
          <w:bCs/>
          <w:color w:val="16122C"/>
          <w:sz w:val="23"/>
          <w:szCs w:val="23"/>
        </w:rPr>
        <w:t xml:space="preserve">Fidelity is stated, not assumed</w:t>
      </w:r>
    </w:p>
    <w:p>
      <w:pPr>
        <w:spacing w:after="130" w:before="0" w:line="288"/>
      </w:pPr>
      <w:r>
        <w:rPr>
          <w:rFonts w:ascii="Calibri" w:cs="Calibri" w:eastAsia="Calibri" w:hAnsi="Calibri"/>
          <w:color w:val="2A2447"/>
          <w:sz w:val="21"/>
          <w:szCs w:val="21"/>
        </w:rPr>
        <w:t xml:space="preserve">Only English has passed native review. Spanish, Chinese, Arabic and Japanese ship at review-pending, the publish gate reports every pending variant as an advisory finding, and the learner-facing screen says so on the landing page. A variant that has not been reviewed must not be represented as deployment-ready, and the temptation to quietly treat “complete” as “reviewed” is exactly what the status exists to resist.</w:t>
      </w:r>
    </w:p>
    <w:p>
      <w:pPr>
        <w:spacing w:after="130" w:before="0" w:line="288"/>
      </w:pPr>
      <w:r>
        <w:rPr>
          <w:rFonts w:ascii="Calibri" w:cs="Calibri" w:eastAsia="Calibri" w:hAnsi="Calibri"/>
          <w:color w:val="2A2447"/>
          <w:sz w:val="21"/>
          <w:szCs w:val="21"/>
        </w:rPr>
        <w:t xml:space="preserve">Delivery languages are also an entitlement rather than a price. A tenant not licensed for a language cannot select it — for a governance reason, since an unreviewed variant scoring a real person is the failure the fidelity rule exists to prevent. That constraint must never be quietly converted into an upsell.</w:t>
      </w:r>
    </w:p>
    <w:p>
      <w:pPr>
        <w:keepNext/>
        <w:spacing w:after="60" w:before="420"/>
      </w:pPr>
      <w:r>
        <w:rPr>
          <w:rFonts w:ascii="Cambria" w:cs="Cambria" w:eastAsia="Cambria" w:hAnsi="Cambria"/>
          <w:b/>
          <w:bCs/>
          <w:color w:val="7C6BC4"/>
          <w:sz w:val="30"/>
          <w:szCs w:val="30"/>
        </w:rPr>
        <w:t xml:space="preserve">11  </w:t>
      </w:r>
      <w:r>
        <w:rPr>
          <w:rFonts w:ascii="Cambria" w:cs="Cambria" w:eastAsia="Cambria" w:hAnsi="Cambria"/>
          <w:b/>
          <w:bCs/>
          <w:color w:val="16122C"/>
          <w:sz w:val="30"/>
          <w:szCs w:val="30"/>
        </w:rPr>
        <w:t xml:space="preserve">Who signs in, and what they may see</w:t>
      </w:r>
    </w:p>
    <w:p>
      <w:pPr>
        <w:spacing w:after="130" w:before="0" w:line="288"/>
      </w:pPr>
      <w:r>
        <w:rPr>
          <w:rFonts w:ascii="Calibri" w:cs="Calibri" w:eastAsia="Calibri" w:hAnsi="Calibri"/>
          <w:color w:val="2A2447"/>
          <w:sz w:val="21"/>
          <w:szCs w:val="21"/>
        </w:rPr>
        <w:t xml:space="preserve">One engine, many operators. A securities commission running a national programme, a bank training customers it is legally exposed to, and a ministry putting a citizen population through a campaign are the same software and three different accountabilities.</w:t>
      </w:r>
    </w:p>
    <w:p>
      <w:pPr>
        <w:pBdr>
          <w:left w:val="single" w:color="7C6BC4" w:sz="14" w:space="14"/>
        </w:pBdr>
        <w:spacing w:after="170" w:before="170" w:line="300"/>
        <w:ind w:left="260"/>
      </w:pPr>
      <w:r>
        <w:rPr>
          <w:rFonts w:ascii="Cambria" w:cs="Cambria" w:eastAsia="Cambria" w:hAnsi="Cambria"/>
          <w:i/>
          <w:iCs/>
          <w:color w:val="16122C"/>
          <w:sz w:val="23"/>
          <w:szCs w:val="23"/>
        </w:rPr>
        <w:t xml:space="preserve">A tenant sees its own members and nobody else's. A network body sees aggregates across the tenants it covers, and individuals in none of them.</w:t>
      </w:r>
    </w:p>
    <w:p>
      <w:pPr>
        <w:spacing w:after="130" w:before="0" w:line="288"/>
      </w:pPr>
      <w:r>
        <w:rPr>
          <w:rFonts w:ascii="Calibri" w:cs="Calibri" w:eastAsia="Calibri" w:hAnsi="Calibri"/>
          <w:color w:val="2A2447"/>
          <w:sz w:val="21"/>
          <w:szCs w:val="21"/>
        </w:rPr>
        <w:t xml:space="preserve">The scope decision is made once and every read passes through it. It returns a grain rather than a boolean, because the real question has no yes-or-no answer: may a supervisor at a regional body see participants in a member state? They may see how that cohort is doing, and they may not see who is in it. A boolean forces that to be answered wrongly in one direction, in a hundred call sites instead of one.</w:t>
      </w:r>
    </w:p>
    <w:tbl>
      <w:tblPr>
        <w:tblW w:type="dxa" w:w="9070"/>
        <w:tblBorders>
          <w:top w:val="single" w:color="D8D4E8" w:sz="2"/>
          <w:left w:val="single" w:color="D8D4E8" w:sz="2"/>
          <w:bottom w:val="single" w:color="D8D4E8" w:sz="2"/>
          <w:right w:val="single" w:color="D8D4E8" w:sz="2"/>
          <w:insideH w:val="single" w:color="D8D4E8" w:sz="2"/>
          <w:insideV w:val="single" w:color="D8D4E8" w:sz="2"/>
        </w:tblBorders>
      </w:tblPr>
      <w:tblGrid>
        <w:gridCol w:w="2700"/>
        <w:gridCol w:w="3100"/>
        <w:gridCol w:w="3270"/>
      </w:tblGrid>
      <w:tr>
        <w:trPr>
          <w:tblHeader/>
        </w:trPr>
        <w:tc>
          <w:tcPr>
            <w:tcW w:type="dxa" w:w="27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Viewer</w:t>
            </w:r>
          </w:p>
        </w:tc>
        <w:tc>
          <w:tcPr>
            <w:tcW w:type="dxa" w:w="31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Subject</w:t>
            </w:r>
          </w:p>
        </w:tc>
        <w:tc>
          <w:tcPr>
            <w:tcW w:type="dxa" w:w="327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Grain</w:t>
            </w:r>
          </w:p>
        </w:tc>
      </w:tr>
      <w:tr>
        <w:trPr>
          <w:tblHeader w:val="false"/>
        </w:trPr>
        <w:tc>
          <w:tcPr>
            <w:tcW w:type="dxa" w:w="27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Any tenant</w:t>
            </w:r>
          </w:p>
        </w:tc>
        <w:tc>
          <w:tcPr>
            <w:tcW w:type="dxa" w:w="31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Itself</w:t>
            </w:r>
          </w:p>
        </w:tc>
        <w:tc>
          <w:tcPr>
            <w:tcW w:type="dxa" w:w="32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Individual — except a network body, which has no members</w:t>
            </w:r>
          </w:p>
        </w:tc>
      </w:tr>
      <w:tr>
        <w:trPr>
          <w:tblHeader w:val="false"/>
        </w:trPr>
        <w:tc>
          <w:tcPr>
            <w:tcW w:type="dxa" w:w="27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Network body</w:t>
            </w:r>
          </w:p>
        </w:tc>
        <w:tc>
          <w:tcPr>
            <w:tcW w:type="dxa" w:w="31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 tenant in its jurisdictions</w:t>
            </w:r>
          </w:p>
        </w:tc>
        <w:tc>
          <w:tcPr>
            <w:tcW w:type="dxa" w:w="32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Aggregate</w:t>
            </w:r>
          </w:p>
        </w:tc>
      </w:tr>
      <w:tr>
        <w:trPr>
          <w:tblHeader w:val="false"/>
        </w:trPr>
        <w:tc>
          <w:tcPr>
            <w:tcW w:type="dxa" w:w="27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Regulator</w:t>
            </w:r>
          </w:p>
        </w:tc>
        <w:tc>
          <w:tcPr>
            <w:tcW w:type="dxa" w:w="31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 bank that reports to it</w:t>
            </w:r>
          </w:p>
        </w:tc>
        <w:tc>
          <w:tcPr>
            <w:tcW w:type="dxa" w:w="32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Aggregate — it regulates the market, not the customer relationship</w:t>
            </w:r>
          </w:p>
        </w:tc>
      </w:tr>
      <w:tr>
        <w:trPr>
          <w:tblHeader w:val="false"/>
        </w:trPr>
        <w:tc>
          <w:tcPr>
            <w:tcW w:type="dxa" w:w="27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Anyone</w:t>
            </w:r>
          </w:p>
        </w:tc>
        <w:tc>
          <w:tcPr>
            <w:tcW w:type="dxa" w:w="31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Anyone else</w:t>
            </w:r>
          </w:p>
        </w:tc>
        <w:tc>
          <w:tcPr>
            <w:tcW w:type="dxa" w:w="32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None</w:t>
            </w:r>
          </w:p>
        </w:tc>
      </w:tr>
    </w:tbl>
    <w:p>
      <w:pPr>
        <w:spacing w:after="140"/>
      </w:pPr>
    </w:p>
    <w:p>
      <w:pPr>
        <w:spacing w:after="130" w:before="0" w:line="288"/>
      </w:pPr>
      <w:r>
        <w:rPr>
          <w:rFonts w:ascii="Calibri" w:cs="Calibri" w:eastAsia="Calibri" w:hAnsi="Calibri"/>
          <w:color w:val="2A2447"/>
          <w:sz w:val="21"/>
          <w:szCs w:val="21"/>
        </w:rPr>
        <w:t xml:space="preserve">The third row is the one that decides deployments. A bank will not put its customers into a platform where its supervisor can read the list, and filtering it in the interface is not an answer — it is the same query with a cosmetic layer over it.</w:t>
      </w:r>
    </w:p>
    <w:p>
      <w:pPr>
        <w:spacing w:after="130" w:before="0" w:line="288"/>
      </w:pPr>
      <w:r>
        <w:rPr>
          <w:rFonts w:ascii="Calibri" w:cs="Calibri" w:eastAsia="Calibri" w:hAnsi="Calibri"/>
          <w:color w:val="2A2447"/>
          <w:sz w:val="21"/>
          <w:szCs w:val="21"/>
        </w:rPr>
        <w:t xml:space="preserve">A network body opening the participants screen gets a cohort roll-up with the absence stated, rather than an empty table. An empty table reads as a bug; a refusal reads as a design decision, which is what it is.</w:t>
      </w:r>
    </w:p>
    <w:p>
      <w:pPr>
        <w:keepNext/>
        <w:spacing w:after="70" w:before="300"/>
      </w:pPr>
      <w:r>
        <w:rPr>
          <w:rFonts w:ascii="Cambria" w:cs="Cambria" w:eastAsia="Cambria" w:hAnsi="Cambria"/>
          <w:b/>
          <w:bCs/>
          <w:color w:val="16122C"/>
          <w:sz w:val="23"/>
          <w:szCs w:val="23"/>
        </w:rPr>
        <w:t xml:space="preserve">Vocabulary and consent follow the tenant</w:t>
      </w:r>
    </w:p>
    <w:p>
      <w:pPr>
        <w:spacing w:after="130" w:before="0" w:line="288"/>
      </w:pPr>
      <w:r>
        <w:rPr>
          <w:rFonts w:ascii="Calibri" w:cs="Calibri" w:eastAsia="Calibri" w:hAnsi="Calibri"/>
          <w:color w:val="2A2447"/>
          <w:sz w:val="21"/>
          <w:szCs w:val="21"/>
        </w:rPr>
        <w:t xml:space="preserve">A bank has customers, a ministry has residents, a regulator has participants. Printing “participants” at a bank is a small thing that tells a reviewer the product was built for somebody else. The consent basis comes from the organisation that enrolled the person too — a bank's duty of care and a regulator's programme enrolment are different bases, and one sentence covering both would misdescribe the stronger of them.</w:t>
      </w:r>
    </w:p>
    <w:p>
      <w:pPr>
        <w:keepNext/>
        <w:spacing w:after="70" w:before="300"/>
      </w:pPr>
      <w:r>
        <w:rPr>
          <w:rFonts w:ascii="Cambria" w:cs="Cambria" w:eastAsia="Cambria" w:hAnsi="Cambria"/>
          <w:b/>
          <w:bCs/>
          <w:color w:val="16122C"/>
          <w:sz w:val="23"/>
          <w:szCs w:val="23"/>
        </w:rPr>
        <w:t xml:space="preserve">Concurrency is the constraint, not volume</w:t>
      </w:r>
    </w:p>
    <w:p>
      <w:pPr>
        <w:spacing w:after="130" w:before="0" w:line="288"/>
      </w:pPr>
      <w:r>
        <w:rPr>
          <w:rFonts w:ascii="Calibri" w:cs="Calibri" w:eastAsia="Calibri" w:hAnsi="Calibri"/>
          <w:color w:val="2A2447"/>
          <w:sz w:val="21"/>
          <w:szCs w:val="21"/>
        </w:rPr>
        <w:t xml:space="preserve">A rehearsal holds a speech-recognition stream, a synthesis pipeline and a session state machine open for five to eight minutes whether or not the learner is talking. So what decides whether the service stands up is how many run at the same instant.</w:t>
      </w:r>
    </w:p>
    <w:tbl>
      <w:tblPr>
        <w:tblW w:type="dxa" w:w="9070"/>
        <w:tblBorders>
          <w:top w:val="single" w:color="D8D4E8" w:sz="2"/>
          <w:left w:val="single" w:color="D8D4E8" w:sz="2"/>
          <w:bottom w:val="single" w:color="D8D4E8" w:sz="2"/>
          <w:right w:val="single" w:color="D8D4E8" w:sz="2"/>
          <w:insideH w:val="single" w:color="D8D4E8" w:sz="2"/>
          <w:insideV w:val="single" w:color="D8D4E8" w:sz="2"/>
        </w:tblBorders>
      </w:tblPr>
      <w:tblGrid>
        <w:gridCol w:w="3900"/>
        <w:gridCol w:w="2200"/>
        <w:gridCol w:w="2970"/>
      </w:tblGrid>
      <w:tr>
        <w:trPr>
          <w:tblHeader/>
        </w:trPr>
        <w:tc>
          <w:tcPr>
            <w:tcW w:type="dxa" w:w="39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Programme shape</w:t>
            </w:r>
          </w:p>
        </w:tc>
        <w:tc>
          <w:tcPr>
            <w:tcW w:type="dxa" w:w="22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Annual sessions</w:t>
            </w:r>
          </w:p>
        </w:tc>
        <w:tc>
          <w:tcPr>
            <w:tcW w:type="dxa" w:w="297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Peak concurrent</w:t>
            </w:r>
          </w:p>
        </w:tc>
      </w:tr>
      <w:tr>
        <w:trPr>
          <w:tblHeader w:val="false"/>
        </w:trPr>
        <w:tc>
          <w:tcPr>
            <w:tcW w:type="dxa" w:w="39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Ministry campaign, publication-day spike</w:t>
            </w:r>
          </w:p>
        </w:tc>
        <w:tc>
          <w:tcPr>
            <w:tcW w:type="dxa" w:w="22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200,000</w:t>
            </w:r>
          </w:p>
        </w:tc>
        <w:tc>
          <w:tcPr>
            <w:tcW w:type="dxa" w:w="29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≈900</w:t>
            </w:r>
          </w:p>
        </w:tc>
      </w:tr>
      <w:tr>
        <w:trPr>
          <w:tblHeader w:val="false"/>
        </w:trPr>
        <w:tc>
          <w:tcPr>
            <w:tcW w:type="dxa" w:w="39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Bank, advised sessions in branch diaries</w:t>
            </w:r>
          </w:p>
        </w:tc>
        <w:tc>
          <w:tcPr>
            <w:tcW w:type="dxa" w:w="22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200,000</w:t>
            </w:r>
          </w:p>
        </w:tc>
        <w:tc>
          <w:tcPr>
            <w:tcW w:type="dxa" w:w="29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≈220</w:t>
            </w:r>
          </w:p>
        </w:tc>
      </w:tr>
    </w:tbl>
    <w:p>
      <w:pPr>
        <w:spacing w:after="140"/>
      </w:pPr>
    </w:p>
    <w:p>
      <w:pPr>
        <w:spacing w:after="130" w:before="0" w:line="288"/>
      </w:pPr>
      <w:r>
        <w:rPr>
          <w:rFonts w:ascii="Calibri" w:cs="Calibri" w:eastAsia="Calibri" w:hAnsi="Calibri"/>
          <w:color w:val="2A2447"/>
          <w:sz w:val="21"/>
          <w:szCs w:val="21"/>
        </w:rPr>
        <w:t xml:space="preserve">Identical annual volume, an order of magnitude apart in what it costs to serve — and the first one is the one that falls over. A monthly-active-user figure cannot tell them apart. At the ceiling the honest behaviour is a queue with a stated wait, never a degraded session: a rehearsal that drops its pipeline halfway through produces a record nobody should rely on, and the record is the product.</w:t>
      </w:r>
    </w:p>
    <w:p>
      <w:r>
        <w:br w:type="page"/>
      </w:r>
    </w:p>
    <w:p>
      <w:pPr>
        <w:keepNext/>
        <w:spacing w:after="60" w:before="420"/>
      </w:pPr>
      <w:r>
        <w:rPr>
          <w:rFonts w:ascii="Cambria" w:cs="Cambria" w:eastAsia="Cambria" w:hAnsi="Cambria"/>
          <w:b/>
          <w:bCs/>
          <w:color w:val="7C6BC4"/>
          <w:sz w:val="30"/>
          <w:szCs w:val="30"/>
        </w:rPr>
        <w:t xml:space="preserve">12  </w:t>
      </w:r>
      <w:r>
        <w:rPr>
          <w:rFonts w:ascii="Cambria" w:cs="Cambria" w:eastAsia="Cambria" w:hAnsi="Cambria"/>
          <w:b/>
          <w:bCs/>
          <w:color w:val="16122C"/>
          <w:sz w:val="30"/>
          <w:szCs w:val="30"/>
        </w:rPr>
        <w:t xml:space="preserve">Proving it works</w:t>
      </w:r>
    </w:p>
    <w:p>
      <w:pPr>
        <w:spacing w:after="130" w:before="0" w:line="288"/>
      </w:pPr>
      <w:r>
        <w:rPr>
          <w:rFonts w:ascii="Calibri" w:cs="Calibri" w:eastAsia="Calibri" w:hAnsi="Calibri"/>
          <w:color w:val="2A2447"/>
          <w:sz w:val="21"/>
          <w:szCs w:val="21"/>
        </w:rPr>
        <w:t xml:space="preserve">Financial education reports participants, videos watched, quiz scores and completion. None of those is evidence that losses will fall, and everybody in the room knows it — which is why the category is procured on obligation rather than on outcome, and priced accordingly.</w:t>
      </w:r>
    </w:p>
    <w:p>
      <w:pPr>
        <w:keepNext/>
        <w:spacing w:after="70" w:before="300"/>
      </w:pPr>
      <w:r>
        <w:rPr>
          <w:rFonts w:ascii="Cambria" w:cs="Cambria" w:eastAsia="Cambria" w:hAnsi="Cambria"/>
          <w:b/>
          <w:bCs/>
          <w:color w:val="16122C"/>
          <w:sz w:val="23"/>
          <w:szCs w:val="23"/>
        </w:rPr>
        <w:t xml:space="preserve">The value chain</w:t>
      </w:r>
    </w:p>
    <w:p>
      <w:pPr>
        <w:spacing w:after="130" w:before="0" w:line="288"/>
      </w:pPr>
      <w:r>
        <w:rPr>
          <w:rFonts w:ascii="Calibri" w:cs="Calibri" w:eastAsia="Calibri" w:hAnsi="Calibri"/>
          <w:color w:val="2A2447"/>
          <w:sz w:val="21"/>
          <w:szCs w:val="21"/>
        </w:rPr>
        <w:t xml:space="preserve">Seven levels, each strictly weaker evidence than the one below it.</w:t>
      </w:r>
    </w:p>
    <w:tbl>
      <w:tblPr>
        <w:tblW w:type="dxa" w:w="9070"/>
        <w:tblBorders>
          <w:top w:val="single" w:color="D8D4E8" w:sz="2"/>
          <w:left w:val="single" w:color="D8D4E8" w:sz="2"/>
          <w:bottom w:val="single" w:color="D8D4E8" w:sz="2"/>
          <w:right w:val="single" w:color="D8D4E8" w:sz="2"/>
          <w:insideH w:val="single" w:color="D8D4E8" w:sz="2"/>
          <w:insideV w:val="single" w:color="D8D4E8" w:sz="2"/>
        </w:tblBorders>
      </w:tblPr>
      <w:tblGrid>
        <w:gridCol w:w="700"/>
        <w:gridCol w:w="2200"/>
        <w:gridCol w:w="6170"/>
      </w:tblGrid>
      <w:tr>
        <w:trPr>
          <w:tblHeader/>
        </w:trPr>
        <w:tc>
          <w:tcPr>
            <w:tcW w:type="dxa" w:w="7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
            </w:r>
          </w:p>
        </w:tc>
        <w:tc>
          <w:tcPr>
            <w:tcW w:type="dxa" w:w="22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Level</w:t>
            </w:r>
          </w:p>
        </w:tc>
        <w:tc>
          <w:tcPr>
            <w:tcW w:type="dxa" w:w="617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Why it is not enough on its own</w:t>
            </w:r>
          </w:p>
        </w:tc>
      </w:tr>
      <w:tr>
        <w:trPr>
          <w:tblHeader w:val="false"/>
        </w:trPr>
        <w:tc>
          <w:tcPr>
            <w:tcW w:type="dxa" w:w="7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1</w:t>
            </w:r>
          </w:p>
        </w:tc>
        <w:tc>
          <w:tcPr>
            <w:tcW w:type="dxa" w:w="22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Reach</w:t>
            </w:r>
          </w:p>
        </w:tc>
        <w:tc>
          <w:tcPr>
            <w:tcW w:type="dxa" w:w="61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Counts exposure. The number most programmes report and the weakest available.</w:t>
            </w:r>
          </w:p>
        </w:tc>
      </w:tr>
      <w:tr>
        <w:trPr>
          <w:tblHeader w:val="false"/>
        </w:trPr>
        <w:tc>
          <w:tcPr>
            <w:tcW w:type="dxa" w:w="7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2</w:t>
            </w:r>
          </w:p>
        </w:tc>
        <w:tc>
          <w:tcPr>
            <w:tcW w:type="dxa" w:w="22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Knowledge</w:t>
            </w:r>
          </w:p>
        </w:tc>
        <w:tc>
          <w:tcPr>
            <w:tcW w:type="dxa" w:w="61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Everyone knows the rules. Knowing them is uncorrelated with following them when somebody is pushing — the entire premise of the product.</w:t>
            </w:r>
          </w:p>
        </w:tc>
      </w:tr>
      <w:tr>
        <w:trPr>
          <w:tblHeader w:val="false"/>
        </w:trPr>
        <w:tc>
          <w:tcPr>
            <w:tcW w:type="dxa" w:w="7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3</w:t>
            </w:r>
          </w:p>
        </w:tc>
        <w:tc>
          <w:tcPr>
            <w:tcW w:type="dxa" w:w="22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Demonstrated behaviour</w:t>
            </w:r>
          </w:p>
        </w:tc>
        <w:tc>
          <w:tcPr>
            <w:tcW w:type="dxa" w:w="61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One scenario. A person can learn the scenario rather than the behaviour, and from the inside the two look identical.</w:t>
            </w:r>
          </w:p>
        </w:tc>
      </w:tr>
      <w:tr>
        <w:trPr>
          <w:tblHeader w:val="false"/>
        </w:trPr>
        <w:tc>
          <w:tcPr>
            <w:tcW w:type="dxa" w:w="7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4</w:t>
            </w:r>
          </w:p>
        </w:tc>
        <w:tc>
          <w:tcPr>
            <w:tcW w:type="dxa" w:w="22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Transfer</w:t>
            </w:r>
          </w:p>
        </w:tc>
        <w:tc>
          <w:tcPr>
            <w:tcW w:type="dxa" w:w="61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Within one session. It shows the coaching landed; it says nothing about next week.</w:t>
            </w:r>
          </w:p>
        </w:tc>
      </w:tr>
      <w:tr>
        <w:trPr>
          <w:tblHeader w:val="false"/>
        </w:trPr>
        <w:tc>
          <w:tcPr>
            <w:tcW w:type="dxa" w:w="7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5</w:t>
            </w:r>
          </w:p>
        </w:tc>
        <w:tc>
          <w:tcPr>
            <w:tcW w:type="dxa" w:w="22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Persistence</w:t>
            </w:r>
          </w:p>
        </w:tc>
        <w:tc>
          <w:tcPr>
            <w:tcW w:type="dxa" w:w="61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Still simulated. Holding under rehearsed pressure is not holding under a real approach with your own savings.</w:t>
            </w:r>
          </w:p>
        </w:tc>
      </w:tr>
      <w:tr>
        <w:trPr>
          <w:tblHeader w:val="false"/>
        </w:trPr>
        <w:tc>
          <w:tcPr>
            <w:tcW w:type="dxa" w:w="7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6</w:t>
            </w:r>
          </w:p>
        </w:tc>
        <w:tc>
          <w:tcPr>
            <w:tcW w:type="dxa" w:w="22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Real-world action</w:t>
            </w:r>
          </w:p>
        </w:tc>
        <w:tc>
          <w:tcPr>
            <w:tcW w:type="dxa" w:w="61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Needs institutional telemetry — the first level that requires a partner rather than a product.</w:t>
            </w:r>
          </w:p>
        </w:tc>
      </w:tr>
      <w:tr>
        <w:trPr>
          <w:tblHeader w:val="false"/>
        </w:trPr>
        <w:tc>
          <w:tcPr>
            <w:tcW w:type="dxa" w:w="7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7</w:t>
            </w:r>
          </w:p>
        </w:tc>
        <w:tc>
          <w:tcPr>
            <w:tcW w:type="dxa" w:w="22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Financial outcome</w:t>
            </w:r>
          </w:p>
        </w:tc>
        <w:tc>
          <w:tcPr>
            <w:tcW w:type="dxa" w:w="61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The only level that closes the business case, and the slowest and most expensive to reach.</w:t>
            </w:r>
          </w:p>
        </w:tc>
      </w:tr>
    </w:tbl>
    <w:p>
      <w:pPr>
        <w:spacing w:after="140"/>
      </w:pPr>
    </w:p>
    <w:p>
      <w:pPr>
        <w:pBdr>
          <w:left w:val="single" w:color="7C6BC4" w:sz="14" w:space="14"/>
        </w:pBdr>
        <w:spacing w:after="170" w:before="170" w:line="300"/>
        <w:ind w:left="260"/>
      </w:pPr>
      <w:r>
        <w:rPr>
          <w:rFonts w:ascii="Cambria" w:cs="Cambria" w:eastAsia="Cambria" w:hAnsi="Cambria"/>
          <w:i/>
          <w:iCs/>
          <w:color w:val="16122C"/>
          <w:sz w:val="23"/>
          <w:szCs w:val="23"/>
        </w:rPr>
        <w:t xml:space="preserve">Most programmes measure level one, report it in the language of level seven, and are believed until somebody checks.</w:t>
      </w:r>
    </w:p>
    <w:p>
      <w:pPr>
        <w:keepNext/>
        <w:spacing w:after="70" w:before="300"/>
      </w:pPr>
      <w:r>
        <w:rPr>
          <w:rFonts w:ascii="Cambria" w:cs="Cambria" w:eastAsia="Cambria" w:hAnsi="Cambria"/>
          <w:b/>
          <w:bCs/>
          <w:color w:val="16122C"/>
          <w:sz w:val="23"/>
          <w:szCs w:val="23"/>
        </w:rPr>
        <w:t xml:space="preserve">The headline measure</w:t>
      </w:r>
    </w:p>
    <w:p>
      <w:pPr>
        <w:spacing w:after="130" w:before="0" w:line="288"/>
      </w:pPr>
      <w:r>
        <w:rPr>
          <w:rFonts w:ascii="Calibri" w:cs="Calibri" w:eastAsia="Calibri" w:hAnsi="Calibri"/>
          <w:color w:val="2A2447"/>
          <w:sz w:val="21"/>
          <w:szCs w:val="21"/>
        </w:rPr>
        <w:t xml:space="preserve">Verified Protective Action Rate — the share of people who independently perform the required protective action under unfamiliar pressure. Each of those three words excludes a way of inflating it: not after a prompt; the specific action the element names rather than a general show of caution; and a scenario sharing nothing with the one they were coached on, because the same scenario measures recall.</w:t>
      </w:r>
    </w:p>
    <w:p>
      <w:pPr>
        <w:spacing w:after="130" w:before="0" w:line="288"/>
      </w:pPr>
      <w:r>
        <w:rPr>
          <w:rFonts w:ascii="Calibri" w:cs="Calibri" w:eastAsia="Calibri" w:hAnsi="Calibri"/>
          <w:color w:val="2A2447"/>
          <w:sz w:val="21"/>
          <w:szCs w:val="21"/>
        </w:rPr>
        <w:t xml:space="preserve">Reported per ten thousand exposed, which is the unit a loss book is already kept in and which survives comparison across cohorts of different sizes.</w:t>
      </w:r>
    </w:p>
    <w:p>
      <w:pPr>
        <w:keepNext/>
        <w:spacing w:after="70" w:before="300"/>
      </w:pPr>
      <w:r>
        <w:rPr>
          <w:rFonts w:ascii="Cambria" w:cs="Cambria" w:eastAsia="Cambria" w:hAnsi="Cambria"/>
          <w:b/>
          <w:bCs/>
          <w:color w:val="16122C"/>
          <w:sz w:val="23"/>
          <w:szCs w:val="23"/>
        </w:rPr>
        <w:t xml:space="preserve">An improvement is never a bare percentage</w:t>
      </w:r>
    </w:p>
    <w:p>
      <w:pPr>
        <w:spacing w:after="130" w:before="0" w:line="288"/>
      </w:pPr>
      <w:r>
        <w:rPr>
          <w:rFonts w:ascii="Calibri" w:cs="Calibri" w:eastAsia="Calibri" w:hAnsi="Calibri"/>
          <w:color w:val="2A2447"/>
          <w:sz w:val="21"/>
          <w:szCs w:val="21"/>
        </w:rPr>
        <w:t xml:space="preserve">A failure rate moving from 20% to 19% is one percentage point and a five percent relative fall. Moving from 20% to 19.8% is 0.2 points and one percent relative. They differ by a factor of five, they are written identically, and the ambiguity always resolves in the vendor's favour — which is precisely why a procurement officer who has been burned once discounts both readings.</w:t>
      </w:r>
    </w:p>
    <w:p>
      <w:pPr>
        <w:spacing w:after="130" w:before="0" w:line="288"/>
      </w:pPr>
      <w:r>
        <w:rPr>
          <w:rFonts w:ascii="Calibri" w:cs="Calibri" w:eastAsia="Calibri" w:hAnsi="Calibri"/>
          <w:color w:val="2A2447"/>
          <w:sz w:val="21"/>
          <w:szCs w:val="21"/>
        </w:rPr>
        <w:t xml:space="preserve">So in this system an improvement is a type constructed from a before and an after, and the only way to render one states both readings, the count per ten thousand, and the sample size. Nothing here can emit “a five percent improvement” without saying of what.</w:t>
      </w:r>
    </w:p>
    <w:p>
      <w:pPr>
        <w:keepNext/>
        <w:spacing w:after="70" w:before="300"/>
      </w:pPr>
      <w:r>
        <w:rPr>
          <w:rFonts w:ascii="Cambria" w:cs="Cambria" w:eastAsia="Cambria" w:hAnsi="Cambria"/>
          <w:b/>
          <w:bCs/>
          <w:color w:val="16122C"/>
          <w:sz w:val="23"/>
          <w:szCs w:val="23"/>
        </w:rPr>
        <w:t xml:space="preserve">The trial has to be larger than it looks</w:t>
      </w:r>
    </w:p>
    <w:p>
      <w:pPr>
        <w:spacing w:after="130" w:before="0" w:line="288"/>
      </w:pPr>
      <w:r>
        <w:rPr>
          <w:rFonts w:ascii="Calibri" w:cs="Calibri" w:eastAsia="Calibri" w:hAnsi="Calibri"/>
          <w:color w:val="2A2447"/>
          <w:sz w:val="21"/>
          <w:szCs w:val="21"/>
        </w:rPr>
        <w:t xml:space="preserve">At eighty percent power and a conventional significance threshold, the participants needed per arm are counter-intuitive by an order of magnitude.</w:t>
      </w:r>
    </w:p>
    <w:tbl>
      <w:tblPr>
        <w:tblW w:type="dxa" w:w="9070"/>
        <w:tblBorders>
          <w:top w:val="single" w:color="D8D4E8" w:sz="2"/>
          <w:left w:val="single" w:color="D8D4E8" w:sz="2"/>
          <w:bottom w:val="single" w:color="D8D4E8" w:sz="2"/>
          <w:right w:val="single" w:color="D8D4E8" w:sz="2"/>
          <w:insideH w:val="single" w:color="D8D4E8" w:sz="2"/>
          <w:insideV w:val="single" w:color="D8D4E8" w:sz="2"/>
        </w:tblBorders>
      </w:tblPr>
      <w:tblGrid>
        <w:gridCol w:w="4300"/>
        <w:gridCol w:w="2400"/>
        <w:gridCol w:w="2370"/>
      </w:tblGrid>
      <w:tr>
        <w:trPr>
          <w:tblHeader/>
        </w:trPr>
        <w:tc>
          <w:tcPr>
            <w:tcW w:type="dxa" w:w="43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Effect to detect</w:t>
            </w:r>
          </w:p>
        </w:tc>
        <w:tc>
          <w:tcPr>
            <w:tcW w:type="dxa" w:w="24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Relative</w:t>
            </w:r>
          </w:p>
        </w:tc>
        <w:tc>
          <w:tcPr>
            <w:tcW w:type="dxa" w:w="237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Per arm</w:t>
            </w:r>
          </w:p>
        </w:tc>
      </w:tr>
      <w:tr>
        <w:trPr>
          <w:tblHeader w:val="false"/>
        </w:trPr>
        <w:tc>
          <w:tcPr>
            <w:tcW w:type="dxa" w:w="43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20% → 19%  (1 point)</w:t>
            </w:r>
          </w:p>
        </w:tc>
        <w:tc>
          <w:tcPr>
            <w:tcW w:type="dxa" w:w="24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5%</w:t>
            </w:r>
          </w:p>
        </w:tc>
        <w:tc>
          <w:tcPr>
            <w:tcW w:type="dxa" w:w="23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 24,600</w:t>
            </w:r>
          </w:p>
        </w:tc>
      </w:tr>
      <w:tr>
        <w:trPr>
          <w:tblHeader w:val="false"/>
        </w:trPr>
        <w:tc>
          <w:tcPr>
            <w:tcW w:type="dxa" w:w="43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20% → 17%  (3 points)</w:t>
            </w:r>
          </w:p>
        </w:tc>
        <w:tc>
          <w:tcPr>
            <w:tcW w:type="dxa" w:w="24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15%</w:t>
            </w:r>
          </w:p>
        </w:tc>
        <w:tc>
          <w:tcPr>
            <w:tcW w:type="dxa" w:w="23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 2,600</w:t>
            </w:r>
          </w:p>
        </w:tc>
      </w:tr>
      <w:tr>
        <w:trPr>
          <w:tblHeader w:val="false"/>
        </w:trPr>
        <w:tc>
          <w:tcPr>
            <w:tcW w:type="dxa" w:w="43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20% → 15%  (5 points)</w:t>
            </w:r>
          </w:p>
        </w:tc>
        <w:tc>
          <w:tcPr>
            <w:tcW w:type="dxa" w:w="24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25%</w:t>
            </w:r>
          </w:p>
        </w:tc>
        <w:tc>
          <w:tcPr>
            <w:tcW w:type="dxa" w:w="23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 900</w:t>
            </w:r>
          </w:p>
        </w:tc>
      </w:tr>
      <w:tr>
        <w:trPr>
          <w:tblHeader w:val="false"/>
        </w:trPr>
        <w:tc>
          <w:tcPr>
            <w:tcW w:type="dxa" w:w="43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20% → 10%  (10 points)</w:t>
            </w:r>
          </w:p>
        </w:tc>
        <w:tc>
          <w:tcPr>
            <w:tcW w:type="dxa" w:w="24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50%</w:t>
            </w:r>
          </w:p>
        </w:tc>
        <w:tc>
          <w:tcPr>
            <w:tcW w:type="dxa" w:w="23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 200</w:t>
            </w:r>
          </w:p>
        </w:tc>
      </w:tr>
    </w:tbl>
    <w:p>
      <w:pPr>
        <w:spacing w:after="140"/>
      </w:pPr>
    </w:p>
    <w:p>
      <w:pPr>
        <w:spacing w:after="130" w:before="0" w:line="288"/>
      </w:pPr>
      <w:r>
        <w:rPr>
          <w:rFonts w:ascii="Calibri" w:cs="Calibri" w:eastAsia="Calibri" w:hAnsi="Calibri"/>
          <w:color w:val="2A2447"/>
          <w:sz w:val="21"/>
          <w:szCs w:val="21"/>
        </w:rPr>
        <w:t xml:space="preserve">Read the other way: a pilot of four hundred per arm can only detect about seven percentage points. A trial powered for a one-point hypothesis returns “no significant difference” whatever happens — which reads as a failed product and is actually a failed design. AUREN's premise is behaviour change under pressure rather than a nudge, so it should be tested against a hypothesis worth detecting.</w:t>
      </w:r>
    </w:p>
    <w:p>
      <w:pPr>
        <w:keepNext/>
        <w:spacing w:after="70" w:before="300"/>
      </w:pPr>
      <w:r>
        <w:rPr>
          <w:rFonts w:ascii="Cambria" w:cs="Cambria" w:eastAsia="Cambria" w:hAnsi="Cambria"/>
          <w:b/>
          <w:bCs/>
          <w:color w:val="16122C"/>
          <w:sz w:val="23"/>
          <w:szCs w:val="23"/>
        </w:rPr>
        <w:t xml:space="preserve">Three arms, and the second is the one people drop</w:t>
      </w:r>
    </w:p>
    <w:tbl>
      <w:tblPr>
        <w:tblW w:type="dxa" w:w="9070"/>
        <w:tblBorders>
          <w:top w:val="single" w:color="D8D4E8" w:sz="2"/>
          <w:left w:val="single" w:color="D8D4E8" w:sz="2"/>
          <w:bottom w:val="single" w:color="D8D4E8" w:sz="2"/>
          <w:right w:val="single" w:color="D8D4E8" w:sz="2"/>
          <w:insideH w:val="single" w:color="D8D4E8" w:sz="2"/>
          <w:insideV w:val="single" w:color="D8D4E8" w:sz="2"/>
        </w:tblBorders>
      </w:tblPr>
      <w:tblGrid>
        <w:gridCol w:w="2400"/>
        <w:gridCol w:w="6670"/>
      </w:tblGrid>
      <w:tr>
        <w:trPr>
          <w:tblHeader/>
        </w:trPr>
        <w:tc>
          <w:tcPr>
            <w:tcW w:type="dxa" w:w="24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Arm</w:t>
            </w:r>
          </w:p>
        </w:tc>
        <w:tc>
          <w:tcPr>
            <w:tcW w:type="dxa" w:w="667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What its presence rules out</w:t>
            </w:r>
          </w:p>
        </w:tc>
      </w:tr>
      <w:tr>
        <w:trPr>
          <w:tblHeader w:val="false"/>
        </w:trPr>
        <w:tc>
          <w:tcPr>
            <w:tcW w:type="dxa" w:w="24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Control — normal scam information</w:t>
            </w:r>
          </w:p>
        </w:tc>
        <w:tc>
          <w:tcPr>
            <w:tcW w:type="dxa" w:w="66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Everything happening anyway: campaigns, coverage, people simply becoming more careful.</w:t>
            </w:r>
          </w:p>
        </w:tc>
      </w:tr>
      <w:tr>
        <w:trPr>
          <w:tblHeader w:val="false"/>
        </w:trPr>
        <w:tc>
          <w:tcPr>
            <w:tcW w:type="dxa" w:w="24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Conventional education — videos and quizzes</w:t>
            </w:r>
          </w:p>
        </w:tc>
        <w:tc>
          <w:tcPr>
            <w:tcW w:type="dxa" w:w="66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Attention and time-on-task. Without it, any effect is arguably just the hour spent thinking about scams — and that is the objection that matters, because it is the cheaper alternative.</w:t>
            </w:r>
          </w:p>
        </w:tc>
      </w:tr>
      <w:tr>
        <w:trPr>
          <w:tblHeader w:val="false"/>
        </w:trPr>
        <w:tc>
          <w:tcPr>
            <w:tcW w:type="dxa" w:w="24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AUREN</w:t>
            </w:r>
          </w:p>
        </w:tc>
        <w:tc>
          <w:tcPr>
            <w:tcW w:type="dxa" w:w="66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Nothing. This is the treatment.</w:t>
            </w:r>
          </w:p>
        </w:tc>
      </w:tr>
    </w:tbl>
    <w:p>
      <w:pPr>
        <w:spacing w:after="140"/>
      </w:pPr>
    </w:p>
    <w:p>
      <w:pPr>
        <w:spacing w:after="130" w:before="0" w:line="288"/>
      </w:pPr>
      <w:r>
        <w:rPr>
          <w:rFonts w:ascii="Calibri" w:cs="Calibri" w:eastAsia="Calibri" w:hAnsi="Calibri"/>
          <w:color w:val="2A2447"/>
          <w:sz w:val="21"/>
          <w:szCs w:val="21"/>
        </w:rPr>
        <w:t xml:space="preserve">Measured immediately, at thirty days and at ninety days.</w:t>
      </w:r>
    </w:p>
    <w:p>
      <w:pPr>
        <w:pBdr>
          <w:top w:val="single" w:color="EFECF9" w:sz="2" w:space="10"/>
          <w:bottom w:val="single" w:color="EFECF9" w:sz="2" w:space="10"/>
          <w:left w:val="single" w:color="EFECF9" w:sz="2" w:space="12"/>
          <w:right w:val="single" w:color="EFECF9" w:sz="2" w:space="12"/>
        </w:pBdr>
        <w:shd w:fill="F8F6FD" w:val="clear"/>
        <w:spacing w:after="150" w:before="150" w:line="282"/>
      </w:pPr>
      <w:r>
        <w:rPr>
          <w:rFonts w:ascii="Calibri" w:cs="Calibri" w:eastAsia="Calibri" w:hAnsi="Calibri"/>
          <w:b/>
          <w:bCs/>
          <w:color w:val="16122C"/>
          <w:sz w:val="20"/>
          <w:szCs w:val="20"/>
        </w:rPr>
        <w:t xml:space="preserve">One measure that must not be omitted. </w:t>
      </w:r>
      <w:r>
        <w:rPr>
          <w:rFonts w:ascii="Calibri" w:cs="Calibri" w:eastAsia="Calibri" w:hAnsi="Calibri"/>
          <w:color w:val="2A2447"/>
          <w:sz w:val="20"/>
          <w:szCs w:val="20"/>
        </w:rPr>
        <w:t xml:space="preserve">Confidence calibration. An intervention can raise confidence without raising competence, and a confident victim transfers faster than an uncertain one. A programme that moves confidence and not behaviour has produced harm — and it will score as a success on every other measure in the list.</w:t>
      </w:r>
    </w:p>
    <w:p>
      <w:pPr>
        <w:keepNext/>
        <w:spacing w:after="70" w:before="300"/>
      </w:pPr>
      <w:r>
        <w:rPr>
          <w:rFonts w:ascii="Cambria" w:cs="Cambria" w:eastAsia="Cambria" w:hAnsi="Cambria"/>
          <w:b/>
          <w:bCs/>
          <w:color w:val="16122C"/>
          <w:sz w:val="23"/>
          <w:szCs w:val="23"/>
        </w:rPr>
        <w:t xml:space="preserve">The claim ladder</w:t>
      </w:r>
    </w:p>
    <w:p>
      <w:pPr>
        <w:spacing w:after="130" w:before="0" w:line="288"/>
      </w:pPr>
      <w:r>
        <w:rPr>
          <w:rFonts w:ascii="Calibri" w:cs="Calibri" w:eastAsia="Calibri" w:hAnsi="Calibri"/>
          <w:color w:val="2A2447"/>
          <w:sz w:val="21"/>
          <w:szCs w:val="21"/>
        </w:rPr>
        <w:t xml:space="preserve">The gap between the first claim and the last is where this category loses its credibility.</w:t>
      </w:r>
    </w:p>
    <w:tbl>
      <w:tblPr>
        <w:tblW w:type="dxa" w:w="9070"/>
        <w:tblBorders>
          <w:top w:val="single" w:color="D8D4E8" w:sz="2"/>
          <w:left w:val="single" w:color="D8D4E8" w:sz="2"/>
          <w:bottom w:val="single" w:color="D8D4E8" w:sz="2"/>
          <w:right w:val="single" w:color="D8D4E8" w:sz="2"/>
          <w:insideH w:val="single" w:color="D8D4E8" w:sz="2"/>
          <w:insideV w:val="single" w:color="D8D4E8" w:sz="2"/>
        </w:tblBorders>
      </w:tblPr>
      <w:tblGrid>
        <w:gridCol w:w="700"/>
        <w:gridCol w:w="5100"/>
        <w:gridCol w:w="3270"/>
      </w:tblGrid>
      <w:tr>
        <w:trPr>
          <w:tblHeader/>
        </w:trPr>
        <w:tc>
          <w:tcPr>
            <w:tcW w:type="dxa" w:w="7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
            </w:r>
          </w:p>
        </w:tc>
        <w:tc>
          <w:tcPr>
            <w:tcW w:type="dxa" w:w="51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Claim</w:t>
            </w:r>
          </w:p>
        </w:tc>
        <w:tc>
          <w:tcPr>
            <w:tcW w:type="dxa" w:w="327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Requires</w:t>
            </w:r>
          </w:p>
        </w:tc>
      </w:tr>
      <w:tr>
        <w:trPr>
          <w:tblHeader w:val="false"/>
        </w:trPr>
        <w:tc>
          <w:tcPr>
            <w:tcW w:type="dxa" w:w="7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1</w:t>
            </w:r>
          </w:p>
        </w:tc>
        <w:tc>
          <w:tcPr>
            <w:tcW w:type="dxa" w:w="51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N people completed a governed rehearsal with an evidence-bound record</w:t>
            </w:r>
          </w:p>
        </w:tc>
        <w:tc>
          <w:tcPr>
            <w:tcW w:type="dxa" w:w="32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Sessions and records</w:t>
            </w:r>
          </w:p>
        </w:tc>
      </w:tr>
      <w:tr>
        <w:trPr>
          <w:tblHeader w:val="false"/>
        </w:trPr>
        <w:tc>
          <w:tcPr>
            <w:tcW w:type="dxa" w:w="7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2</w:t>
            </w:r>
          </w:p>
        </w:tc>
        <w:tc>
          <w:tcPr>
            <w:tcW w:type="dxa" w:w="51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Reduced unsafe decisions in unfamiliar simulated scams by X% against conventional education</w:t>
            </w:r>
          </w:p>
        </w:tc>
        <w:tc>
          <w:tcPr>
            <w:tcW w:type="dxa" w:w="32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Randomised control and conventional arms, a surface-distant retest, both readings stated, a powered sample</w:t>
            </w:r>
          </w:p>
        </w:tc>
      </w:tr>
      <w:tr>
        <w:trPr>
          <w:tblHeader w:val="false"/>
        </w:trPr>
        <w:tc>
          <w:tcPr>
            <w:tcW w:type="dxa" w:w="7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3</w:t>
            </w:r>
          </w:p>
        </w:tc>
        <w:tc>
          <w:tcPr>
            <w:tcW w:type="dxa" w:w="51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The reduction was sustained at ninety days</w:t>
            </w:r>
          </w:p>
        </w:tc>
        <w:tc>
          <w:tcPr>
            <w:tcW w:type="dxa" w:w="32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The above, plus retests at 30 and 90 days, with attrition reported</w:t>
            </w:r>
          </w:p>
        </w:tc>
      </w:tr>
      <w:tr>
        <w:trPr>
          <w:tblHeader w:val="false"/>
        </w:trPr>
        <w:tc>
          <w:tcPr>
            <w:tcW w:type="dxa" w:w="7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4</w:t>
            </w:r>
          </w:p>
        </w:tc>
        <w:tc>
          <w:tcPr>
            <w:tcW w:type="dxa" w:w="51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Rehearsed customers performed more protective actions in real conditions</w:t>
            </w:r>
          </w:p>
        </w:tc>
        <w:tc>
          <w:tcPr>
            <w:tcW w:type="dxa" w:w="32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Institutional telemetry linked to cohort membership, consent covering the linkage, a control cohort in the same telemetry</w:t>
            </w:r>
          </w:p>
        </w:tc>
      </w:tr>
      <w:tr>
        <w:trPr>
          <w:tblHeader w:val="false"/>
        </w:trPr>
        <w:tc>
          <w:tcPr>
            <w:tcW w:type="dxa" w:w="7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5</w:t>
            </w:r>
          </w:p>
        </w:tc>
        <w:tc>
          <w:tcPr>
            <w:tcW w:type="dxa" w:w="51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Reduced actual scam-loss events by X% and avoided Y in losses</w:t>
            </w:r>
          </w:p>
        </w:tc>
        <w:tc>
          <w:tcPr>
            <w:tcW w:type="dxa" w:w="32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Linked transactions over at least four quarters, matched-exposure control, categories agreed before the trial, independent verification</w:t>
            </w:r>
          </w:p>
        </w:tc>
      </w:tr>
    </w:tbl>
    <w:p>
      <w:pPr>
        <w:spacing w:after="140"/>
      </w:pPr>
    </w:p>
    <w:p>
      <w:pPr>
        <w:spacing w:after="130" w:before="0" w:line="288"/>
      </w:pPr>
      <w:r>
        <w:rPr>
          <w:rFonts w:ascii="Calibri" w:cs="Calibri" w:eastAsia="Calibri" w:hAnsi="Calibri"/>
          <w:color w:val="2A2447"/>
          <w:sz w:val="21"/>
          <w:szCs w:val="21"/>
        </w:rPr>
        <w:t xml:space="preserve">A claim above its evidence is refused by the system with the specific missing requirement named, because “we need more data” gets waved through and “you do not have linked transaction outcomes” does not. Saying rung five while holding rung two evidence is the most common overstatement in this sector, and it is the one a regulator's economist finds.</w:t>
      </w:r>
    </w:p>
    <w:p>
      <w:r>
        <w:br w:type="page"/>
      </w:r>
    </w:p>
    <w:p>
      <w:pPr>
        <w:keepNext/>
        <w:spacing w:after="60" w:before="420"/>
      </w:pPr>
      <w:r>
        <w:rPr>
          <w:rFonts w:ascii="Cambria" w:cs="Cambria" w:eastAsia="Cambria" w:hAnsi="Cambria"/>
          <w:b/>
          <w:bCs/>
          <w:color w:val="7C6BC4"/>
          <w:sz w:val="30"/>
          <w:szCs w:val="30"/>
        </w:rPr>
        <w:t xml:space="preserve">13  </w:t>
      </w:r>
      <w:r>
        <w:rPr>
          <w:rFonts w:ascii="Cambria" w:cs="Cambria" w:eastAsia="Cambria" w:hAnsi="Cambria"/>
          <w:b/>
          <w:bCs/>
          <w:color w:val="16122C"/>
          <w:sz w:val="30"/>
          <w:szCs w:val="30"/>
        </w:rPr>
        <w:t xml:space="preserve">The economic case</w:t>
      </w:r>
    </w:p>
    <w:p>
      <w:pPr>
        <w:spacing w:after="130" w:before="0" w:line="288"/>
      </w:pPr>
      <w:r>
        <w:rPr>
          <w:rFonts w:ascii="Calibri" w:cs="Calibri" w:eastAsia="Calibri" w:hAnsi="Calibri"/>
          <w:color w:val="2A2447"/>
          <w:sz w:val="21"/>
          <w:szCs w:val="21"/>
        </w:rPr>
        <w:t xml:space="preserve">The business case is not that AUREN improves financial literacy. It is that AUREN reduces the probability a person transfers money, shares credentials or invests through a fraudulent platform when placed under real-world pressure — and that this is measurable in units a loss book is already kept in.</w:t>
      </w:r>
    </w:p>
    <w:p>
      <w:pPr>
        <w:keepNext/>
        <w:spacing w:after="70" w:before="300"/>
      </w:pPr>
      <w:r>
        <w:rPr>
          <w:rFonts w:ascii="Cambria" w:cs="Cambria" w:eastAsia="Cambria" w:hAnsi="Cambria"/>
          <w:b/>
          <w:bCs/>
          <w:color w:val="16122C"/>
          <w:sz w:val="23"/>
          <w:szCs w:val="23"/>
        </w:rPr>
        <w:t xml:space="preserve">Baselines, and two deliberate blanks</w:t>
      </w:r>
    </w:p>
    <w:tbl>
      <w:tblPr>
        <w:tblW w:type="dxa" w:w="9070"/>
        <w:tblBorders>
          <w:top w:val="single" w:color="D8D4E8" w:sz="2"/>
          <w:left w:val="single" w:color="D8D4E8" w:sz="2"/>
          <w:bottom w:val="single" w:color="D8D4E8" w:sz="2"/>
          <w:right w:val="single" w:color="D8D4E8" w:sz="2"/>
          <w:insideH w:val="single" w:color="D8D4E8" w:sz="2"/>
          <w:insideV w:val="single" w:color="D8D4E8" w:sz="2"/>
        </w:tblBorders>
      </w:tblPr>
      <w:tblGrid>
        <w:gridCol w:w="2100"/>
        <w:gridCol w:w="2600"/>
        <w:gridCol w:w="2100"/>
        <w:gridCol w:w="2270"/>
      </w:tblGrid>
      <w:tr>
        <w:trPr>
          <w:tblHeader/>
        </w:trPr>
        <w:tc>
          <w:tcPr>
            <w:tcW w:type="dxa" w:w="21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Market</w:t>
            </w:r>
          </w:p>
        </w:tc>
        <w:tc>
          <w:tcPr>
            <w:tcW w:type="dxa" w:w="26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Annual loss</w:t>
            </w:r>
          </w:p>
        </w:tc>
        <w:tc>
          <w:tcPr>
            <w:tcW w:type="dxa" w:w="21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Evidence grade</w:t>
            </w:r>
          </w:p>
        </w:tc>
        <w:tc>
          <w:tcPr>
            <w:tcW w:type="dxa" w:w="227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One percent of it</w:t>
            </w:r>
          </w:p>
        </w:tc>
      </w:tr>
      <w:tr>
        <w:trPr>
          <w:tblHeader w:val="false"/>
        </w:trPr>
        <w:tc>
          <w:tcPr>
            <w:tcW w:type="dxa" w:w="21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Malaysia</w:t>
            </w:r>
          </w:p>
        </w:tc>
        <w:tc>
          <w:tcPr>
            <w:tcW w:type="dxa" w:w="26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RM2.8bn (2025)</w:t>
            </w:r>
          </w:p>
        </w:tc>
        <w:tc>
          <w:tcPr>
            <w:tcW w:type="dxa" w:w="21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Published — BNM</w:t>
            </w:r>
          </w:p>
        </w:tc>
        <w:tc>
          <w:tcPr>
            <w:tcW w:type="dxa" w:w="22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RM28m</w:t>
            </w:r>
          </w:p>
        </w:tc>
      </w:tr>
      <w:tr>
        <w:trPr>
          <w:tblHeader w:val="false"/>
        </w:trPr>
        <w:tc>
          <w:tcPr>
            <w:tcW w:type="dxa" w:w="21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Global</w:t>
            </w:r>
          </w:p>
        </w:tc>
        <w:tc>
          <w:tcPr>
            <w:tcW w:type="dxa" w:w="26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US$442bn (2024)</w:t>
            </w:r>
          </w:p>
        </w:tc>
        <w:tc>
          <w:tcPr>
            <w:tcW w:type="dxa" w:w="21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Survey estimate</w:t>
            </w:r>
          </w:p>
        </w:tc>
        <w:tc>
          <w:tcPr>
            <w:tcW w:type="dxa" w:w="22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US$4.42bn</w:t>
            </w:r>
          </w:p>
        </w:tc>
      </w:tr>
      <w:tr>
        <w:trPr>
          <w:tblHeader w:val="false"/>
        </w:trPr>
        <w:tc>
          <w:tcPr>
            <w:tcW w:type="dxa" w:w="21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United Arab Emirates</w:t>
            </w:r>
          </w:p>
        </w:tc>
        <w:tc>
          <w:tcPr>
            <w:tcW w:type="dxa" w:w="26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w:t>
            </w:r>
          </w:p>
        </w:tc>
        <w:tc>
          <w:tcPr>
            <w:tcW w:type="dxa" w:w="21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None defensible</w:t>
            </w:r>
          </w:p>
        </w:tc>
        <w:tc>
          <w:tcPr>
            <w:tcW w:type="dxa" w:w="22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w:t>
            </w:r>
          </w:p>
        </w:tc>
      </w:tr>
      <w:tr>
        <w:trPr>
          <w:tblHeader w:val="false"/>
        </w:trPr>
        <w:tc>
          <w:tcPr>
            <w:tcW w:type="dxa" w:w="21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Spain</w:t>
            </w:r>
          </w:p>
        </w:tc>
        <w:tc>
          <w:tcPr>
            <w:tcW w:type="dxa" w:w="26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w:t>
            </w:r>
          </w:p>
        </w:tc>
        <w:tc>
          <w:tcPr>
            <w:tcW w:type="dxa" w:w="21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None defensible</w:t>
            </w:r>
          </w:p>
        </w:tc>
        <w:tc>
          <w:tcPr>
            <w:tcW w:type="dxa" w:w="22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w:t>
            </w:r>
          </w:p>
        </w:tc>
      </w:tr>
    </w:tbl>
    <w:p>
      <w:pPr>
        <w:spacing w:after="140"/>
      </w:pPr>
    </w:p>
    <w:p>
      <w:pPr>
        <w:spacing w:after="130" w:before="0" w:line="288"/>
      </w:pPr>
      <w:r>
        <w:rPr>
          <w:rFonts w:ascii="Calibri" w:cs="Calibri" w:eastAsia="Calibri" w:hAnsi="Calibri"/>
          <w:color w:val="2A2447"/>
          <w:sz w:val="21"/>
          <w:szCs w:val="21"/>
        </w:rPr>
        <w:t xml:space="preserve">The blanks are not gaps in the work. For the UAE, prevalence is well evidenced — roughly seven in ten residents encountered a scam, one in three of those lost money, two thirds of victims were hit by investment scams — and none of it yields a national monetary aggregate. For Spain, incident counts and warning lists are published, and incidents are not losses: a warning list is not a loss ledger.</w:t>
      </w:r>
    </w:p>
    <w:p>
      <w:pPr>
        <w:pBdr>
          <w:left w:val="single" w:color="7C6BC4" w:sz="14" w:space="14"/>
        </w:pBdr>
        <w:spacing w:after="170" w:before="170" w:line="300"/>
        <w:ind w:left="260"/>
      </w:pPr>
      <w:r>
        <w:rPr>
          <w:rFonts w:ascii="Cambria" w:cs="Cambria" w:eastAsia="Cambria" w:hAnsi="Cambria"/>
          <w:i/>
          <w:iCs/>
          <w:color w:val="16122C"/>
          <w:sz w:val="23"/>
          <w:szCs w:val="23"/>
        </w:rPr>
        <w:t xml:space="preserve">In a proposal a blank cell looks like a gap in the work and a plausible number looks like diligence. It is the reverse.</w:t>
      </w:r>
    </w:p>
    <w:p>
      <w:pPr>
        <w:spacing w:after="130" w:before="0" w:line="288"/>
      </w:pPr>
      <w:r>
        <w:rPr>
          <w:rFonts w:ascii="Calibri" w:cs="Calibri" w:eastAsia="Calibri" w:hAnsi="Calibri"/>
          <w:color w:val="2A2447"/>
          <w:sz w:val="21"/>
          <w:szCs w:val="21"/>
        </w:rPr>
        <w:t xml:space="preserve">The system enforces this rather than relying on discipline: a market with no defensible aggregate returns a refusal naming what a real baseline would have to come from, instead of a figure. For both markets, that is a participating institution's own loss book — which is also where the first commercial conversation should start.</w:t>
      </w:r>
    </w:p>
    <w:p>
      <w:pPr>
        <w:keepNext/>
        <w:spacing w:after="70" w:before="300"/>
      </w:pPr>
      <w:r>
        <w:rPr>
          <w:rFonts w:ascii="Cambria" w:cs="Cambria" w:eastAsia="Cambria" w:hAnsi="Cambria"/>
          <w:b/>
          <w:bCs/>
          <w:color w:val="16122C"/>
          <w:sz w:val="23"/>
          <w:szCs w:val="23"/>
        </w:rPr>
        <w:t xml:space="preserve">The model</w:t>
      </w:r>
    </w:p>
    <w:p>
      <w:pPr>
        <w:spacing w:after="130" w:before="0" w:line="288"/>
      </w:pPr>
      <w:r>
        <w:rPr>
          <w:rFonts w:ascii="Calibri" w:cs="Calibri" w:eastAsia="Calibri" w:hAnsi="Calibri"/>
          <w:color w:val="2A2447"/>
          <w:sz w:val="21"/>
          <w:szCs w:val="21"/>
        </w:rPr>
        <w:t xml:space="preserve">Annual avoided loss is the baseline loss pool, multiplied by the share of it AUREN addresses, by the share of the population reached, by the measured reduction within that group, by an attribution factor.</w:t>
      </w:r>
    </w:p>
    <w:tbl>
      <w:tblPr>
        <w:tblW w:type="dxa" w:w="9070"/>
        <w:tblBorders>
          <w:top w:val="single" w:color="D8D4E8" w:sz="2"/>
          <w:left w:val="single" w:color="D8D4E8" w:sz="2"/>
          <w:bottom w:val="single" w:color="D8D4E8" w:sz="2"/>
          <w:right w:val="single" w:color="D8D4E8" w:sz="2"/>
          <w:insideH w:val="single" w:color="D8D4E8" w:sz="2"/>
          <w:insideV w:val="single" w:color="D8D4E8" w:sz="2"/>
        </w:tblBorders>
      </w:tblPr>
      <w:tblGrid>
        <w:gridCol w:w="3200"/>
        <w:gridCol w:w="2900"/>
        <w:gridCol w:w="2970"/>
      </w:tblGrid>
      <w:tr>
        <w:trPr>
          <w:tblHeader/>
        </w:trPr>
        <w:tc>
          <w:tcPr>
            <w:tcW w:type="dxa" w:w="32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Malaysia scenario</w:t>
            </w:r>
          </w:p>
        </w:tc>
        <w:tc>
          <w:tcPr>
            <w:tcW w:type="dxa" w:w="29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Modelled</w:t>
            </w:r>
          </w:p>
        </w:tc>
        <w:tc>
          <w:tcPr>
            <w:tcW w:type="dxa" w:w="297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Range</w:t>
            </w:r>
          </w:p>
        </w:tc>
      </w:tr>
      <w:tr>
        <w:trPr>
          <w:tblHeader w:val="false"/>
        </w:trPr>
        <w:tc>
          <w:tcPr>
            <w:tcW w:type="dxa" w:w="32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Conservative pilot</w:t>
            </w:r>
          </w:p>
        </w:tc>
        <w:tc>
          <w:tcPr>
            <w:tcW w:type="dxa" w:w="29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RM840k</w:t>
            </w:r>
          </w:p>
        </w:tc>
        <w:tc>
          <w:tcPr>
            <w:tcW w:type="dxa" w:w="29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RM202k – RM2.4m</w:t>
            </w:r>
          </w:p>
        </w:tc>
      </w:tr>
      <w:tr>
        <w:trPr>
          <w:tblHeader w:val="false"/>
        </w:trPr>
        <w:tc>
          <w:tcPr>
            <w:tcW w:type="dxa" w:w="32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National institutional rollout</w:t>
            </w:r>
          </w:p>
        </w:tc>
        <w:tc>
          <w:tcPr>
            <w:tcW w:type="dxa" w:w="29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RM11.2m</w:t>
            </w:r>
          </w:p>
        </w:tc>
        <w:tc>
          <w:tcPr>
            <w:tcW w:type="dxa" w:w="29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RM2.7m – RM32.0m</w:t>
            </w:r>
          </w:p>
        </w:tc>
      </w:tr>
      <w:tr>
        <w:trPr>
          <w:tblHeader w:val="false"/>
        </w:trPr>
        <w:tc>
          <w:tcPr>
            <w:tcW w:type="dxa" w:w="32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Scaled national programme</w:t>
            </w:r>
          </w:p>
        </w:tc>
        <w:tc>
          <w:tcPr>
            <w:tcW w:type="dxa" w:w="29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RM94.5m</w:t>
            </w:r>
          </w:p>
        </w:tc>
        <w:tc>
          <w:tcPr>
            <w:tcW w:type="dxa" w:w="29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RM22.7m – RM269.9m</w:t>
            </w:r>
          </w:p>
        </w:tc>
      </w:tr>
    </w:tbl>
    <w:p>
      <w:pPr>
        <w:spacing w:after="140"/>
      </w:pPr>
    </w:p>
    <w:p>
      <w:pPr>
        <w:spacing w:after="130" w:before="0" w:line="288"/>
      </w:pPr>
      <w:r>
        <w:rPr>
          <w:rFonts w:ascii="Calibri" w:cs="Calibri" w:eastAsia="Calibri" w:hAnsi="Calibri"/>
          <w:color w:val="2A2447"/>
          <w:sz w:val="21"/>
          <w:szCs w:val="21"/>
        </w:rPr>
        <w:t xml:space="preserve">The ranges matter. Four shares multiplied together compound their uncertainty; at plus or minus thirty percent on each — generous, early in a deployment — the product is uncertain by a factor of two in each direction. A single figure is not conservatism, it is false precision, and it is the first number a sceptical finance director attacks.</w:t>
      </w:r>
    </w:p>
    <w:p>
      <w:pPr>
        <w:keepNext/>
        <w:spacing w:after="50" w:before="240"/>
      </w:pPr>
      <w:r>
        <w:rPr>
          <w:rFonts w:ascii="Calibri" w:cs="Calibri" w:eastAsia="Calibri" w:hAnsi="Calibri"/>
          <w:b/>
          <w:bCs/>
          <w:color w:val="544491"/>
          <w:spacing w:val="34"/>
          <w:sz w:val="15"/>
          <w:szCs w:val="15"/>
        </w:rPr>
        <w:t xml:space="preserve">ATTRIBUTION SHOULD RISE WITH THE EVIDENCE, NOT STAY AT HALF FOREVER</w:t>
      </w:r>
    </w:p>
    <w:p>
      <w:pPr>
        <w:spacing w:after="130" w:before="0" w:line="288"/>
      </w:pPr>
      <w:r>
        <w:rPr>
          <w:rFonts w:ascii="Calibri" w:cs="Calibri" w:eastAsia="Calibri" w:hAnsi="Calibri"/>
          <w:color w:val="2A2447"/>
          <w:sz w:val="21"/>
          <w:szCs w:val="21"/>
        </w:rPr>
        <w:t xml:space="preserve">The attribution factor exists because some of the improvement would have happened anyway — campaigns, coverage, the institution's own warnings, people simply becoming more careful. That is exactly what a randomised control arm measures and removes. Applying a further fifty percent discount on top of a controlled result discounts the counterfactual twice.</w:t>
      </w:r>
    </w:p>
    <w:tbl>
      <w:tblPr>
        <w:tblW w:type="dxa" w:w="9070"/>
        <w:tblBorders>
          <w:top w:val="single" w:color="D8D4E8" w:sz="2"/>
          <w:left w:val="single" w:color="D8D4E8" w:sz="2"/>
          <w:bottom w:val="single" w:color="D8D4E8" w:sz="2"/>
          <w:right w:val="single" w:color="D8D4E8" w:sz="2"/>
          <w:insideH w:val="single" w:color="D8D4E8" w:sz="2"/>
          <w:insideV w:val="single" w:color="D8D4E8" w:sz="2"/>
        </w:tblBorders>
      </w:tblPr>
      <w:tblGrid>
        <w:gridCol w:w="3600"/>
        <w:gridCol w:w="1500"/>
        <w:gridCol w:w="3970"/>
      </w:tblGrid>
      <w:tr>
        <w:trPr>
          <w:tblHeader/>
        </w:trPr>
        <w:tc>
          <w:tcPr>
            <w:tcW w:type="dxa" w:w="36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How the reduction was measured</w:t>
            </w:r>
          </w:p>
        </w:tc>
        <w:tc>
          <w:tcPr>
            <w:tcW w:type="dxa" w:w="15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Attribution</w:t>
            </w:r>
          </w:p>
        </w:tc>
        <w:tc>
          <w:tcPr>
            <w:tcW w:type="dxa" w:w="397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Why</w:t>
            </w:r>
          </w:p>
        </w:tc>
      </w:tr>
      <w:tr>
        <w:trPr>
          <w:tblHeader w:val="false"/>
        </w:trPr>
        <w:tc>
          <w:tcPr>
            <w:tcW w:type="dxa" w:w="36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Assumed</w:t>
            </w:r>
          </w:p>
        </w:tc>
        <w:tc>
          <w:tcPr>
            <w:tcW w:type="dxa" w:w="15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40%</w:t>
            </w:r>
          </w:p>
        </w:tc>
        <w:tc>
          <w:tcPr>
            <w:tcW w:type="dxa" w:w="39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 planning figure. It must not leave the room described as a result.</w:t>
            </w:r>
          </w:p>
        </w:tc>
      </w:tr>
      <w:tr>
        <w:trPr>
          <w:tblHeader w:val="false"/>
        </w:trPr>
        <w:tc>
          <w:tcPr>
            <w:tcW w:type="dxa" w:w="36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Pre and post, no control arm</w:t>
            </w:r>
          </w:p>
        </w:tc>
        <w:tc>
          <w:tcPr>
            <w:tcW w:type="dxa" w:w="15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50%</w:t>
            </w:r>
          </w:p>
        </w:tc>
        <w:tc>
          <w:tcPr>
            <w:tcW w:type="dxa" w:w="39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Contains everything else that was happening. Half is a conventional haircut and a guess about the counterfactual's size.</w:t>
            </w:r>
          </w:p>
        </w:tc>
      </w:tr>
      <w:tr>
        <w:trPr>
          <w:tblHeader w:val="false"/>
        </w:trPr>
        <w:tc>
          <w:tcPr>
            <w:tcW w:type="dxa" w:w="36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Randomised control arm</w:t>
            </w:r>
          </w:p>
        </w:tc>
        <w:tc>
          <w:tcPr>
            <w:tcW w:type="dxa" w:w="15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90%</w:t>
            </w:r>
          </w:p>
        </w:tc>
        <w:tc>
          <w:tcPr>
            <w:tcW w:type="dxa" w:w="39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The counterfactual is already netted out. The residual covers spillover and the simulated-to-real gap.</w:t>
            </w:r>
          </w:p>
        </w:tc>
      </w:tr>
      <w:tr>
        <w:trPr>
          <w:tblHeader w:val="false"/>
        </w:trPr>
        <w:tc>
          <w:tcPr>
            <w:tcW w:type="dxa" w:w="36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Control arm plus linked transactions</w:t>
            </w:r>
          </w:p>
        </w:tc>
        <w:tc>
          <w:tcPr>
            <w:tcW w:type="dxa" w:w="15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100%</w:t>
            </w:r>
          </w:p>
        </w:tc>
        <w:tc>
          <w:tcPr>
            <w:tcW w:type="dxa" w:w="39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Counterfactual measured, outcome real. Discounting here discards evidence that was expensive to obtain.</w:t>
            </w:r>
          </w:p>
        </w:tc>
      </w:tr>
    </w:tbl>
    <w:p>
      <w:pPr>
        <w:spacing w:after="140"/>
      </w:pPr>
    </w:p>
    <w:p>
      <w:pPr>
        <w:spacing w:after="130" w:before="0" w:line="288"/>
      </w:pPr>
      <w:r>
        <w:rPr>
          <w:rFonts w:ascii="Calibri" w:cs="Calibri" w:eastAsia="Calibri" w:hAnsi="Calibri"/>
          <w:color w:val="2A2447"/>
          <w:sz w:val="21"/>
          <w:szCs w:val="21"/>
        </w:rPr>
        <w:t xml:space="preserve">Under-claiming is not free. A programme that reports half its real effect gets funded at half its real value, and the next renewal is argued against the smaller number.</w:t>
      </w:r>
    </w:p>
    <w:p>
      <w:pPr>
        <w:keepNext/>
        <w:spacing w:after="70" w:before="300"/>
      </w:pPr>
      <w:r>
        <w:rPr>
          <w:rFonts w:ascii="Cambria" w:cs="Cambria" w:eastAsia="Cambria" w:hAnsi="Cambria"/>
          <w:b/>
          <w:bCs/>
          <w:color w:val="16122C"/>
          <w:sz w:val="23"/>
          <w:szCs w:val="23"/>
        </w:rPr>
        <w:t xml:space="preserve">The institutional case</w:t>
      </w:r>
    </w:p>
    <w:p>
      <w:pPr>
        <w:spacing w:after="130" w:before="0" w:line="288"/>
      </w:pPr>
      <w:r>
        <w:rPr>
          <w:rFonts w:ascii="Calibri" w:cs="Calibri" w:eastAsia="Calibri" w:hAnsi="Calibri"/>
          <w:color w:val="2A2447"/>
          <w:sz w:val="21"/>
          <w:szCs w:val="21"/>
        </w:rPr>
        <w:t xml:space="preserve">A bank with RM96 million in annual customer scam losses, thirty percent of it in addressable categories, half the relevant customers reached, a ten percent reduction measured without a control arm: RM720,000 in direct attributable avoided loss, with a range of RM173,000 to RM2.1 million. On controlled evidence the same inputs give RM1.3 million, because attribution moves.</w:t>
      </w:r>
    </w:p>
    <w:p>
      <w:pPr>
        <w:spacing w:after="130" w:before="0" w:line="288"/>
      </w:pPr>
      <w:r>
        <w:rPr>
          <w:rFonts w:ascii="Calibri" w:cs="Calibri" w:eastAsia="Calibri" w:hAnsi="Calibri"/>
          <w:color w:val="2A2447"/>
          <w:sz w:val="21"/>
          <w:szCs w:val="21"/>
        </w:rPr>
        <w:t xml:space="preserve">Direct avoided loss is the first layer and usually the smallest. The others are why a fraud-prevention budget signs rather than a marketing one: reimbursement exposure, investigation and contact-centre cost, complaint and ombudsman workload, and demonstrable preventive action.</w:t>
      </w:r>
    </w:p>
    <w:p>
      <w:pPr>
        <w:pBdr>
          <w:top w:val="single" w:color="EFECF9" w:sz="2" w:space="10"/>
          <w:bottom w:val="single" w:color="EFECF9" w:sz="2" w:space="10"/>
          <w:left w:val="single" w:color="EFECF9" w:sz="2" w:space="12"/>
          <w:right w:val="single" w:color="EFECF9" w:sz="2" w:space="12"/>
        </w:pBdr>
        <w:shd w:fill="F8F6FD" w:val="clear"/>
        <w:spacing w:after="150" w:before="150" w:line="282"/>
      </w:pPr>
      <w:r>
        <w:rPr>
          <w:rFonts w:ascii="Calibri" w:cs="Calibri" w:eastAsia="Calibri" w:hAnsi="Calibri"/>
          <w:b/>
          <w:bCs/>
          <w:color w:val="16122C"/>
          <w:sz w:val="20"/>
          <w:szCs w:val="20"/>
        </w:rPr>
        <w:t xml:space="preserve">Why banks buy, stated plainly. </w:t>
      </w:r>
      <w:r>
        <w:rPr>
          <w:rFonts w:ascii="Calibri" w:cs="Calibri" w:eastAsia="Calibri" w:hAnsi="Calibri"/>
          <w:color w:val="2A2447"/>
          <w:sz w:val="20"/>
          <w:szCs w:val="20"/>
        </w:rPr>
        <w:t xml:space="preserve">Publicly it is customer protection. Commercially it is that the bank is the one who refunds — reimbursement rules moved the loss from the customer to the institution, so a bank can now put a number on a scam it did not stop. Reimbursement exposure is the cleanest line in the whole case, because it is already denominated in the institution's own money.</w:t>
      </w:r>
    </w:p>
    <w:p>
      <w:pPr>
        <w:spacing w:after="130" w:before="0" w:line="288"/>
      </w:pPr>
      <w:r>
        <w:rPr>
          <w:rFonts w:ascii="Calibri" w:cs="Calibri" w:eastAsia="Calibri" w:hAnsi="Calibri"/>
          <w:color w:val="2A2447"/>
          <w:sz w:val="21"/>
          <w:szCs w:val="21"/>
        </w:rPr>
        <w:t xml:space="preserve">Social value — retained savings, reduced emotional harm, higher willingness to report — belongs in a government procurement case and stays out of the return calculation. A number invented there contaminates the ones that were real.</w:t>
      </w:r>
    </w:p>
    <w:p>
      <w:pPr>
        <w:keepNext/>
        <w:spacing w:after="70" w:before="300"/>
      </w:pPr>
      <w:r>
        <w:rPr>
          <w:rFonts w:ascii="Cambria" w:cs="Cambria" w:eastAsia="Cambria" w:hAnsi="Cambria"/>
          <w:b/>
          <w:bCs/>
          <w:color w:val="16122C"/>
          <w:sz w:val="23"/>
          <w:szCs w:val="23"/>
        </w:rPr>
        <w:t xml:space="preserve">The target</w:t>
      </w:r>
    </w:p>
    <w:p>
      <w:pPr>
        <w:pBdr>
          <w:left w:val="single" w:color="7C6BC4" w:sz="14" w:space="14"/>
        </w:pBdr>
        <w:spacing w:after="170" w:before="170" w:line="300"/>
        <w:ind w:left="260"/>
      </w:pPr>
      <w:r>
        <w:rPr>
          <w:rFonts w:ascii="Cambria" w:cs="Cambria" w:eastAsia="Cambria" w:hAnsi="Cambria"/>
          <w:i/>
          <w:iCs/>
          <w:color w:val="16122C"/>
          <w:sz w:val="23"/>
          <w:szCs w:val="23"/>
        </w:rPr>
        <w:t xml:space="preserve">Every unit of currency spent produces at least three to five in measurable economic value, independently verified.</w:t>
      </w:r>
    </w:p>
    <w:p>
      <w:pPr>
        <w:spacing w:after="130" w:before="0" w:line="288"/>
      </w:pPr>
      <w:r>
        <w:rPr>
          <w:rFonts w:ascii="Calibri" w:cs="Calibri" w:eastAsia="Calibri" w:hAnsi="Calibri"/>
          <w:color w:val="2A2447"/>
          <w:sz w:val="21"/>
          <w:szCs w:val="21"/>
        </w:rPr>
        <w:t xml:space="preserve">Once that is demonstrated, AUREN stops being an education product and becomes fraud-loss-prevention infrastructure — a different budget, a different buyer and a different multiple.</w:t>
      </w:r>
    </w:p>
    <w:p>
      <w:r>
        <w:br w:type="page"/>
      </w:r>
    </w:p>
    <w:p>
      <w:pPr>
        <w:keepNext/>
        <w:spacing w:after="60" w:before="420"/>
      </w:pPr>
      <w:r>
        <w:rPr>
          <w:rFonts w:ascii="Cambria" w:cs="Cambria" w:eastAsia="Cambria" w:hAnsi="Cambria"/>
          <w:b/>
          <w:bCs/>
          <w:color w:val="7C6BC4"/>
          <w:sz w:val="30"/>
          <w:szCs w:val="30"/>
        </w:rPr>
        <w:t xml:space="preserve">14  </w:t>
      </w:r>
      <w:r>
        <w:rPr>
          <w:rFonts w:ascii="Cambria" w:cs="Cambria" w:eastAsia="Cambria" w:hAnsi="Cambria"/>
          <w:b/>
          <w:bCs/>
          <w:color w:val="16122C"/>
          <w:sz w:val="30"/>
          <w:szCs w:val="30"/>
        </w:rPr>
        <w:t xml:space="preserve">What is not built</w:t>
      </w:r>
    </w:p>
    <w:p>
      <w:pPr>
        <w:spacing w:after="130" w:before="0" w:line="288"/>
      </w:pPr>
      <w:r>
        <w:rPr>
          <w:rFonts w:ascii="Calibri" w:cs="Calibri" w:eastAsia="Calibri" w:hAnsi="Calibri"/>
          <w:color w:val="2A2447"/>
          <w:sz w:val="21"/>
          <w:szCs w:val="21"/>
        </w:rPr>
        <w:t xml:space="preserve">Stated here rather than discovered later. Each of these is a real gap, and three of them are on the critical path to the only claim that closes the commercial case.</w:t>
      </w:r>
    </w:p>
    <w:tbl>
      <w:tblPr>
        <w:tblW w:type="dxa" w:w="9070"/>
        <w:tblBorders>
          <w:top w:val="single" w:color="D8D4E8" w:sz="2"/>
          <w:left w:val="single" w:color="D8D4E8" w:sz="2"/>
          <w:bottom w:val="single" w:color="D8D4E8" w:sz="2"/>
          <w:right w:val="single" w:color="D8D4E8" w:sz="2"/>
          <w:insideH w:val="single" w:color="D8D4E8" w:sz="2"/>
          <w:insideV w:val="single" w:color="D8D4E8" w:sz="2"/>
        </w:tblBorders>
      </w:tblPr>
      <w:tblGrid>
        <w:gridCol w:w="2700"/>
        <w:gridCol w:w="6370"/>
      </w:tblGrid>
      <w:tr>
        <w:trPr>
          <w:tblHeader/>
        </w:trPr>
        <w:tc>
          <w:tcPr>
            <w:tcW w:type="dxa" w:w="27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Absent</w:t>
            </w:r>
          </w:p>
        </w:tc>
        <w:tc>
          <w:tcPr>
            <w:tcW w:type="dxa" w:w="637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Why it matters</w:t>
            </w:r>
          </w:p>
        </w:tc>
      </w:tr>
      <w:tr>
        <w:trPr>
          <w:tblHeader w:val="false"/>
        </w:trPr>
        <w:tc>
          <w:tcPr>
            <w:tcW w:type="dxa" w:w="27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 model actually wired in</w:t>
            </w:r>
          </w:p>
        </w:tc>
        <w:tc>
          <w:tcPr>
            <w:tcW w:type="dxa" w:w="63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Every turn in the contract demonstration is a fixture. The contract is real and the validation runs; what has not been proven is a live model's refusal rate against it — the number that decides whether the fall-back path fires once a day or once a turn.</w:t>
            </w:r>
          </w:p>
        </w:tc>
      </w:tr>
      <w:tr>
        <w:trPr>
          <w:tblHeader w:val="false"/>
        </w:trPr>
        <w:tc>
          <w:tcPr>
            <w:tcW w:type="dxa" w:w="27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Live connectors</w:t>
            </w:r>
          </w:p>
        </w:tc>
        <w:tc>
          <w:tcPr>
            <w:tcW w:type="dxa" w:w="63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The trust gateway is real; the feeds are fixtures. Each is an integration against a real authority's real format.</w:t>
            </w:r>
          </w:p>
        </w:tc>
      </w:tr>
      <w:tr>
        <w:trPr>
          <w:tblHeader w:val="false"/>
        </w:trPr>
        <w:tc>
          <w:tcPr>
            <w:tcW w:type="dxa" w:w="27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Document ingestion</w:t>
            </w:r>
          </w:p>
        </w:tc>
        <w:tc>
          <w:tcPr>
            <w:tcW w:type="dxa" w:w="63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Module clauses are pasted, not extracted from PDFs. A mis-extracted clause becomes a wrong anchor on a released object, which is worse than no extraction.</w:t>
            </w:r>
          </w:p>
        </w:tc>
      </w:tr>
      <w:tr>
        <w:trPr>
          <w:tblHeader w:val="false"/>
        </w:trPr>
        <w:tc>
          <w:tcPr>
            <w:tcW w:type="dxa" w:w="27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Edition re-anchoring</w:t>
            </w:r>
          </w:p>
        </w:tc>
        <w:tc>
          <w:tcPr>
            <w:tcW w:type="dxa" w:w="63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The corpus records that a third edition supersedes a second; nothing yet walks the released objects citing the old one and asks a reviewer to re-anchor them.</w:t>
            </w:r>
          </w:p>
        </w:tc>
      </w:tr>
      <w:tr>
        <w:trPr>
          <w:tblHeader w:val="false"/>
        </w:trPr>
        <w:tc>
          <w:tcPr>
            <w:tcW w:type="dxa" w:w="27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The object editor</w:t>
            </w:r>
          </w:p>
        </w:tc>
        <w:tc>
          <w:tcPr>
            <w:tcW w:type="dxa" w:w="63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Still the screen a reviewer would live in, and still unbuilt. Every gap in a derivation is a field somebody has to fill somewhere.</w:t>
            </w:r>
          </w:p>
        </w:tc>
      </w:tr>
      <w:tr>
        <w:trPr>
          <w:tblHeader w:val="false"/>
        </w:trPr>
        <w:tc>
          <w:tcPr>
            <w:tcW w:type="dxa" w:w="27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Adversarial test corpus</w:t>
            </w:r>
          </w:p>
        </w:tc>
        <w:tc>
          <w:tcPr>
            <w:tcW w:type="dxa" w:w="63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The factory declares an adversarial stage and the probes are not written. The boundary library is where that gap matters most.</w:t>
            </w:r>
          </w:p>
        </w:tc>
      </w:tr>
      <w:tr>
        <w:trPr>
          <w:tblHeader w:val="false"/>
        </w:trPr>
        <w:tc>
          <w:tcPr>
            <w:tcW w:type="dxa" w:w="27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Consent withdrawal</w:t>
            </w:r>
          </w:p>
        </w:tc>
        <w:tc>
          <w:tcPr>
            <w:tcW w:type="dxa" w:w="63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 participant consented at enrolment. Withdrawing it should remove them, and the corpus is append-only by design — the erasure path is a real design problem rather than a checkbox.</w:t>
            </w:r>
          </w:p>
        </w:tc>
      </w:tr>
      <w:tr>
        <w:trPr>
          <w:tblHeader w:val="false"/>
        </w:trPr>
        <w:tc>
          <w:tcPr>
            <w:tcW w:type="dxa" w:w="27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Native review</w:t>
            </w:r>
          </w:p>
        </w:tc>
        <w:tc>
          <w:tcPr>
            <w:tcW w:type="dxa" w:w="63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Only English has passed. Four languages ship at review-pending and the system says so everywhere.</w:t>
            </w:r>
          </w:p>
        </w:tc>
      </w:tr>
      <w:tr>
        <w:trPr>
          <w:tblHeader w:val="false"/>
        </w:trPr>
        <w:tc>
          <w:tcPr>
            <w:tcW w:type="dxa" w:w="27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Institutional telemetry linkage</w:t>
            </w:r>
          </w:p>
        </w:tc>
        <w:tc>
          <w:tcPr>
            <w:tcW w:type="dxa" w:w="63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Claim rungs four and five need a partner's transaction data and consent covering the linkage. Neither exists.</w:t>
            </w:r>
          </w:p>
        </w:tc>
      </w:tr>
      <w:tr>
        <w:trPr>
          <w:tblHeader w:val="false"/>
        </w:trPr>
        <w:tc>
          <w:tcPr>
            <w:tcW w:type="dxa" w:w="27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The trial itself</w:t>
            </w:r>
          </w:p>
        </w:tc>
        <w:tc>
          <w:tcPr>
            <w:tcW w:type="dxa" w:w="63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Designed here, not run. The power calculation says what size it has to be, which is currently the most useful thing the impact model produces.</w:t>
            </w:r>
          </w:p>
        </w:tc>
      </w:tr>
      <w:tr>
        <w:trPr>
          <w:tblHeader w:val="false"/>
        </w:trPr>
        <w:tc>
          <w:tcPr>
            <w:tcW w:type="dxa" w:w="27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Longitudinal evidence</w:t>
            </w:r>
          </w:p>
        </w:tc>
        <w:tc>
          <w:tcPr>
            <w:tcW w:type="dxa" w:w="63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The most valuable asset on the list and the only one that cannot be bought or built — only accumulated.</w:t>
            </w:r>
          </w:p>
        </w:tc>
      </w:tr>
    </w:tbl>
    <w:p>
      <w:pPr>
        <w:keepNext/>
        <w:spacing w:after="60" w:before="420"/>
      </w:pPr>
      <w:r>
        <w:rPr>
          <w:rFonts w:ascii="Cambria" w:cs="Cambria" w:eastAsia="Cambria" w:hAnsi="Cambria"/>
          <w:b/>
          <w:bCs/>
          <w:color w:val="7C6BC4"/>
          <w:sz w:val="30"/>
          <w:szCs w:val="30"/>
        </w:rPr>
        <w:t xml:space="preserve">15  </w:t>
      </w:r>
      <w:r>
        <w:rPr>
          <w:rFonts w:ascii="Cambria" w:cs="Cambria" w:eastAsia="Cambria" w:hAnsi="Cambria"/>
          <w:b/>
          <w:bCs/>
          <w:color w:val="16122C"/>
          <w:sz w:val="30"/>
          <w:szCs w:val="30"/>
        </w:rPr>
        <w:t xml:space="preserve">What we need from a partner</w:t>
      </w:r>
    </w:p>
    <w:p>
      <w:pPr>
        <w:spacing w:after="130" w:before="0" w:line="288"/>
      </w:pPr>
      <w:r>
        <w:rPr>
          <w:rFonts w:ascii="Calibri" w:cs="Calibri" w:eastAsia="Calibri" w:hAnsi="Calibri"/>
          <w:color w:val="2A2447"/>
          <w:sz w:val="21"/>
          <w:szCs w:val="21"/>
        </w:rPr>
        <w:t xml:space="preserve">Four things, in the order they unblock the others.</w:t>
      </w:r>
    </w:p>
    <w:p>
      <w:pPr>
        <w:keepNext/>
        <w:spacing w:after="50" w:before="240"/>
      </w:pPr>
      <w:r>
        <w:rPr>
          <w:rFonts w:ascii="Calibri" w:cs="Calibri" w:eastAsia="Calibri" w:hAnsi="Calibri"/>
          <w:b/>
          <w:bCs/>
          <w:color w:val="544491"/>
          <w:spacing w:val="34"/>
          <w:sz w:val="15"/>
          <w:szCs w:val="15"/>
        </w:rPr>
        <w:t xml:space="preserve">AN AUTHORITY TO ANCHOR THE CORPUS</w:t>
      </w:r>
    </w:p>
    <w:p>
      <w:pPr>
        <w:spacing w:after="130" w:before="0" w:line="288"/>
      </w:pPr>
      <w:r>
        <w:rPr>
          <w:rFonts w:ascii="Calibri" w:cs="Calibri" w:eastAsia="Calibri" w:hAnsi="Calibri"/>
          <w:color w:val="2A2447"/>
          <w:sz w:val="21"/>
          <w:szCs w:val="21"/>
        </w:rPr>
        <w:t xml:space="preserve">Competency elements must cite published principles, and the publish gate refuses them otherwise. A securities commission that contributes its existing investor-education curriculum closes the most expensive gap in the system on day one, because its clauses arrive as anchors rather than having to be sourced.</w:t>
      </w:r>
    </w:p>
    <w:p>
      <w:pPr>
        <w:keepNext/>
        <w:spacing w:after="50" w:before="240"/>
      </w:pPr>
      <w:r>
        <w:rPr>
          <w:rFonts w:ascii="Calibri" w:cs="Calibri" w:eastAsia="Calibri" w:hAnsi="Calibri"/>
          <w:b/>
          <w:bCs/>
          <w:color w:val="544491"/>
          <w:spacing w:val="34"/>
          <w:sz w:val="15"/>
          <w:szCs w:val="15"/>
        </w:rPr>
        <w:t xml:space="preserve">AN INSTITUTION WITH A LOSS BOOK</w:t>
      </w:r>
    </w:p>
    <w:p>
      <w:pPr>
        <w:spacing w:after="130" w:before="0" w:line="288"/>
      </w:pPr>
      <w:r>
        <w:rPr>
          <w:rFonts w:ascii="Calibri" w:cs="Calibri" w:eastAsia="Calibri" w:hAnsi="Calibri"/>
          <w:color w:val="2A2447"/>
          <w:sz w:val="21"/>
          <w:szCs w:val="21"/>
        </w:rPr>
        <w:t xml:space="preserve">The economic case is computed from a real denominator or it is not computed. A bank or a ministry able to state its own losses by category converts every figure in section 13 from a scenario into a measurement.</w:t>
      </w:r>
    </w:p>
    <w:p>
      <w:pPr>
        <w:keepNext/>
        <w:spacing w:after="50" w:before="240"/>
      </w:pPr>
      <w:r>
        <w:rPr>
          <w:rFonts w:ascii="Calibri" w:cs="Calibri" w:eastAsia="Calibri" w:hAnsi="Calibri"/>
          <w:b/>
          <w:bCs/>
          <w:color w:val="544491"/>
          <w:spacing w:val="34"/>
          <w:sz w:val="15"/>
          <w:szCs w:val="15"/>
        </w:rPr>
        <w:t xml:space="preserve">A COHORT LARGE ENOUGH TO BE WORTH MEASURING</w:t>
      </w:r>
    </w:p>
    <w:p>
      <w:pPr>
        <w:spacing w:after="130" w:before="0" w:line="288"/>
      </w:pPr>
      <w:r>
        <w:rPr>
          <w:rFonts w:ascii="Calibri" w:cs="Calibri" w:eastAsia="Calibri" w:hAnsi="Calibri"/>
          <w:color w:val="2A2447"/>
          <w:sz w:val="21"/>
          <w:szCs w:val="21"/>
        </w:rPr>
        <w:t xml:space="preserve">Nine hundred per arm detects a five-point effect. Two hundred per arm detects ten points. Below that the trial cannot answer the question it was run to answer, whatever the product does.</w:t>
      </w:r>
    </w:p>
    <w:p>
      <w:pPr>
        <w:keepNext/>
        <w:spacing w:after="50" w:before="240"/>
      </w:pPr>
      <w:r>
        <w:rPr>
          <w:rFonts w:ascii="Calibri" w:cs="Calibri" w:eastAsia="Calibri" w:hAnsi="Calibri"/>
          <w:b/>
          <w:bCs/>
          <w:color w:val="544491"/>
          <w:spacing w:val="34"/>
          <w:sz w:val="15"/>
          <w:szCs w:val="15"/>
        </w:rPr>
        <w:t xml:space="preserve">PERMISSION TO FOLLOW THE OUTCOME</w:t>
      </w:r>
    </w:p>
    <w:p>
      <w:pPr>
        <w:spacing w:after="130" w:before="0" w:line="288"/>
      </w:pPr>
      <w:r>
        <w:rPr>
          <w:rFonts w:ascii="Calibri" w:cs="Calibri" w:eastAsia="Calibri" w:hAnsi="Calibri"/>
          <w:color w:val="2A2447"/>
          <w:sz w:val="21"/>
          <w:szCs w:val="21"/>
        </w:rPr>
        <w:t xml:space="preserve">The claim that closes the case needs transaction outcomes linked to cohort membership, with consent captured at enrolment to cover the linkage. That consent has to be designed into the first enrolment, because it cannot be retrofitted to people who have already finished.</w:t>
      </w:r>
    </w:p>
    <w:p>
      <w:pPr>
        <w:spacing w:after="200"/>
      </w:pPr>
    </w:p>
    <w:p>
      <w:pPr>
        <w:pBdr>
          <w:left w:val="single" w:color="7C6BC4" w:sz="14" w:space="14"/>
        </w:pBdr>
        <w:spacing w:after="170" w:before="170" w:line="300"/>
        <w:ind w:left="260"/>
      </w:pPr>
      <w:r>
        <w:rPr>
          <w:rFonts w:ascii="Cambria" w:cs="Cambria" w:eastAsia="Cambria" w:hAnsi="Cambria"/>
          <w:i/>
          <w:iCs/>
          <w:color w:val="16122C"/>
          <w:sz w:val="23"/>
          <w:szCs w:val="23"/>
        </w:rPr>
        <w:t xml:space="preserve">AUREN is not an AI that can produce an answer. It is a regulated system that can prove why it produced that answer — and then show that the person it was produced about behaved differently under pressure.</w:t>
      </w:r>
    </w:p>
    <w:p>
      <w:r>
        <w:br w:type="page"/>
      </w:r>
    </w:p>
    <w:p>
      <w:pPr>
        <w:keepNext/>
        <w:spacing w:after="60" w:before="420"/>
      </w:pPr>
      <w:r>
        <w:rPr>
          <w:rFonts w:ascii="Cambria" w:cs="Cambria" w:eastAsia="Cambria" w:hAnsi="Cambria"/>
          <w:b/>
          <w:bCs/>
          <w:color w:val="7C6BC4"/>
          <w:sz w:val="30"/>
          <w:szCs w:val="30"/>
        </w:rPr>
        <w:t xml:space="preserve">A  </w:t>
      </w:r>
      <w:r>
        <w:rPr>
          <w:rFonts w:ascii="Cambria" w:cs="Cambria" w:eastAsia="Cambria" w:hAnsi="Cambria"/>
          <w:b/>
          <w:bCs/>
          <w:color w:val="16122C"/>
          <w:sz w:val="30"/>
          <w:szCs w:val="30"/>
        </w:rPr>
        <w:t xml:space="preserve">Appendix — the ten publish-gate tests</w:t>
      </w:r>
    </w:p>
    <w:p>
      <w:pPr>
        <w:spacing w:after="130" w:before="0" w:line="288"/>
      </w:pPr>
      <w:r>
        <w:rPr>
          <w:rFonts w:ascii="Calibri" w:cs="Calibri" w:eastAsia="Calibri" w:hAnsi="Calibri"/>
          <w:color w:val="2A2447"/>
          <w:sz w:val="21"/>
          <w:szCs w:val="21"/>
        </w:rPr>
        <w:t xml:space="preserve">Seven blocking, three advisory, no waive path. An object reaches a learner only inside a signed bundle that passed all seven.</w:t>
      </w:r>
    </w:p>
    <w:tbl>
      <w:tblPr>
        <w:tblW w:type="dxa" w:w="9070"/>
        <w:tblBorders>
          <w:top w:val="single" w:color="D8D4E8" w:sz="2"/>
          <w:left w:val="single" w:color="D8D4E8" w:sz="2"/>
          <w:bottom w:val="single" w:color="D8D4E8" w:sz="2"/>
          <w:right w:val="single" w:color="D8D4E8" w:sz="2"/>
          <w:insideH w:val="single" w:color="D8D4E8" w:sz="2"/>
          <w:insideV w:val="single" w:color="D8D4E8" w:sz="2"/>
        </w:tblBorders>
      </w:tblPr>
      <w:tblGrid>
        <w:gridCol w:w="2300"/>
        <w:gridCol w:w="1200"/>
        <w:gridCol w:w="5570"/>
      </w:tblGrid>
      <w:tr>
        <w:trPr>
          <w:tblHeader/>
        </w:trPr>
        <w:tc>
          <w:tcPr>
            <w:tcW w:type="dxa" w:w="23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Test</w:t>
            </w:r>
          </w:p>
        </w:tc>
        <w:tc>
          <w:tcPr>
            <w:tcW w:type="dxa" w:w="12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Severity</w:t>
            </w:r>
          </w:p>
        </w:tc>
        <w:tc>
          <w:tcPr>
            <w:tcW w:type="dxa" w:w="557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Asserts</w:t>
            </w:r>
          </w:p>
        </w:tc>
      </w:tr>
      <w:tr>
        <w:trPr>
          <w:tblHeader w:val="false"/>
        </w:trPr>
        <w:tc>
          <w:tcPr>
            <w:tcW w:type="dxa" w:w="23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Candidate set</w:t>
            </w:r>
          </w:p>
        </w:tc>
        <w:tc>
          <w:tcPr>
            <w:tcW w:type="dxa" w:w="12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Blocking</w:t>
            </w:r>
          </w:p>
        </w:tc>
        <w:tc>
          <w:tcPr>
            <w:tcW w:type="dxa" w:w="55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At least one object has reached EFFECTIVE and is in the bundle.</w:t>
            </w:r>
          </w:p>
        </w:tc>
      </w:tr>
      <w:tr>
        <w:trPr>
          <w:tblHeader w:val="false"/>
        </w:trPr>
        <w:tc>
          <w:tcPr>
            <w:tcW w:type="dxa" w:w="23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Coverage</w:t>
            </w:r>
          </w:p>
        </w:tc>
        <w:tc>
          <w:tcPr>
            <w:tcW w:type="dxa" w:w="12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Blocking</w:t>
            </w:r>
          </w:p>
        </w:tc>
        <w:tc>
          <w:tcPr>
            <w:tcW w:type="dxa" w:w="55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Every mandatory, capturable element has at least one eligible question.</w:t>
            </w:r>
          </w:p>
        </w:tc>
      </w:tr>
      <w:tr>
        <w:trPr>
          <w:tblHeader w:val="false"/>
        </w:trPr>
        <w:tc>
          <w:tcPr>
            <w:tcW w:type="dxa" w:w="23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Anchor integrity</w:t>
            </w:r>
          </w:p>
        </w:tc>
        <w:tc>
          <w:tcPr>
            <w:tcW w:type="dxa" w:w="12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Blocking</w:t>
            </w:r>
          </w:p>
        </w:tc>
        <w:tc>
          <w:tcPr>
            <w:tcW w:type="dxa" w:w="55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Every element binds to a published clause in the vertical's anchor authority.</w:t>
            </w:r>
          </w:p>
        </w:tc>
      </w:tr>
      <w:tr>
        <w:trPr>
          <w:tblHeader w:val="false"/>
        </w:trPr>
        <w:tc>
          <w:tcPr>
            <w:tcW w:type="dxa" w:w="23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Prohibited formulation</w:t>
            </w:r>
          </w:p>
        </w:tc>
        <w:tc>
          <w:tcPr>
            <w:tcW w:type="dxa" w:w="12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Blocking</w:t>
            </w:r>
          </w:p>
        </w:tc>
        <w:tc>
          <w:tcPr>
            <w:tcW w:type="dxa" w:w="55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No unrationalised leading risk, no ladder above its ceiling, no forbidden phrasing in released wording.</w:t>
            </w:r>
          </w:p>
        </w:tc>
      </w:tr>
      <w:tr>
        <w:trPr>
          <w:tblHeader w:val="false"/>
        </w:trPr>
        <w:tc>
          <w:tcPr>
            <w:tcW w:type="dxa" w:w="23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Scope integrity</w:t>
            </w:r>
          </w:p>
        </w:tc>
        <w:tc>
          <w:tcPr>
            <w:tcW w:type="dxa" w:w="12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Blocking</w:t>
            </w:r>
          </w:p>
        </w:tc>
        <w:tc>
          <w:tcPr>
            <w:tcW w:type="dxa" w:w="55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No object is reachable outside its declared mode, market or doctrine.</w:t>
            </w:r>
          </w:p>
        </w:tc>
      </w:tr>
      <w:tr>
        <w:trPr>
          <w:tblHeader w:val="false"/>
        </w:trPr>
        <w:tc>
          <w:tcPr>
            <w:tcW w:type="dxa" w:w="23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Boundary refusal</w:t>
            </w:r>
          </w:p>
        </w:tc>
        <w:tc>
          <w:tcPr>
            <w:tcW w:type="dxa" w:w="12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Blocking</w:t>
            </w:r>
          </w:p>
        </w:tc>
        <w:tc>
          <w:tcPr>
            <w:tcW w:type="dxa" w:w="55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The hard boundary is declared and proven in every deployed language.</w:t>
            </w:r>
          </w:p>
        </w:tc>
      </w:tr>
      <w:tr>
        <w:trPr>
          <w:tblHeader w:val="false"/>
        </w:trPr>
        <w:tc>
          <w:tcPr>
            <w:tcW w:type="dxa" w:w="23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Version consistency</w:t>
            </w:r>
          </w:p>
        </w:tc>
        <w:tc>
          <w:tcPr>
            <w:tcW w:type="dxa" w:w="12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Blocking</w:t>
            </w:r>
          </w:p>
        </w:tc>
        <w:tc>
          <w:tcPr>
            <w:tcW w:type="dxa" w:w="55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Every reference resolves to an object present in the same bundle.</w:t>
            </w:r>
          </w:p>
        </w:tc>
      </w:tr>
      <w:tr>
        <w:trPr>
          <w:tblHeader w:val="false"/>
        </w:trPr>
        <w:tc>
          <w:tcPr>
            <w:tcW w:type="dxa" w:w="23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Adversarial probe</w:t>
            </w:r>
          </w:p>
        </w:tc>
        <w:tc>
          <w:tcPr>
            <w:tcW w:type="dxa" w:w="12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Advisory</w:t>
            </w:r>
          </w:p>
        </w:tc>
        <w:tc>
          <w:tcPr>
            <w:tcW w:type="dxa" w:w="55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The released set holds under hostile and leading questioning.</w:t>
            </w:r>
          </w:p>
        </w:tc>
      </w:tr>
      <w:tr>
        <w:trPr>
          <w:tblHeader w:val="false"/>
        </w:trPr>
        <w:tc>
          <w:tcPr>
            <w:tcW w:type="dxa" w:w="23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Translation fidelity</w:t>
            </w:r>
          </w:p>
        </w:tc>
        <w:tc>
          <w:tcPr>
            <w:tcW w:type="dxa" w:w="12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Advisory</w:t>
            </w:r>
          </w:p>
        </w:tc>
        <w:tc>
          <w:tcPr>
            <w:tcW w:type="dxa" w:w="55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Every deployable variant has passed native review.</w:t>
            </w:r>
          </w:p>
        </w:tc>
      </w:tr>
      <w:tr>
        <w:trPr>
          <w:tblHeader w:val="false"/>
        </w:trPr>
        <w:tc>
          <w:tcPr>
            <w:tcW w:type="dxa" w:w="23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Traceability</w:t>
            </w:r>
          </w:p>
        </w:tc>
        <w:tc>
          <w:tcPr>
            <w:tcW w:type="dxa" w:w="12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Advisory</w:t>
            </w:r>
          </w:p>
        </w:tc>
        <w:tc>
          <w:tcPr>
            <w:tcW w:type="dxa" w:w="55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Every answer and determination resolves to an object, a version and a verbatim span.</w:t>
            </w:r>
          </w:p>
        </w:tc>
      </w:tr>
    </w:tbl>
    <w:p>
      <w:pPr>
        <w:spacing w:after="200"/>
      </w:pPr>
    </w:p>
    <w:p>
      <w:pPr>
        <w:keepNext/>
        <w:spacing w:after="60" w:before="420"/>
      </w:pPr>
      <w:r>
        <w:rPr>
          <w:rFonts w:ascii="Cambria" w:cs="Cambria" w:eastAsia="Cambria" w:hAnsi="Cambria"/>
          <w:b/>
          <w:bCs/>
          <w:color w:val="7C6BC4"/>
          <w:sz w:val="30"/>
          <w:szCs w:val="30"/>
        </w:rPr>
        <w:t xml:space="preserve">B  </w:t>
      </w:r>
      <w:r>
        <w:rPr>
          <w:rFonts w:ascii="Cambria" w:cs="Cambria" w:eastAsia="Cambria" w:hAnsi="Cambria"/>
          <w:b/>
          <w:bCs/>
          <w:color w:val="16122C"/>
          <w:sz w:val="30"/>
          <w:szCs w:val="30"/>
        </w:rPr>
        <w:t xml:space="preserve">Appendix — generation permissions</w:t>
      </w:r>
    </w:p>
    <w:p>
      <w:pPr>
        <w:spacing w:after="130" w:before="0" w:line="288"/>
      </w:pPr>
      <w:r>
        <w:rPr>
          <w:rFonts w:ascii="Calibri" w:cs="Calibri" w:eastAsia="Calibri" w:hAnsi="Calibri"/>
          <w:color w:val="2A2447"/>
          <w:sz w:val="21"/>
          <w:szCs w:val="21"/>
        </w:rPr>
        <w:t xml:space="preserve">What the model may do, per mode. Four acts are refused in every mode with no waiver path and are therefore kept out of the table entirely: composing sentences not traceable to an approved object, creating or altering an assessment criterion, writing a new assessment question, and giving a personalised investment recommendation.</w:t>
      </w:r>
    </w:p>
    <w:tbl>
      <w:tblPr>
        <w:tblW w:type="dxa" w:w="9070"/>
        <w:tblBorders>
          <w:top w:val="single" w:color="D8D4E8" w:sz="2"/>
          <w:left w:val="single" w:color="D8D4E8" w:sz="2"/>
          <w:bottom w:val="single" w:color="D8D4E8" w:sz="2"/>
          <w:right w:val="single" w:color="D8D4E8" w:sz="2"/>
          <w:insideH w:val="single" w:color="D8D4E8" w:sz="2"/>
          <w:insideV w:val="single" w:color="D8D4E8" w:sz="2"/>
        </w:tblBorders>
      </w:tblPr>
      <w:tblGrid>
        <w:gridCol w:w="2500"/>
        <w:gridCol w:w="3300"/>
        <w:gridCol w:w="3270"/>
      </w:tblGrid>
      <w:tr>
        <w:trPr>
          <w:tblHeader/>
        </w:trPr>
        <w:tc>
          <w:tcPr>
            <w:tcW w:type="dxa" w:w="25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Mode</w:t>
            </w:r>
          </w:p>
        </w:tc>
        <w:tc>
          <w:tcPr>
            <w:tcW w:type="dxa" w:w="33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May</w:t>
            </w:r>
          </w:p>
        </w:tc>
        <w:tc>
          <w:tcPr>
            <w:tcW w:type="dxa" w:w="327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On a violation</w:t>
            </w:r>
          </w:p>
        </w:tc>
      </w:tr>
      <w:tr>
        <w:trPr>
          <w:tblHeader w:val="false"/>
        </w:trPr>
        <w:tc>
          <w:tcPr>
            <w:tcW w:type="dxa" w:w="25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General education</w:t>
            </w:r>
          </w:p>
        </w:tc>
        <w:tc>
          <w:tcPr>
            <w:tcW w:type="dxa" w:w="33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select · sequence · paraphrase · explain</w:t>
            </w:r>
          </w:p>
        </w:tc>
        <w:tc>
          <w:tcPr>
            <w:tcW w:type="dxa" w:w="32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Fall back to the approved wording</w:t>
            </w:r>
          </w:p>
        </w:tc>
      </w:tr>
      <w:tr>
        <w:trPr>
          <w:tblHeader w:val="false"/>
        </w:trPr>
        <w:tc>
          <w:tcPr>
            <w:tcW w:type="dxa" w:w="25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Coaching</w:t>
            </w:r>
          </w:p>
        </w:tc>
        <w:tc>
          <w:tcPr>
            <w:tcW w:type="dxa" w:w="33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select · sequence · paraphrase · explain</w:t>
            </w:r>
          </w:p>
        </w:tc>
        <w:tc>
          <w:tcPr>
            <w:tcW w:type="dxa" w:w="32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Fall back to the approved wording</w:t>
            </w:r>
          </w:p>
        </w:tc>
      </w:tr>
      <w:tr>
        <w:trPr>
          <w:tblHeader w:val="false"/>
        </w:trPr>
        <w:tc>
          <w:tcPr>
            <w:tcW w:type="dxa" w:w="25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Assessment</w:t>
            </w:r>
          </w:p>
        </w:tc>
        <w:tc>
          <w:tcPr>
            <w:tcW w:type="dxa" w:w="33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select · sequence · classify</w:t>
            </w:r>
          </w:p>
        </w:tc>
        <w:tc>
          <w:tcPr>
            <w:tcW w:type="dxa" w:w="32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Refuse and escalate</w:t>
            </w:r>
          </w:p>
        </w:tc>
      </w:tr>
      <w:tr>
        <w:trPr>
          <w:tblHeader w:val="false"/>
        </w:trPr>
        <w:tc>
          <w:tcPr>
            <w:tcW w:type="dxa" w:w="25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Bounded role-play</w:t>
            </w:r>
          </w:p>
        </w:tc>
        <w:tc>
          <w:tcPr>
            <w:tcW w:type="dxa" w:w="33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select · sequence · paraphrase · escalate</w:t>
            </w:r>
          </w:p>
        </w:tc>
        <w:tc>
          <w:tcPr>
            <w:tcW w:type="dxa" w:w="32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Drop the turn, hold the rung</w:t>
            </w:r>
          </w:p>
        </w:tc>
      </w:tr>
      <w:tr>
        <w:trPr>
          <w:tblHeader w:val="false"/>
        </w:trPr>
        <w:tc>
          <w:tcPr>
            <w:tcW w:type="dxa" w:w="25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Regulatory answer</w:t>
            </w:r>
          </w:p>
        </w:tc>
        <w:tc>
          <w:tcPr>
            <w:tcW w:type="dxa" w:w="33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select · sequence</w:t>
            </w:r>
          </w:p>
        </w:tc>
        <w:tc>
          <w:tcPr>
            <w:tcW w:type="dxa" w:w="32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Refuse and escalate</w:t>
            </w:r>
          </w:p>
        </w:tc>
      </w:tr>
      <w:tr>
        <w:trPr>
          <w:tblHeader w:val="false"/>
        </w:trPr>
        <w:tc>
          <w:tcPr>
            <w:tcW w:type="dxa" w:w="25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High-risk or insufficient evidence</w:t>
            </w:r>
          </w:p>
        </w:tc>
        <w:tc>
          <w:tcPr>
            <w:tcW w:type="dxa" w:w="33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select — and refuse</w:t>
            </w:r>
          </w:p>
        </w:tc>
        <w:tc>
          <w:tcPr>
            <w:tcW w:type="dxa" w:w="32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Refuse and escalate</w:t>
            </w:r>
          </w:p>
        </w:tc>
      </w:tr>
    </w:tbl>
    <w:p>
      <w:pPr>
        <w:spacing w:after="140"/>
      </w:pPr>
    </w:p>
    <w:p>
      <w:pPr>
        <w:spacing w:after="130" w:before="0" w:line="288"/>
      </w:pPr>
      <w:r>
        <w:rPr>
          <w:rFonts w:ascii="Calibri" w:cs="Calibri" w:eastAsia="Calibri" w:hAnsi="Calibri"/>
          <w:color w:val="2A2447"/>
          <w:sz w:val="21"/>
          <w:szCs w:val="21"/>
        </w:rPr>
        <w:t xml:space="preserve">Paraphrase is refused during assessment specifically. The moment an assessor restates what the learner said, the determination binds to the restatement rather than to the person.</w:t>
      </w:r>
    </w:p>
    <w:p>
      <w:pPr>
        <w:spacing w:after="200"/>
      </w:pPr>
    </w:p>
    <w:p>
      <w:pPr>
        <w:keepNext/>
        <w:spacing w:after="60" w:before="420"/>
      </w:pPr>
      <w:r>
        <w:rPr>
          <w:rFonts w:ascii="Cambria" w:cs="Cambria" w:eastAsia="Cambria" w:hAnsi="Cambria"/>
          <w:b/>
          <w:bCs/>
          <w:color w:val="7C6BC4"/>
          <w:sz w:val="30"/>
          <w:szCs w:val="30"/>
        </w:rPr>
        <w:t xml:space="preserve">C  </w:t>
      </w:r>
      <w:r>
        <w:rPr>
          <w:rFonts w:ascii="Cambria" w:cs="Cambria" w:eastAsia="Cambria" w:hAnsi="Cambria"/>
          <w:b/>
          <w:bCs/>
          <w:color w:val="16122C"/>
          <w:sz w:val="30"/>
          <w:szCs w:val="30"/>
        </w:rPr>
        <w:t xml:space="preserve">Appendix — where each part lives</w:t>
      </w:r>
    </w:p>
    <w:tbl>
      <w:tblPr>
        <w:tblW w:type="dxa" w:w="9070"/>
        <w:tblBorders>
          <w:top w:val="single" w:color="D8D4E8" w:sz="2"/>
          <w:left w:val="single" w:color="D8D4E8" w:sz="2"/>
          <w:bottom w:val="single" w:color="D8D4E8" w:sz="2"/>
          <w:right w:val="single" w:color="D8D4E8" w:sz="2"/>
          <w:insideH w:val="single" w:color="D8D4E8" w:sz="2"/>
          <w:insideV w:val="single" w:color="D8D4E8" w:sz="2"/>
        </w:tblBorders>
      </w:tblPr>
      <w:tblGrid>
        <w:gridCol w:w="3100"/>
        <w:gridCol w:w="5970"/>
      </w:tblGrid>
      <w:tr>
        <w:trPr>
          <w:tblHeader/>
        </w:trPr>
        <w:tc>
          <w:tcPr>
            <w:tcW w:type="dxa" w:w="310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Surface</w:t>
            </w:r>
          </w:p>
        </w:tc>
        <w:tc>
          <w:tcPr>
            <w:tcW w:type="dxa" w:w="5970"/>
            <w:shd w:fill="EFECF9" w:val="clear"/>
            <w:tcMar>
              <w:top w:type="dxa" w:w="120"/>
              <w:left w:type="dxa" w:w="150"/>
              <w:bottom w:type="dxa" w:w="120"/>
              <w:right w:type="dxa" w:w="150"/>
            </w:tcMar>
            <w:vAlign w:val="top"/>
          </w:tcPr>
          <w:p>
            <w:pPr>
              <w:spacing w:after="0" w:before="0" w:line="260"/>
            </w:pPr>
            <w:r>
              <w:rPr>
                <w:rFonts w:ascii="Calibri" w:cs="Calibri" w:eastAsia="Calibri" w:hAnsi="Calibri"/>
                <w:b/>
                <w:bCs/>
                <w:color w:val="544491"/>
                <w:sz w:val="17"/>
                <w:szCs w:val="17"/>
              </w:rPr>
              <w:t xml:space="preserve">What it demonstrates</w:t>
            </w:r>
          </w:p>
        </w:tc>
      </w:tr>
      <w:tr>
        <w:trPr>
          <w:tblHeader w:val="false"/>
        </w:trPr>
        <w:tc>
          <w:tcPr>
            <w:tcW w:type="dxa" w:w="31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Rehearsal prototype</w:t>
            </w:r>
          </w:p>
        </w:tc>
        <w:tc>
          <w:tcPr>
            <w:tcW w:type="dxa" w:w="59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The full seven-stage loop in five languages, voice in and out, with the engine state machine and object log visible beside it.</w:t>
            </w:r>
          </w:p>
        </w:tc>
      </w:tr>
      <w:tr>
        <w:trPr>
          <w:tblHeader w:val="false"/>
        </w:trPr>
        <w:tc>
          <w:tcPr>
            <w:tcW w:type="dxa" w:w="31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Nexus — Intelligence</w:t>
            </w:r>
          </w:p>
        </w:tc>
        <w:tc>
          <w:tcPr>
            <w:tcW w:type="dxa" w:w="59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Both intakes: threat signals and training modules, each against a fixed frame with an intake check that says what is missing before anyone spends review time.</w:t>
            </w:r>
          </w:p>
        </w:tc>
      </w:tr>
      <w:tr>
        <w:trPr>
          <w:tblHeader w:val="false"/>
        </w:trPr>
        <w:tc>
          <w:tcPr>
            <w:tcW w:type="dxa" w:w="31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Nexus — Authoring</w:t>
            </w:r>
          </w:p>
        </w:tc>
        <w:tc>
          <w:tcPr>
            <w:tcW w:type="dxa" w:w="59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Derivation and mapping proposing DRAFT candidates, and the gap list naming the role that must close each one. Then the real publish gate, run on the real library.</w:t>
            </w:r>
          </w:p>
        </w:tc>
      </w:tr>
      <w:tr>
        <w:trPr>
          <w:tblHeader w:val="false"/>
        </w:trPr>
        <w:tc>
          <w:tcPr>
            <w:tcW w:type="dxa" w:w="31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Nexus — Orchestration</w:t>
            </w:r>
          </w:p>
        </w:tc>
        <w:tc>
          <w:tcPr>
            <w:tcW w:type="dxa" w:w="59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The five libraries, the ten-stage factory, the permission matrix, the turn contract run live on eight model returns, the persona manifests, the scenario graph with its refusals, and the trust gateway.</w:t>
            </w:r>
          </w:p>
        </w:tc>
      </w:tr>
      <w:tr>
        <w:trPr>
          <w:tblHeader w:val="false"/>
        </w:trPr>
        <w:tc>
          <w:tcPr>
            <w:tcW w:type="dxa" w:w="310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Nexus — Supervision</w:t>
            </w:r>
          </w:p>
        </w:tc>
        <w:tc>
          <w:tcPr>
            <w:tcW w:type="dxa" w:w="5970"/>
            <w:shd w:fill="FFFFFF"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Cohort and tactic level. Which tactics are beating people, and which of those cannot yet be rehearsed against.</w:t>
            </w:r>
          </w:p>
        </w:tc>
      </w:tr>
      <w:tr>
        <w:trPr>
          <w:tblHeader w:val="false"/>
        </w:trPr>
        <w:tc>
          <w:tcPr>
            <w:tcW w:type="dxa" w:w="310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Supervision Console</w:t>
            </w:r>
          </w:p>
        </w:tc>
        <w:tc>
          <w:tcPr>
            <w:tcW w:type="dxa" w:w="5970"/>
            <w:shd w:fill="F8F6FD" w:val="clear"/>
            <w:tcMar>
              <w:top w:type="dxa" w:w="120"/>
              <w:left w:type="dxa" w:w="150"/>
              <w:bottom w:type="dxa" w:w="120"/>
              <w:right w:type="dxa" w:w="150"/>
            </w:tcMar>
            <w:vAlign w:val="top"/>
          </w:tcPr>
          <w:p>
            <w:pPr>
              <w:spacing w:after="0" w:before="0" w:line="260"/>
            </w:pPr>
            <w:r>
              <w:rPr>
                <w:rFonts w:ascii="Calibri" w:cs="Calibri" w:eastAsia="Calibri" w:hAnsi="Calibri"/>
                <w:color w:val="2A2447"/>
                <w:sz w:val="19"/>
                <w:szCs w:val="19"/>
              </w:rPr>
              <w:t xml:space="preserve">Named participants across ten jurisdictions and five languages, each assessment openable to the sentence it rests on, and the impact view.</w:t>
            </w:r>
          </w:p>
        </w:tc>
      </w:tr>
    </w:tbl>
    <w:sectPr>
      <w:headerReference w:type="default" r:id="rId7"/>
      <w:headerReference w:type="first" r:id="rId8"/>
      <w:footerReference w:type="default" r:id="rId9"/>
      <w:footerReference w:type="first" r:id="rId10"/>
      <w:pgSz w:w="11906" w:h="16838" w:orient="portrait"/>
      <w:pgMar w:top="1100" w:right="1180" w:bottom="1000" w:left="1180" w:header="560" w:footer="5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E8" w:sz="3" w:space="8"/>
      </w:pBdr>
      <w:tabs>
        <w:tab w:val="right" w:pos="9070"/>
      </w:tabs>
      <w:spacing w:after="0" w:before="0"/>
    </w:pPr>
    <w:r>
      <w:rPr>
        <w:rFonts w:ascii="Calibri" w:cs="Calibri" w:eastAsia="Calibri" w:hAnsi="Calibri"/>
        <w:color w:val="6B6880"/>
        <w:sz w:val="15"/>
        <w:szCs w:val="15"/>
      </w:rPr>
      <w:t xml:space="preserve">AUREN is powered by HoloMe  ·  presented by BYOND Asia</w:t>
    </w:r>
    <w:r>
      <w:rPr>
        <w:sz w:val="15"/>
        <w:szCs w:val="15"/>
      </w:rPr>
      <w:t xml:space="preserve">	</w:t>
    </w:r>
    <w:r>
      <w:rPr>
        <w:rFonts w:ascii="Calibri" w:cs="Calibri" w:eastAsia="Calibri" w:hAnsi="Calibri"/>
        <w:color w:val="6B6880"/>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70"/>
      </w:tabs>
      <w:spacing w:after="0"/>
    </w:pPr>
    <w:r>
      <w:rPr>
        <w:rFonts w:ascii="Calibri" w:cs="Calibri" w:eastAsia="Calibri" w:hAnsi="Calibri"/>
        <w:b/>
        <w:bCs/>
        <w:color w:val="544491"/>
        <w:spacing w:val="26"/>
        <w:sz w:val="15"/>
        <w:szCs w:val="15"/>
      </w:rPr>
      <w:t xml:space="preserve">AUREN</w:t>
    </w:r>
    <w:r>
      <w:rPr>
        <w:rFonts w:ascii="Calibri" w:cs="Calibri" w:eastAsia="Calibri" w:hAnsi="Calibri"/>
        <w:color w:val="6B6880"/>
        <w:spacing w:val="26"/>
        <w:sz w:val="15"/>
        <w:szCs w:val="15"/>
      </w:rPr>
      <w:t xml:space="preserve">	A HOLOME SOLUTION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3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447"/>
        <w:sz w:val="21"/>
        <w:szCs w:val="21"/>
      </w:rPr>
    </w:rPrDefault>
    <w:pPrDefault>
      <w:pPr>
        <w:spacing w:after="13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AUREN — a HoloMe solution</dc:title>
  <dc:creator>HoloMe</dc:creator>
  <dc:description>AUREN is powered by HoloMe. Presented by BYOND Asia. Solution paper v1.0.</dc:description>
  <cp:lastModifiedBy>Un-named</cp:lastModifiedBy>
  <cp:revision>1</cp:revision>
  <dcterms:created xsi:type="dcterms:W3CDTF">2026-09-19T15:36:05.963Z</dcterms:created>
  <dcterms:modified xsi:type="dcterms:W3CDTF">2026-09-19T15:36:05.963Z</dcterms:modified>
</cp:coreProperties>
</file>

<file path=docProps/custom.xml><?xml version="1.0" encoding="utf-8"?>
<Properties xmlns="http://schemas.openxmlformats.org/officeDocument/2006/custom-properties" xmlns:vt="http://schemas.openxmlformats.org/officeDocument/2006/docPropsVTypes"/>
</file>