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type="dxa" w:w="9412"/>
        <w:tblBorders>
          <w:top w:val="nil"/>
          <w:left w:val="nil"/>
          <w:bottom w:val="nil"/>
          <w:right w:val="nil"/>
          <w:insideH w:val="nil"/>
          <w:insideV w:val="nil"/>
        </w:tblBorders>
        <w:tblLayout w:type="fixed"/>
        <w:tblCellMar>
          <w:top w:type="dxa" w:w="0"/>
          <w:left w:type="dxa" w:w="0"/>
          <w:bottom w:type="dxa" w:w="0"/>
          <w:right w:type="dxa" w:w="0"/>
        </w:tblCellMar>
        <w:tblLook w:val="04A0" w:firstRow="1" w:lastRow="0" w:firstColumn="1" w:lastColumn="0" w:noHBand="0" w:noVBand="1"/>
      </w:tblPr>
      <w:tblGrid>
        <w:gridCol w:w="1180"/>
        <w:gridCol w:w="8232"/>
      </w:tblGrid>
      <w:tr>
        <w:trPr>
          <w:trHeight w:val="1080" w:hRule="atLeast"/>
          <w:cantSplit/>
        </w:trPr>
        <w:tc>
          <w:tcPr>
            <w:tcW w:type="dxa" w:w="1180"/>
            <w:tcMar>
              <w:top w:type="dxa" w:w="0"/>
              <w:left w:type="dxa" w:w="0"/>
              <w:bottom w:type="dxa" w:w="0"/>
              <w:right w:type="dxa" w:w="0"/>
            </w:tcMar>
            <w:vAlign w:val="center"/>
          </w:tcPr>
          <w:p>
            <w:pPr>
              <w:spacing w:before="0" w:after="0"/>
            </w:pPr>
            <w:r>
              <w:drawing>
                <wp:inline distT="0" distB="0" distL="0" distR="0">
                  <wp:extent cx="630000" cy="630000"/>
                  <wp:effectExtent l="0" t="0" r="0" b="0"/>
                  <wp:docPr id="1" name="LGH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GH mark"/>
                          <pic:cNvPicPr/>
                        </pic:nvPicPr>
                        <pic:blipFill>
                          <a:blip r:embed="rIdMark"/>
                          <a:stretch>
                            <a:fillRect/>
                          </a:stretch>
                        </pic:blipFill>
                        <pic:spPr>
                          <a:xfrm>
                            <a:off x="0" y="0"/>
                            <a:ext cx="630000" cy="630000"/>
                          </a:xfrm>
                          <a:prstGeom prst="rect">
                            <a:avLst/>
                          </a:prstGeom>
                        </pic:spPr>
                      </pic:pic>
                    </a:graphicData>
                  </a:graphic>
                </wp:inline>
              </w:drawing>
            </w:r>
          </w:p>
        </w:tc>
        <w:tc>
          <w:tcPr>
            <w:tcW w:type="dxa" w:w="8232"/>
            <w:tcMar>
              <w:top w:type="dxa" w:w="0"/>
              <w:left w:type="dxa" w:w="240"/>
              <w:bottom w:type="dxa" w:w="0"/>
              <w:right w:type="dxa" w:w="0"/>
            </w:tcMar>
            <w:vAlign w:val="center"/>
          </w:tcPr>
          <w:p>
            <w:pPr>
              <w:spacing w:before="0" w:after="40" w:line="290" w:lineRule="exact"/>
            </w:pPr>
            <w:r>
              <w:rPr>
                <w:rFonts w:ascii="Archivo" w:hAnsi="Archivo" w:cs="Archivo" w:eastAsia="Archivo"/>
                <w:b/>
                <w:bCs/>
                <w:color w:val="16191C"/>
                <w:spacing w:val="70"/>
                <w:sz w:val="26"/>
                <w:szCs w:val="26"/>
              </w:rPr>
              <w:t xml:space="preserve">LG HOWSON LTD</w:t>
            </w:r>
          </w:p>
          <w:p>
            <w:pPr>
              <w:spacing w:before="0" w:after="0" w:line="230" w:lineRule="exact"/>
            </w:pPr>
            <w:r>
              <w:rPr>
                <w:rFonts w:ascii="IBM Plex Sans" w:hAnsi="IBM Plex Sans" w:cs="IBM Plex Sans" w:eastAsia="IBM Plex Sans"/>
                <w:color w:val="6B7177"/>
                <w:sz w:val="18"/>
                <w:szCs w:val="18"/>
              </w:rPr>
              <w:t xml:space="preserve">Groundworks and Civil Engineering  ·  Ringwood</w:t>
            </w:r>
          </w:p>
        </w:tc>
      </w:tr>
    </w:tbl>
    <w:p>
      <w:pPr>
        <w:pBdr>
          <w:bottom w:val="single" w:sz="24" w:space="10" w:color="B11722"/>
        </w:pBdr>
        <w:spacing w:before="0" w:after="0" w:line="140" w:lineRule="exact"/>
      </w:pPr>
    </w:p>
    <w:p>
      <w:pPr>
        <w:spacing w:before="0" w:after="0" w:line="1500" w:lineRule="exact"/>
      </w:pPr>
    </w:p>
    <w:tbl>
      <w:tblPr>
        <w:tblW w:type="dxa" w:w="3480"/>
        <w:tblBorders>
          <w:top w:val="nil"/>
          <w:left w:val="nil"/>
          <w:bottom w:val="nil"/>
          <w:right w:val="nil"/>
          <w:insideH w:val="nil"/>
          <w:insideV w:val="nil"/>
        </w:tblBorders>
        <w:tblLayout w:type="fixed"/>
        <w:tblCellMar>
          <w:top w:type="dxa" w:w="0"/>
          <w:left w:type="dxa" w:w="0"/>
          <w:bottom w:type="dxa" w:w="0"/>
          <w:right w:type="dxa" w:w="0"/>
        </w:tblCellMar>
        <w:tblLook w:val="04A0" w:firstRow="1" w:lastRow="0" w:firstColumn="1" w:lastColumn="0" w:noHBand="0" w:noVBand="1"/>
      </w:tblPr>
      <w:tblGrid>
        <w:gridCol w:w="3480"/>
      </w:tblGrid>
      <w:tr>
        <w:trPr>
          <w:trHeight w:val="340" w:hRule="atLeast"/>
          <w:cantSplit/>
        </w:trPr>
        <w:tc>
          <w:tcPr>
            <w:tcW w:type="dxa" w:w="3480"/>
            <w:shd w:val="clear" w:color="auto" w:fill="B11722"/>
            <w:tcMar>
              <w:top w:type="dxa" w:w="80"/>
              <w:left w:type="dxa" w:w="0"/>
              <w:bottom w:type="dxa" w:w="85"/>
              <w:right w:type="dxa" w:w="0"/>
            </w:tcMar>
            <w:vAlign w:val="center"/>
          </w:tcPr>
          <w:p>
            <w:pPr>
              <w:spacing w:before="0" w:after="0" w:line="210" w:lineRule="exact"/>
              <w:jc w:val="center"/>
            </w:pPr>
            <w:r>
              <w:rPr>
                <w:rFonts w:ascii="Archivo" w:hAnsi="Archivo" w:cs="Archivo" w:eastAsia="Archivo"/>
                <w:b/>
                <w:bCs/>
                <w:color w:val="FFFFFF"/>
                <w:spacing w:val="40"/>
                <w:sz w:val="16"/>
                <w:szCs w:val="16"/>
              </w:rPr>
              <w:t xml:space="preserve">DRAFT  ·  FOR DISCUSSION</w:t>
            </w:r>
          </w:p>
        </w:tc>
      </w:tr>
    </w:tbl>
    <w:p>
      <w:pPr>
        <w:spacing w:before="0" w:after="0" w:line="320" w:lineRule="exact"/>
      </w:pPr>
    </w:p>
    <w:p>
      <w:pPr>
        <w:spacing w:before="0" w:after="90" w:line="660" w:lineRule="exact"/>
      </w:pPr>
      <w:r>
        <w:rPr>
          <w:rFonts w:ascii="Archivo" w:hAnsi="Archivo" w:cs="Archivo" w:eastAsia="Archivo"/>
          <w:b/>
          <w:bCs/>
          <w:color w:val="16191C"/>
          <w:sz w:val="58"/>
          <w:szCs w:val="58"/>
        </w:rPr>
        <w:t xml:space="preserve">Fleet Manager and Mechanical Services</w:t>
      </w:r>
    </w:p>
    <w:p>
      <w:pPr>
        <w:spacing w:before="0" w:after="0" w:line="420" w:lineRule="exact"/>
      </w:pPr>
      <w:r>
        <w:rPr>
          <w:rFonts w:ascii="Archivo" w:hAnsi="Archivo" w:cs="Archivo" w:eastAsia="Archivo"/>
          <w:color w:val="B11722"/>
          <w:sz w:val="34"/>
          <w:szCs w:val="34"/>
        </w:rPr>
        <w:t xml:space="preserve">Terms of Reference</w:t>
      </w:r>
    </w:p>
    <w:p>
      <w:pPr>
        <w:spacing w:before="0" w:after="0" w:line="700" w:lineRule="exact"/>
      </w:pPr>
    </w:p>
    <w:tbl>
      <w:tblPr>
        <w:tblW w:type="dxa" w:w="9412"/>
        <w:tblBorders>
          <w:top w:val="single" w:sz="4" w:color="E4E7EA"/>
          <w:left w:val="nil"/>
          <w:bottom w:val="single" w:sz="4" w:color="E4E7EA"/>
          <w:right w:val="nil"/>
          <w:insideH w:val="single" w:sz="4" w:color="EEF0F2"/>
          <w:insideV w:val="single" w:sz="4" w:color="EEF0F2"/>
        </w:tblBorders>
        <w:tblLayout w:type="fixed"/>
        <w:tblCellMar>
          <w:top w:type="dxa" w:w="0"/>
          <w:left w:type="dxa" w:w="0"/>
          <w:bottom w:type="dxa" w:w="0"/>
          <w:right w:type="dxa" w:w="0"/>
        </w:tblCellMar>
        <w:tblLook w:val="04A0" w:firstRow="1" w:lastRow="0" w:firstColumn="1" w:lastColumn="0" w:noHBand="0" w:noVBand="1"/>
      </w:tblPr>
      <w:tblGrid>
        <w:gridCol w:w="3100"/>
        <w:gridCol w:w="6312"/>
      </w:tblGrid>
      <w:tr>
        <w:trPr>
          <w:cantSplit/>
        </w:trPr>
        <w:tc>
          <w:tcPr>
            <w:tcW w:type="dxa" w:w="31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Document reference</w:t>
            </w:r>
          </w:p>
        </w:tc>
        <w:tc>
          <w:tcPr>
            <w:tcW w:type="dxa" w:w="6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26-FM-001</w:t>
            </w:r>
          </w:p>
        </w:tc>
      </w:tr>
      <w:tr>
        <w:trPr>
          <w:cantSplit/>
        </w:trPr>
        <w:tc>
          <w:tcPr>
            <w:tcW w:type="dxa" w:w="31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Version</w:t>
            </w:r>
          </w:p>
        </w:tc>
        <w:tc>
          <w:tcPr>
            <w:tcW w:type="dxa" w:w="6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1.0 — DRAFT for discussion</w:t>
            </w:r>
          </w:p>
        </w:tc>
      </w:tr>
      <w:tr>
        <w:trPr>
          <w:cantSplit/>
        </w:trPr>
        <w:tc>
          <w:tcPr>
            <w:tcW w:type="dxa" w:w="31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Date</w:t>
            </w:r>
          </w:p>
        </w:tc>
        <w:tc>
          <w:tcPr>
            <w:tcW w:type="dxa" w:w="6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13 September 2026</w:t>
            </w:r>
          </w:p>
        </w:tc>
      </w:tr>
      <w:tr>
        <w:trPr>
          <w:cantSplit/>
        </w:trPr>
        <w:tc>
          <w:tcPr>
            <w:tcW w:type="dxa" w:w="31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Company</w:t>
            </w:r>
          </w:p>
        </w:tc>
        <w:tc>
          <w:tcPr>
            <w:tcW w:type="dxa" w:w="6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LG Howson Ltd</w:t>
            </w:r>
          </w:p>
        </w:tc>
      </w:tr>
      <w:tr>
        <w:trPr>
          <w:cantSplit/>
        </w:trPr>
        <w:tc>
          <w:tcPr>
            <w:tcW w:type="dxa" w:w="31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Contractor / post holder</w:t>
            </w:r>
          </w:p>
        </w:tc>
        <w:tc>
          <w:tcPr>
            <w:tcW w:type="dxa" w:w="6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Alex Kidd</w:t>
            </w:r>
          </w:p>
        </w:tc>
      </w:tr>
      <w:tr>
        <w:trPr>
          <w:cantSplit/>
        </w:trPr>
        <w:tc>
          <w:tcPr>
            <w:tcW w:type="dxa" w:w="31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Owner</w:t>
            </w:r>
          </w:p>
        </w:tc>
        <w:tc>
          <w:tcPr>
            <w:tcW w:type="dxa" w:w="6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Dean Bradley, Managing Director</w:t>
            </w:r>
          </w:p>
        </w:tc>
      </w:tr>
      <w:tr>
        <w:trPr>
          <w:cantSplit/>
        </w:trPr>
        <w:tc>
          <w:tcPr>
            <w:tcW w:type="dxa" w:w="31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Status</w:t>
            </w:r>
          </w:p>
        </w:tc>
        <w:tc>
          <w:tcPr>
            <w:tcW w:type="dxa" w:w="6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Not for signature until Sections 1, 9 and 10 are completed</w:t>
            </w:r>
          </w:p>
        </w:tc>
      </w:tr>
    </w:tbl>
    <w:p>
      <w:pPr>
        <w:spacing w:before="0" w:after="0" w:line="380" w:lineRule="exact"/>
      </w:pPr>
    </w:p>
    <w:tbl>
      <w:tblPr>
        <w:tblW w:type="dxa" w:w="9412"/>
        <w:tblBorders>
          <w:top w:val="nil"/>
          <w:left w:val="single" w:sz="24" w:color="B11722"/>
          <w:bottom w:val="nil"/>
          <w:right w:val="nil"/>
          <w:insideH w:val="nil"/>
          <w:insideV w:val="nil"/>
        </w:tblBorders>
        <w:tblLayout w:type="fixed"/>
        <w:tblCellMar>
          <w:top w:type="dxa" w:w="0"/>
          <w:left w:type="dxa" w:w="0"/>
          <w:bottom w:type="dxa" w:w="0"/>
          <w:right w:type="dxa" w:w="0"/>
        </w:tblCellMar>
        <w:tblLook w:val="04A0" w:firstRow="1" w:lastRow="0" w:firstColumn="1" w:lastColumn="0" w:noHBand="0" w:noVBand="1"/>
      </w:tblPr>
      <w:tblGrid>
        <w:gridCol w:w="9412"/>
      </w:tblGrid>
      <w:tr>
        <w:trPr>
          <w:cantSplit/>
        </w:trPr>
        <w:tc>
          <w:tcPr>
            <w:tcW w:type="dxa" w:w="9412"/>
            <w:tcBorders>
              <w:left w:val="single" w:sz="24" w:color="B11722"/>
            </w:tcBorders>
            <w:shd w:val="clear" w:color="auto" w:fill="FDF6F6"/>
            <w:tcMar>
              <w:top w:type="dxa" w:w="170"/>
              <w:left w:type="dxa" w:w="260"/>
              <w:bottom w:type="dxa" w:w="170"/>
              <w:right w:type="dxa" w:w="260"/>
            </w:tcMar>
            <w:vAlign w:val="center"/>
          </w:tcPr>
          <w:p>
            <w:pPr>
              <w:spacing w:before="0" w:after="60" w:line="200" w:lineRule="exact"/>
            </w:pPr>
            <w:r>
              <w:rPr>
                <w:rFonts w:ascii="Archivo" w:hAnsi="Archivo" w:cs="Archivo" w:eastAsia="Archivo"/>
                <w:b/>
                <w:bCs/>
                <w:color w:val="B11722"/>
                <w:spacing w:val="60"/>
                <w:sz w:val="16"/>
                <w:szCs w:val="16"/>
              </w:rPr>
              <w:t xml:space="preserve">BEFORE YOU SIGN</w:t>
            </w:r>
          </w:p>
          <w:p>
            <w:pPr>
              <w:spacing w:before="0" w:after="0" w:line="264" w:lineRule="auto"/>
            </w:pPr>
            <w:r>
              <w:rPr>
                <w:rFonts w:ascii="IBM Plex Sans" w:hAnsi="IBM Plex Sans" w:cs="IBM Plex Sans" w:eastAsia="IBM Plex Sans"/>
                <w:color w:val="23272B"/>
                <w:sz w:val="19"/>
                <w:szCs w:val="19"/>
              </w:rPr>
              <w:t xml:space="preserve">This document defines a role. It does not by itself determine employment status. Complete Section 1.3 before signature.</w:t>
            </w:r>
          </w:p>
        </w:tc>
      </w:tr>
    </w:tbl>
    <w:p>
      <w:pPr>
        <w:spacing w:before="0" w:after="0" w:line="1780" w:lineRule="exact"/>
      </w:pPr>
    </w:p>
    <w:p>
      <w:pPr>
        <w:pBdr>
          <w:top w:val="single" w:sz="4" w:space="8" w:color="E4E7EA"/>
        </w:pBdr>
        <w:tabs>
          <w:tab w:val="right" w:pos="9412"/>
        </w:tabs>
        <w:spacing w:before="0" w:after="0" w:line="240" w:lineRule="exact"/>
      </w:pPr>
      <w:r>
        <w:rPr>
          <w:rFonts w:ascii="IBM Plex Sans" w:hAnsi="IBM Plex Sans" w:cs="IBM Plex Sans" w:eastAsia="IBM Plex Sans"/>
          <w:color w:val="6B7177"/>
          <w:sz w:val="16"/>
          <w:szCs w:val="16"/>
        </w:rPr>
        <w:t xml:space="preserve">LG Howson Ltd  ·  Ringwood, Hampshire</w:t>
      </w:r>
      <w:r>
        <w:rPr>
          <w:rFonts w:ascii="IBM Plex Sans" w:hAnsi="IBM Plex Sans" w:cs="IBM Plex Sans" w:eastAsia="IBM Plex Sans"/>
          <w:color w:val="23272B"/>
          <w:sz w:val="20"/>
          <w:szCs w:val="20"/>
        </w:rPr>
        <w:tab/>
      </w:r>
      <w:r>
        <w:rPr>
          <w:rFonts w:ascii="IBM Plex Mono" w:hAnsi="IBM Plex Mono" w:cs="IBM Plex Mono" w:eastAsia="IBM Plex Mono"/>
          <w:color w:val="6B7177"/>
          <w:sz w:val="16"/>
          <w:szCs w:val="16"/>
        </w:rPr>
        <w:t xml:space="preserve">26-FM-001  ·  v1.0</w:t>
      </w:r>
    </w:p>
    <w:p>
      <w:pPr>
        <w:pageBreakBefore/>
        <w:spacing w:before="0" w:after="60" w:line="240" w:lineRule="exact"/>
      </w:pPr>
      <w:r>
        <w:rPr>
          <w:rFonts w:ascii="Archivo" w:hAnsi="Archivo" w:cs="Archivo" w:eastAsia="Archivo"/>
          <w:b/>
          <w:bCs/>
          <w:color w:val="B11722"/>
          <w:spacing w:val="70"/>
          <w:sz w:val="17"/>
          <w:szCs w:val="17"/>
        </w:rPr>
        <w:t xml:space="preserve">CONTENTS</w:t>
      </w:r>
    </w:p>
    <w:p>
      <w:pPr>
        <w:pBdr>
          <w:bottom w:val="single" w:sz="8" w:space="8" w:color="B11722"/>
        </w:pBdr>
        <w:spacing w:before="0" w:after="200" w:line="380" w:lineRule="exact"/>
      </w:pPr>
      <w:r>
        <w:rPr>
          <w:rFonts w:ascii="Archivo" w:hAnsi="Archivo" w:cs="Archivo" w:eastAsia="Archivo"/>
          <w:b/>
          <w:bCs/>
          <w:color w:val="16191C"/>
          <w:sz w:val="32"/>
          <w:szCs w:val="32"/>
        </w:rPr>
        <w:t xml:space="preserve">Terms of Reference</w:t>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1    Purpose and standing</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s01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2    Fleet in scope</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s02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b/>
          <w:bCs/>
          <w:color w:val="16191C"/>
          <w:sz w:val="20"/>
          <w:szCs w:val="20"/>
        </w:rPr>
        <w:t xml:space="preserve">Part A — Fleet management (standing duty)</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pa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3    Statutory and regulatory compliance</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s03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4    Planned maintenance and availability</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s04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5    Parts, suppliers, hire and cost</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s05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6    Records and system of record</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s06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7    Reporting cadence</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s07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b/>
          <w:bCs/>
          <w:color w:val="16191C"/>
          <w:sz w:val="20"/>
          <w:szCs w:val="20"/>
        </w:rPr>
        <w:t xml:space="preserve">Part B — Mechanical services (booked work)</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pb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8    Mechanical duties</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s08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9    Authority and limits</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s09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10    Time, commitment and remuneration</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s10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11    Company obligations</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s11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12    Restrictions</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s12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13    Out of scope</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s13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14    Measures and review</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s14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color w:val="23272B"/>
          <w:sz w:val="20"/>
          <w:szCs w:val="20"/>
        </w:rPr>
        <w:t xml:space="preserve">15    Acceptance</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s15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b/>
          <w:bCs/>
          <w:color w:val="16191C"/>
          <w:sz w:val="20"/>
          <w:szCs w:val="20"/>
        </w:rPr>
        <w:t xml:space="preserve">Appendix A  ·  Fleet asset register and commencement survey</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apa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b/>
          <w:bCs/>
          <w:color w:val="16191C"/>
          <w:sz w:val="20"/>
          <w:szCs w:val="20"/>
        </w:rPr>
        <w:t xml:space="preserve">Appendix B  ·  Compliance register, minimum content</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apb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tabs>
          <w:tab w:val="right" w:pos="9412" w:leader="dot"/>
        </w:tabs>
        <w:spacing w:before="0" w:after="90" w:line="264" w:lineRule="auto"/>
        <w:ind w:left="0"/>
      </w:pPr>
      <w:r>
        <w:rPr>
          <w:rFonts w:ascii="IBM Plex Sans" w:hAnsi="IBM Plex Sans" w:cs="IBM Plex Sans" w:eastAsia="IBM Plex Sans"/>
          <w:b/>
          <w:bCs/>
          <w:color w:val="16191C"/>
          <w:sz w:val="20"/>
          <w:szCs w:val="20"/>
        </w:rPr>
        <w:t xml:space="preserve">Appendix C  ·  Measures</w:t>
      </w:r>
      <w:r>
        <w:rPr>
          <w:rFonts w:ascii="IBM Plex Sans" w:hAnsi="IBM Plex Sans" w:cs="IBM Plex Sans" w:eastAsia="IBM Plex Sans"/>
          <w:color w:val="6B7177"/>
          <w:sz w:val="20"/>
          <w:szCs w:val="20"/>
        </w:rPr>
        <w:tab/>
      </w:r>
      <w:r>
        <w:rPr>
          <w:rFonts w:ascii="IBM Plex Sans" w:hAnsi="IBM Plex Sans" w:cs="IBM Plex Sans" w:eastAsia="IBM Plex Sans"/>
          <w:b/>
          <w:bCs/>
          <w:color w:val="8E1019"/>
          <w:sz w:val="19"/>
          <w:szCs w:val="19"/>
        </w:rPr>
        <w:fldChar w:fldCharType="begin"/>
      </w:r>
      <w:r>
        <w:rPr>
          <w:rFonts w:ascii="IBM Plex Sans" w:hAnsi="IBM Plex Sans" w:cs="IBM Plex Sans" w:eastAsia="IBM Plex Sans"/>
          <w:b/>
          <w:bCs/>
          <w:color w:val="8E1019"/>
          <w:sz w:val="19"/>
          <w:szCs w:val="19"/>
        </w:rPr>
        <w:instrText xml:space="preserve"> PAGEREF apc \h </w:instrText>
      </w:r>
      <w:r>
        <w:rPr>
          <w:rFonts w:ascii="IBM Plex Sans" w:hAnsi="IBM Plex Sans" w:cs="IBM Plex Sans" w:eastAsia="IBM Plex Sans"/>
          <w:b/>
          <w:bCs/>
          <w:color w:val="8E1019"/>
          <w:sz w:val="19"/>
          <w:szCs w:val="19"/>
        </w:rPr>
        <w:fldChar w:fldCharType="separate"/>
      </w:r>
      <w:r>
        <w:rPr>
          <w:rFonts w:ascii="IBM Plex Sans" w:hAnsi="IBM Plex Sans" w:cs="IBM Plex Sans" w:eastAsia="IBM Plex Sans"/>
          <w:b/>
          <w:bCs/>
          <w:color w:val="8E1019"/>
          <w:sz w:val="19"/>
          <w:szCs w:val="19"/>
        </w:rPr>
        <w:t>0</w:t>
      </w:r>
      <w:r>
        <w:rPr>
          <w:rFonts w:ascii="IBM Plex Sans" w:hAnsi="IBM Plex Sans" w:cs="IBM Plex Sans" w:eastAsia="IBM Plex Sans"/>
          <w:b/>
          <w:bCs/>
          <w:color w:val="8E1019"/>
          <w:sz w:val="19"/>
          <w:szCs w:val="19"/>
        </w:rPr>
        <w:fldChar w:fldCharType="end"/>
      </w:r>
    </w:p>
    <w:p>
      <w:pPr>
        <w:spacing w:before="0" w:after="0" w:line="500" w:lineRule="exact"/>
      </w:pPr>
    </w:p>
    <w:tbl>
      <w:tblPr>
        <w:tblW w:type="dxa" w:w="9412"/>
        <w:tblBorders>
          <w:top w:val="nil"/>
          <w:left w:val="single" w:sz="24" w:color="C2C6CA"/>
          <w:bottom w:val="nil"/>
          <w:right w:val="nil"/>
          <w:insideH w:val="nil"/>
          <w:insideV w:val="nil"/>
        </w:tblBorders>
        <w:tblLayout w:type="fixed"/>
        <w:tblCellMar>
          <w:top w:type="dxa" w:w="0"/>
          <w:left w:type="dxa" w:w="0"/>
          <w:bottom w:type="dxa" w:w="0"/>
          <w:right w:type="dxa" w:w="0"/>
        </w:tblCellMar>
        <w:tblLook w:val="04A0" w:firstRow="1" w:lastRow="0" w:firstColumn="1" w:lastColumn="0" w:noHBand="0" w:noVBand="1"/>
      </w:tblPr>
      <w:tblGrid>
        <w:gridCol w:w="9412"/>
      </w:tblGrid>
      <w:tr>
        <w:trPr>
          <w:cantSplit/>
        </w:trPr>
        <w:tc>
          <w:tcPr>
            <w:tcW w:type="dxa" w:w="9412"/>
            <w:tcBorders>
              <w:left w:val="single" w:sz="24" w:color="C2C6CA"/>
            </w:tcBorders>
            <w:shd w:val="clear" w:color="auto" w:fill="F4F6F8"/>
            <w:tcMar>
              <w:top w:type="dxa" w:w="170"/>
              <w:left w:type="dxa" w:w="260"/>
              <w:bottom w:type="dxa" w:w="170"/>
              <w:right w:type="dxa" w:w="260"/>
            </w:tcMar>
            <w:vAlign w:val="center"/>
          </w:tcPr>
          <w:p>
            <w:pPr>
              <w:spacing w:before="0" w:after="60" w:line="200" w:lineRule="exact"/>
            </w:pPr>
            <w:r>
              <w:rPr>
                <w:rFonts w:ascii="Archivo" w:hAnsi="Archivo" w:cs="Archivo" w:eastAsia="Archivo"/>
                <w:b/>
                <w:bCs/>
                <w:color w:val="B11722"/>
                <w:spacing w:val="60"/>
                <w:sz w:val="16"/>
                <w:szCs w:val="16"/>
              </w:rPr>
              <w:t xml:space="preserve">READING THIS DOCUMENT</w:t>
            </w:r>
          </w:p>
          <w:p>
            <w:pPr>
              <w:spacing w:before="0" w:after="0" w:line="264" w:lineRule="auto"/>
            </w:pPr>
            <w:r>
              <w:rPr>
                <w:rFonts w:ascii="IBM Plex Sans" w:hAnsi="IBM Plex Sans" w:cs="IBM Plex Sans" w:eastAsia="IBM Plex Sans"/>
                <w:color w:val="23272B"/>
                <w:sz w:val="19"/>
                <w:szCs w:val="19"/>
              </w:rPr>
              <w:t xml:space="preserve">Items shown in a tinted box, for example </w:t>
            </w:r>
            <w:r>
              <w:rPr>
                <w:rFonts w:ascii="IBM Plex Sans" w:hAnsi="IBM Plex Sans" w:cs="IBM Plex Sans" w:eastAsia="IBM Plex Sans"/>
                <w:b/>
                <w:bCs/>
                <w:color w:val="8E1019"/>
                <w:sz w:val="19"/>
                <w:szCs w:val="19"/>
                <w:shd w:val="clear" w:color="auto" w:fill="FBEAEB"/>
              </w:rPr>
              <w:t xml:space="preserve">[ name ]</w:t>
            </w:r>
            <w:r>
              <w:rPr>
                <w:rFonts w:ascii="IBM Plex Sans" w:hAnsi="IBM Plex Sans" w:cs="IBM Plex Sans" w:eastAsia="IBM Plex Sans"/>
                <w:color w:val="23272B"/>
                <w:sz w:val="19"/>
                <w:szCs w:val="19"/>
              </w:rPr>
              <w:t xml:space="preserve"> or £</w:t>
            </w: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 are outstanding and must be completed before signature. Sections 1.3, 9 and 10 carry the majority of them.</w:t>
            </w:r>
          </w:p>
        </w:tc>
      </w:tr>
    </w:tbl>
    <w:bookmarkStart w:id="101" w:name="s01"/>
    <w:p>
      <w:pPr>
        <w:pStyle w:val="Heading1"/>
        <w:keepNext/>
        <w:keepLines/>
        <w:pageBreakBefore/>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1</w:t>
      </w:r>
      <w:r>
        <w:rPr>
          <w:rFonts w:ascii="Archivo" w:hAnsi="Archivo" w:cs="Archivo" w:eastAsia="Archivo"/>
          <w:color w:val="B11722"/>
          <w:sz w:val="26"/>
          <w:szCs w:val="26"/>
        </w:rPr>
        <w:tab/>
      </w:r>
      <w:r>
        <w:rPr>
          <w:rFonts w:ascii="Archivo" w:hAnsi="Archivo" w:cs="Archivo" w:eastAsia="Archivo"/>
          <w:b/>
          <w:bCs/>
          <w:color w:val="16191C"/>
          <w:sz w:val="26"/>
          <w:szCs w:val="26"/>
        </w:rPr>
        <w:t xml:space="preserve">Purpose and standing</w:t>
      </w:r>
    </w:p>
    <w:bookmarkEnd w:id="101"/>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1.1</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This document defines the Fleet Manager and Mechanical Services role: the duties, the authority, the reporting, the standards and the measures. It separates a </w:t>
      </w:r>
      <w:r>
        <w:rPr>
          <w:rFonts w:ascii="IBM Plex Sans" w:hAnsi="IBM Plex Sans" w:cs="IBM Plex Sans" w:eastAsia="IBM Plex Sans"/>
          <w:b/>
          <w:bCs/>
          <w:color w:val="16191C"/>
          <w:sz w:val="20"/>
          <w:szCs w:val="20"/>
        </w:rPr>
        <w:t xml:space="preserve">standing management duty</w:t>
      </w:r>
      <w:r>
        <w:rPr>
          <w:rFonts w:ascii="IBM Plex Sans" w:hAnsi="IBM Plex Sans" w:cs="IBM Plex Sans" w:eastAsia="IBM Plex Sans"/>
          <w:color w:val="23272B"/>
          <w:sz w:val="20"/>
          <w:szCs w:val="20"/>
        </w:rPr>
        <w:t xml:space="preserve"> (Part A) from </w:t>
      </w:r>
      <w:r>
        <w:rPr>
          <w:rFonts w:ascii="IBM Plex Sans" w:hAnsi="IBM Plex Sans" w:cs="IBM Plex Sans" w:eastAsia="IBM Plex Sans"/>
          <w:b/>
          <w:bCs/>
          <w:color w:val="16191C"/>
          <w:sz w:val="20"/>
          <w:szCs w:val="20"/>
        </w:rPr>
        <w:t xml:space="preserve">reactive mechanical work</w:t>
      </w:r>
      <w:r>
        <w:rPr>
          <w:rFonts w:ascii="IBM Plex Sans" w:hAnsi="IBM Plex Sans" w:cs="IBM Plex Sans" w:eastAsia="IBM Plex Sans"/>
          <w:color w:val="23272B"/>
          <w:sz w:val="20"/>
          <w:szCs w:val="20"/>
        </w:rPr>
        <w:t xml:space="preserve"> (Part B), because the two cannot be managed on the same basis.</w:t>
      </w:r>
    </w:p>
    <w:p>
      <w:pPr>
        <w:tabs>
          <w:tab w:val="left" w:pos="624"/>
        </w:tabs>
        <w:spacing w:before="0" w:after="100" w:line="272" w:lineRule="auto"/>
        <w:ind w:left="624" w:hanging="624"/>
      </w:pPr>
      <w:r>
        <w:rPr>
          <w:rFonts w:ascii="IBM Plex Sans" w:hAnsi="IBM Plex Sans" w:cs="IBM Plex Sans" w:eastAsia="IBM Plex Sans"/>
          <w:b/>
          <w:bCs/>
          <w:color w:val="8E1019"/>
          <w:sz w:val="20"/>
          <w:szCs w:val="20"/>
        </w:rPr>
        <w:t xml:space="preserve">1.2</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This document is deliberately status-neutral. It works on either of two routes:</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b/>
          <w:bCs/>
          <w:color w:val="16191C"/>
          <w:sz w:val="20"/>
          <w:szCs w:val="20"/>
        </w:rPr>
        <w:t xml:space="preserve">Route A — Employed.</w:t>
      </w:r>
      <w:r>
        <w:rPr>
          <w:rFonts w:ascii="IBM Plex Sans" w:hAnsi="IBM Plex Sans" w:cs="IBM Plex Sans" w:eastAsia="IBM Plex Sans"/>
          <w:color w:val="23272B"/>
          <w:sz w:val="20"/>
          <w:szCs w:val="20"/>
        </w:rPr>
        <w:t xml:space="preserve"> This document becomes the job description and objectives. The Subcontract Mechanic Agreement is terminated and replaced by a contract of employment. Section 10 is replaced by salary, hours and benefits.</w:t>
      </w:r>
    </w:p>
    <w:p>
      <w:pPr>
        <w:tabs>
          <w:tab w:val="left" w:pos="964"/>
        </w:tabs>
        <w:spacing w:before="0" w:after="18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b/>
          <w:bCs/>
          <w:color w:val="16191C"/>
          <w:sz w:val="20"/>
          <w:szCs w:val="20"/>
        </w:rPr>
        <w:t xml:space="preserve">Route B — Contract for services.</w:t>
      </w:r>
      <w:r>
        <w:rPr>
          <w:rFonts w:ascii="IBM Plex Sans" w:hAnsi="IBM Plex Sans" w:cs="IBM Plex Sans" w:eastAsia="IBM Plex Sans"/>
          <w:color w:val="23272B"/>
          <w:sz w:val="20"/>
          <w:szCs w:val="20"/>
        </w:rPr>
        <w:t xml:space="preserve"> This document is attached as Schedule 4 to the Subcontract Mechanic Agreement, and clause 5.3 of that agreement is amended so that Part A is a standing retained duty, not a bookable task. Section 10 records the retainer.</w:t>
      </w:r>
    </w:p>
    <w:p>
      <w:pPr>
        <w:tabs>
          <w:tab w:val="left" w:pos="624"/>
        </w:tabs>
        <w:spacing w:before="0" w:after="180" w:line="272" w:lineRule="auto"/>
        <w:ind w:left="624" w:hanging="624"/>
      </w:pPr>
      <w:r>
        <w:rPr>
          <w:rFonts w:ascii="IBM Plex Sans" w:hAnsi="IBM Plex Sans" w:cs="IBM Plex Sans" w:eastAsia="IBM Plex Sans"/>
          <w:b/>
          <w:bCs/>
          <w:color w:val="8E1019"/>
          <w:sz w:val="20"/>
          <w:szCs w:val="20"/>
        </w:rPr>
        <w:t xml:space="preserve">1.3</w:t>
      </w:r>
      <w:r>
        <w:rPr>
          <w:rFonts w:ascii="IBM Plex Sans" w:hAnsi="IBM Plex Sans" w:cs="IBM Plex Sans" w:eastAsia="IBM Plex Sans"/>
          <w:color w:val="23272B"/>
          <w:sz w:val="20"/>
          <w:szCs w:val="20"/>
        </w:rPr>
        <w:tab/>
      </w:r>
      <w:r>
        <w:rPr>
          <w:rFonts w:ascii="IBM Plex Sans" w:hAnsi="IBM Plex Sans" w:cs="IBM Plex Sans" w:eastAsia="IBM Plex Sans"/>
          <w:b/>
          <w:bCs/>
          <w:color w:val="16191C"/>
          <w:sz w:val="20"/>
          <w:szCs w:val="20"/>
        </w:rPr>
        <w:t xml:space="preserve">Status must be resolved before signature.</w:t>
      </w:r>
      <w:r>
        <w:rPr>
          <w:rFonts w:ascii="IBM Plex Sans" w:hAnsi="IBM Plex Sans" w:cs="IBM Plex Sans" w:eastAsia="IBM Plex Sans"/>
          <w:color w:val="23272B"/>
          <w:sz w:val="20"/>
          <w:szCs w:val="20"/>
        </w:rPr>
        <w:t xml:space="preserve"> The combination of a standing management duty, a company van, container, tools and fuel, weekly reporting to the Company and a defined role inside the business points materially towards employment. Confirm the position with the Company’s accountant or employment solicitor and record the outcome below.</w:t>
      </w:r>
    </w:p>
    <w:tbl>
      <w:tblPr>
        <w:tblW w:type="dxa" w:w="8788"/>
        <w:tblInd w:type="dxa" w:w="624"/>
        <w:tblBorders>
          <w:top w:val="single" w:sz="4" w:color="E4E7EA"/>
          <w:left w:val="nil"/>
          <w:bottom w:val="single" w:sz="4" w:color="E4E7EA"/>
          <w:right w:val="nil"/>
          <w:insideH w:val="single" w:sz="4" w:color="EEF0F2"/>
          <w:insideV w:val="single" w:sz="4" w:color="EEF0F2"/>
        </w:tblBorders>
        <w:tblLayout w:type="fixed"/>
        <w:tblCellMar>
          <w:top w:type="dxa" w:w="0"/>
          <w:left w:type="dxa" w:w="0"/>
          <w:bottom w:type="dxa" w:w="0"/>
          <w:right w:type="dxa" w:w="0"/>
        </w:tblCellMar>
        <w:tblLook w:val="04A0" w:firstRow="1" w:lastRow="0" w:firstColumn="1" w:lastColumn="0" w:noHBand="0" w:noVBand="1"/>
      </w:tblPr>
      <w:tblGrid>
        <w:gridCol w:w="2900"/>
        <w:gridCol w:w="5888"/>
      </w:tblGrid>
      <w:tr>
        <w:trPr>
          <w:cantSplit/>
        </w:trPr>
        <w:tc>
          <w:tcPr>
            <w:tcW w:type="dxa" w:w="29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Status route selected</w:t>
            </w:r>
          </w:p>
        </w:tc>
        <w:tc>
          <w:tcPr>
            <w:tcW w:type="dxa" w:w="5888"/>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8E1019"/>
                <w:sz w:val="19"/>
                <w:szCs w:val="19"/>
                <w:shd w:val="clear" w:color="auto" w:fill="FBEAEB"/>
              </w:rPr>
              <w:t xml:space="preserve">[ A — employed ]</w:t>
            </w:r>
            <w:r>
              <w:rPr>
                <w:rFonts w:ascii="IBM Plex Sans" w:hAnsi="IBM Plex Sans" w:cs="IBM Plex Sans" w:eastAsia="IBM Plex Sans"/>
                <w:color w:val="23272B"/>
                <w:sz w:val="19"/>
                <w:szCs w:val="19"/>
              </w:rPr>
              <w:t xml:space="preserve">   /   </w:t>
            </w:r>
            <w:r>
              <w:rPr>
                <w:rFonts w:ascii="IBM Plex Sans" w:hAnsi="IBM Plex Sans" w:cs="IBM Plex Sans" w:eastAsia="IBM Plex Sans"/>
                <w:b/>
                <w:bCs/>
                <w:color w:val="8E1019"/>
                <w:sz w:val="19"/>
                <w:szCs w:val="19"/>
                <w:shd w:val="clear" w:color="auto" w:fill="FBEAEB"/>
              </w:rPr>
              <w:t xml:space="preserve">[ B — contract for services ]</w:t>
            </w:r>
          </w:p>
        </w:tc>
      </w:tr>
      <w:tr>
        <w:trPr>
          <w:cantSplit/>
        </w:trPr>
        <w:tc>
          <w:tcPr>
            <w:tcW w:type="dxa" w:w="29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Advised by</w:t>
            </w:r>
          </w:p>
        </w:tc>
        <w:tc>
          <w:tcPr>
            <w:tcW w:type="dxa" w:w="5888"/>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8E1019"/>
                <w:sz w:val="19"/>
                <w:szCs w:val="19"/>
                <w:shd w:val="clear" w:color="auto" w:fill="FBEAEB"/>
              </w:rPr>
              <w:t xml:space="preserve">[ name ]</w:t>
            </w:r>
          </w:p>
        </w:tc>
      </w:tr>
      <w:tr>
        <w:trPr>
          <w:cantSplit/>
        </w:trPr>
        <w:tc>
          <w:tcPr>
            <w:tcW w:type="dxa" w:w="29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Date of advice</w:t>
            </w:r>
          </w:p>
        </w:tc>
        <w:tc>
          <w:tcPr>
            <w:tcW w:type="dxa" w:w="5888"/>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8E1019"/>
                <w:sz w:val="19"/>
                <w:szCs w:val="19"/>
                <w:shd w:val="clear" w:color="auto" w:fill="FBEAEB"/>
              </w:rPr>
              <w:t xml:space="preserve">[ date ]</w:t>
            </w:r>
          </w:p>
        </w:tc>
      </w:tr>
    </w:tbl>
    <w:p>
      <w:pPr>
        <w:spacing w:before="0" w:after="0" w:line="300" w:lineRule="exact"/>
      </w:pP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1.4</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Reports to: Dean Bradley, LG Howson Ltd. Deputy approver: </w:t>
      </w:r>
      <w:r>
        <w:rPr>
          <w:rFonts w:ascii="IBM Plex Sans" w:hAnsi="IBM Plex Sans" w:cs="IBM Plex Sans" w:eastAsia="IBM Plex Sans"/>
          <w:b/>
          <w:bCs/>
          <w:color w:val="8E1019"/>
          <w:sz w:val="20"/>
          <w:szCs w:val="20"/>
          <w:shd w:val="clear" w:color="auto" w:fill="FBEAEB"/>
        </w:rPr>
        <w:t xml:space="preserve">[ name ]</w:t>
      </w:r>
      <w:r>
        <w:rPr>
          <w:rFonts w:ascii="IBM Plex Sans" w:hAnsi="IBM Plex Sans" w:cs="IBM Plex Sans" w:eastAsia="IBM Plex Sans"/>
          <w:color w:val="23272B"/>
          <w:sz w:val="20"/>
          <w:szCs w:val="20"/>
        </w:rPr>
        <w:t xml:space="preserve">.</w:t>
      </w:r>
    </w:p>
    <w:p>
      <w:pPr>
        <w:tabs>
          <w:tab w:val="left" w:pos="624"/>
        </w:tabs>
        <w:spacing w:before="0" w:after="0" w:line="272" w:lineRule="auto"/>
        <w:ind w:left="624" w:hanging="624"/>
      </w:pPr>
      <w:r>
        <w:rPr>
          <w:rFonts w:ascii="IBM Plex Sans" w:hAnsi="IBM Plex Sans" w:cs="IBM Plex Sans" w:eastAsia="IBM Plex Sans"/>
          <w:b/>
          <w:bCs/>
          <w:color w:val="8E1019"/>
          <w:sz w:val="20"/>
          <w:szCs w:val="20"/>
        </w:rPr>
        <w:t xml:space="preserve">1.5</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Effective date: </w:t>
      </w:r>
      <w:r>
        <w:rPr>
          <w:rFonts w:ascii="IBM Plex Sans" w:hAnsi="IBM Plex Sans" w:cs="IBM Plex Sans" w:eastAsia="IBM Plex Sans"/>
          <w:b/>
          <w:bCs/>
          <w:color w:val="8E1019"/>
          <w:sz w:val="20"/>
          <w:szCs w:val="20"/>
          <w:shd w:val="clear" w:color="auto" w:fill="FBEAEB"/>
        </w:rPr>
        <w:t xml:space="preserve">[ date ]</w:t>
      </w:r>
      <w:r>
        <w:rPr>
          <w:rFonts w:ascii="IBM Plex Sans" w:hAnsi="IBM Plex Sans" w:cs="IBM Plex Sans" w:eastAsia="IBM Plex Sans"/>
          <w:color w:val="23272B"/>
          <w:sz w:val="20"/>
          <w:szCs w:val="20"/>
        </w:rPr>
        <w:t xml:space="preserve">. First formal review at 30 calendar days, then monthly for three months, then quarterly.</w:t>
      </w:r>
    </w:p>
    <w:bookmarkStart w:id="102" w:name="s02"/>
    <w:p>
      <w:pPr>
        <w:pStyle w:val="Heading1"/>
        <w:keepNext/>
        <w:keepLines/>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2</w:t>
      </w:r>
      <w:r>
        <w:rPr>
          <w:rFonts w:ascii="Archivo" w:hAnsi="Archivo" w:cs="Archivo" w:eastAsia="Archivo"/>
          <w:color w:val="B11722"/>
          <w:sz w:val="26"/>
          <w:szCs w:val="26"/>
        </w:rPr>
        <w:tab/>
      </w:r>
      <w:r>
        <w:rPr>
          <w:rFonts w:ascii="Archivo" w:hAnsi="Archivo" w:cs="Archivo" w:eastAsia="Archivo"/>
          <w:b/>
          <w:bCs/>
          <w:color w:val="16191C"/>
          <w:sz w:val="26"/>
          <w:szCs w:val="26"/>
        </w:rPr>
        <w:t xml:space="preserve">Fleet in scope</w:t>
      </w:r>
    </w:p>
    <w:bookmarkEnd w:id="102"/>
    <w:p>
      <w:pPr>
        <w:tabs>
          <w:tab w:val="left" w:pos="624"/>
        </w:tabs>
        <w:spacing w:before="0" w:after="100" w:line="272" w:lineRule="auto"/>
        <w:ind w:left="624" w:hanging="624"/>
      </w:pPr>
      <w:r>
        <w:rPr>
          <w:rFonts w:ascii="IBM Plex Sans" w:hAnsi="IBM Plex Sans" w:cs="IBM Plex Sans" w:eastAsia="IBM Plex Sans"/>
          <w:b/>
          <w:bCs/>
          <w:color w:val="8E1019"/>
          <w:sz w:val="20"/>
          <w:szCs w:val="20"/>
        </w:rPr>
        <w:t xml:space="preserve">2.1</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The role covers every asset on the </w:t>
      </w:r>
      <w:r>
        <w:rPr>
          <w:rFonts w:ascii="IBM Plex Sans" w:hAnsi="IBM Plex Sans" w:cs="IBM Plex Sans" w:eastAsia="IBM Plex Sans"/>
          <w:b/>
          <w:bCs/>
          <w:color w:val="16191C"/>
          <w:sz w:val="20"/>
          <w:szCs w:val="20"/>
        </w:rPr>
        <w:t xml:space="preserve">Fleet Asset Register</w:t>
      </w:r>
      <w:r>
        <w:rPr>
          <w:rFonts w:ascii="IBM Plex Sans" w:hAnsi="IBM Plex Sans" w:cs="IBM Plex Sans" w:eastAsia="IBM Plex Sans"/>
          <w:color w:val="23272B"/>
          <w:sz w:val="20"/>
          <w:szCs w:val="20"/>
        </w:rPr>
        <w:t xml:space="preserve"> at Appendix A, which must be completed and signed before the effective date. Indicative categories:</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Vans and cars</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Tippers and other goods vehicles, including any over 3,500 kg GVW</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Plant trailers and towed equipment</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Excavators, dumpers, rollers, telehandlers</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Small plant, breakers, compactors, generators, pumps</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Lifting accessories: chains, slings, shackles, quick hitches, lifting eyes</w:t>
      </w:r>
    </w:p>
    <w:p>
      <w:pPr>
        <w:spacing w:before="0" w:after="0" w:line="120" w:lineRule="exact"/>
      </w:pP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2.2</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Assets are added to or removed from the register only by written notice from the Company. An asset not on the register is not in scope, and the Fleet Manager carries no responsibility for it.</w:t>
      </w:r>
    </w:p>
    <w:p>
      <w:pPr>
        <w:tabs>
          <w:tab w:val="left" w:pos="624"/>
        </w:tabs>
        <w:spacing w:before="0" w:after="0" w:line="272" w:lineRule="auto"/>
        <w:ind w:left="624" w:hanging="624"/>
      </w:pPr>
      <w:r>
        <w:rPr>
          <w:rFonts w:ascii="IBM Plex Sans" w:hAnsi="IBM Plex Sans" w:cs="IBM Plex Sans" w:eastAsia="IBM Plex Sans"/>
          <w:b/>
          <w:bCs/>
          <w:color w:val="8E1019"/>
          <w:sz w:val="20"/>
          <w:szCs w:val="20"/>
        </w:rPr>
        <w:t xml:space="preserve">2.3</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Howson Pools Ltd assets: </w:t>
      </w:r>
      <w:r>
        <w:rPr>
          <w:rFonts w:ascii="IBM Plex Sans" w:hAnsi="IBM Plex Sans" w:cs="IBM Plex Sans" w:eastAsia="IBM Plex Sans"/>
          <w:b/>
          <w:bCs/>
          <w:color w:val="8E1019"/>
          <w:sz w:val="20"/>
          <w:szCs w:val="20"/>
          <w:shd w:val="clear" w:color="auto" w:fill="FBEAEB"/>
        </w:rPr>
        <w:t xml:space="preserve">[ in scope / out of scope / in scope and recharged ]</w:t>
      </w:r>
      <w:r>
        <w:rPr>
          <w:rFonts w:ascii="IBM Plex Sans" w:hAnsi="IBM Plex Sans" w:cs="IBM Plex Sans" w:eastAsia="IBM Plex Sans"/>
          <w:color w:val="23272B"/>
          <w:sz w:val="20"/>
          <w:szCs w:val="20"/>
        </w:rPr>
        <w:t xml:space="preserve">. Where in scope, work is authorised through LG Howson Ltd and recharged under the agreed intercompany arrangement.</w:t>
      </w:r>
    </w:p>
    <w:p>
      <w:pPr>
        <w:spacing w:before="0" w:after="0" w:line="500" w:lineRule="exact"/>
      </w:pPr>
    </w:p>
    <w:bookmarkStart w:id="103" w:name="pa"/>
    <w:tbl>
      <w:tblPr>
        <w:tblW w:type="dxa" w:w="9412"/>
        <w:tblBorders>
          <w:top w:val="nil"/>
          <w:left w:val="nil"/>
          <w:bottom w:val="nil"/>
          <w:right w:val="nil"/>
          <w:insideH w:val="nil"/>
          <w:insideV w:val="nil"/>
        </w:tblBorders>
        <w:tblLayout w:type="fixed"/>
        <w:tblCellMar>
          <w:top w:type="dxa" w:w="0"/>
          <w:left w:type="dxa" w:w="0"/>
          <w:bottom w:type="dxa" w:w="0"/>
          <w:right w:type="dxa" w:w="0"/>
        </w:tblCellMar>
        <w:tblLook w:val="04A0" w:firstRow="1" w:lastRow="0" w:firstColumn="1" w:lastColumn="0" w:noHBand="0" w:noVBand="1"/>
      </w:tblPr>
      <w:tblGrid>
        <w:gridCol w:w="9412"/>
      </w:tblGrid>
      <w:tr>
        <w:trPr>
          <w:trHeight w:val="1000" w:hRule="atLeast"/>
          <w:cantSplit/>
        </w:trPr>
        <w:tc>
          <w:tcPr>
            <w:tcW w:type="dxa" w:w="9412"/>
            <w:shd w:val="clear" w:color="auto" w:fill="B11722"/>
            <w:tcMar>
              <w:top w:type="dxa" w:w="200"/>
              <w:left w:type="dxa" w:w="300"/>
              <w:bottom w:type="dxa" w:w="210"/>
              <w:right w:type="dxa" w:w="300"/>
            </w:tcMar>
            <w:vAlign w:val="center"/>
          </w:tcPr>
          <w:p>
            <w:pPr>
              <w:spacing w:before="0" w:after="40" w:line="220" w:lineRule="exact"/>
            </w:pPr>
            <w:r>
              <w:rPr>
                <w:rFonts w:ascii="Archivo" w:hAnsi="Archivo" w:cs="Archivo" w:eastAsia="Archivo"/>
                <w:b/>
                <w:bCs/>
                <w:color w:val="F2B8B8"/>
                <w:spacing w:val="80"/>
                <w:sz w:val="17"/>
                <w:szCs w:val="17"/>
              </w:rPr>
              <w:t xml:space="preserve">PART A</w:t>
            </w:r>
          </w:p>
          <w:p>
            <w:pPr>
              <w:spacing w:before="0" w:after="0" w:line="330" w:lineRule="exact"/>
            </w:pPr>
            <w:r>
              <w:rPr>
                <w:rFonts w:ascii="Archivo" w:hAnsi="Archivo" w:cs="Archivo" w:eastAsia="Archivo"/>
                <w:b/>
                <w:bCs/>
                <w:color w:val="FFFFFF"/>
                <w:spacing w:val="10"/>
                <w:sz w:val="27"/>
                <w:szCs w:val="27"/>
              </w:rPr>
              <w:t xml:space="preserve">Fleet management — standing duty</w:t>
            </w:r>
          </w:p>
        </w:tc>
      </w:tr>
    </w:tbl>
    <w:bookmarkEnd w:id="103"/>
    <w:p>
      <w:pPr>
        <w:spacing w:before="0" w:after="0" w:line="200" w:lineRule="exact"/>
      </w:pPr>
    </w:p>
    <w:bookmarkStart w:id="104" w:name="s03"/>
    <w:p>
      <w:pPr>
        <w:pStyle w:val="Heading1"/>
        <w:keepNext/>
        <w:keepLines/>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3</w:t>
      </w:r>
      <w:r>
        <w:rPr>
          <w:rFonts w:ascii="Archivo" w:hAnsi="Archivo" w:cs="Archivo" w:eastAsia="Archivo"/>
          <w:color w:val="B11722"/>
          <w:sz w:val="26"/>
          <w:szCs w:val="26"/>
        </w:rPr>
        <w:tab/>
      </w:r>
      <w:r>
        <w:rPr>
          <w:rFonts w:ascii="Archivo" w:hAnsi="Archivo" w:cs="Archivo" w:eastAsia="Archivo"/>
          <w:b/>
          <w:bCs/>
          <w:color w:val="16191C"/>
          <w:sz w:val="26"/>
          <w:szCs w:val="26"/>
        </w:rPr>
        <w:t xml:space="preserve">Statutory and regulatory compliance</w:t>
      </w:r>
    </w:p>
    <w:bookmarkEnd w:id="104"/>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3.1</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Maintain a live </w:t>
      </w:r>
      <w:r>
        <w:rPr>
          <w:rFonts w:ascii="IBM Plex Sans" w:hAnsi="IBM Plex Sans" w:cs="IBM Plex Sans" w:eastAsia="IBM Plex Sans"/>
          <w:b/>
          <w:bCs/>
          <w:color w:val="16191C"/>
          <w:sz w:val="20"/>
          <w:szCs w:val="20"/>
        </w:rPr>
        <w:t xml:space="preserve">Compliance Register</w:t>
      </w:r>
      <w:r>
        <w:rPr>
          <w:rFonts w:ascii="IBM Plex Sans" w:hAnsi="IBM Plex Sans" w:cs="IBM Plex Sans" w:eastAsia="IBM Plex Sans"/>
          <w:color w:val="23272B"/>
          <w:sz w:val="20"/>
          <w:szCs w:val="20"/>
        </w:rPr>
        <w:t xml:space="preserve"> covering every in-scope asset, showing the next due date, the responsible person and the evidence reference. Minimum content at Appendix B.</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3.2</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Ensure nothing in the register runs overdue. Where a date cannot be met, escalate to Dean </w:t>
      </w:r>
      <w:r>
        <w:rPr>
          <w:rFonts w:ascii="IBM Plex Sans" w:hAnsi="IBM Plex Sans" w:cs="IBM Plex Sans" w:eastAsia="IBM Plex Sans"/>
          <w:b/>
          <w:bCs/>
          <w:color w:val="16191C"/>
          <w:sz w:val="20"/>
          <w:szCs w:val="20"/>
        </w:rPr>
        <w:t xml:space="preserve">before</w:t>
      </w:r>
      <w:r>
        <w:rPr>
          <w:rFonts w:ascii="IBM Plex Sans" w:hAnsi="IBM Plex Sans" w:cs="IBM Plex Sans" w:eastAsia="IBM Plex Sans"/>
          <w:color w:val="23272B"/>
          <w:sz w:val="20"/>
          <w:szCs w:val="20"/>
        </w:rPr>
        <w:t xml:space="preserve"> the expiry date, not after, with the asset, the date, the consequence and the proposed action.</w:t>
      </w:r>
    </w:p>
    <w:p>
      <w:pPr>
        <w:tabs>
          <w:tab w:val="left" w:pos="624"/>
        </w:tabs>
        <w:spacing w:before="0" w:after="100" w:line="272" w:lineRule="auto"/>
        <w:ind w:left="624" w:hanging="624"/>
      </w:pPr>
      <w:r>
        <w:rPr>
          <w:rFonts w:ascii="IBM Plex Sans" w:hAnsi="IBM Plex Sans" w:cs="IBM Plex Sans" w:eastAsia="IBM Plex Sans"/>
          <w:b/>
          <w:bCs/>
          <w:color w:val="8E1019"/>
          <w:sz w:val="20"/>
          <w:szCs w:val="20"/>
        </w:rPr>
        <w:t xml:space="preserve">3.3</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Items to be tracked and evidenced. Frequencies are indicative and must be confirmed against the manufacturer’s schedule, the insurer’s requirements and any Operator’s Licence undertakings:</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MOT and annual test</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Vehicle excise duty and insurance renewal</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Planned servicing and safety inspections</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LOLER thorough examination of lifting equipment and lifting accessories</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PUWER inspection of work equipment</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Tachograph calibration, and driver card and vehicle unit downloads, where applicable</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Quick hitch checks and excavator lifting duty certification</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Statutory inspections of hired-in plant, confirmed at the point of hire</w:t>
      </w:r>
    </w:p>
    <w:p>
      <w:pPr>
        <w:spacing w:before="0" w:after="0" w:line="120" w:lineRule="exact"/>
      </w:pP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3.4</w:t>
      </w:r>
      <w:r>
        <w:rPr>
          <w:rFonts w:ascii="IBM Plex Sans" w:hAnsi="IBM Plex Sans" w:cs="IBM Plex Sans" w:eastAsia="IBM Plex Sans"/>
          <w:color w:val="23272B"/>
          <w:sz w:val="20"/>
          <w:szCs w:val="20"/>
        </w:rPr>
        <w:tab/>
      </w:r>
      <w:r>
        <w:rPr>
          <w:rFonts w:ascii="IBM Plex Sans" w:hAnsi="IBM Plex Sans" w:cs="IBM Plex Sans" w:eastAsia="IBM Plex Sans"/>
          <w:b/>
          <w:bCs/>
          <w:color w:val="16191C"/>
          <w:sz w:val="20"/>
          <w:szCs w:val="20"/>
        </w:rPr>
        <w:t xml:space="preserve">Operator’s Licence.</w:t>
      </w:r>
      <w:r>
        <w:rPr>
          <w:rFonts w:ascii="IBM Plex Sans" w:hAnsi="IBM Plex Sans" w:cs="IBM Plex Sans" w:eastAsia="IBM Plex Sans"/>
          <w:color w:val="23272B"/>
          <w:sz w:val="20"/>
          <w:szCs w:val="20"/>
        </w:rPr>
        <w:t xml:space="preserve"> Establish and record whether the Company requires a goods vehicle Operator’s Licence for any vehicle in scope, and if so its type, the nominated Transport Manager, the disc allocation and the inspection frequency stated in the licence undertakings. Where a licence is held, the Fleet Manager maintains the 15-month rolling inspection planner and the driver defect reporting records to the standard required by the Traffic Commissioner. This does not transfer the Company’s operator duties.</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3.5</w:t>
      </w:r>
      <w:r>
        <w:rPr>
          <w:rFonts w:ascii="IBM Plex Sans" w:hAnsi="IBM Plex Sans" w:cs="IBM Plex Sans" w:eastAsia="IBM Plex Sans"/>
          <w:color w:val="23272B"/>
          <w:sz w:val="20"/>
          <w:szCs w:val="20"/>
        </w:rPr>
        <w:tab/>
      </w:r>
      <w:r>
        <w:rPr>
          <w:rFonts w:ascii="IBM Plex Sans" w:hAnsi="IBM Plex Sans" w:cs="IBM Plex Sans" w:eastAsia="IBM Plex Sans"/>
          <w:b/>
          <w:bCs/>
          <w:color w:val="16191C"/>
          <w:sz w:val="20"/>
          <w:szCs w:val="20"/>
        </w:rPr>
        <w:t xml:space="preserve">Drivers.</w:t>
      </w:r>
      <w:r>
        <w:rPr>
          <w:rFonts w:ascii="IBM Plex Sans" w:hAnsi="IBM Plex Sans" w:cs="IBM Plex Sans" w:eastAsia="IBM Plex Sans"/>
          <w:color w:val="23272B"/>
          <w:sz w:val="20"/>
          <w:szCs w:val="20"/>
        </w:rPr>
        <w:t xml:space="preserve"> Maintain a driver register with licence category, DVLA check date and result, and any restrictions. Licence checks at least every six months, or more frequently where points are recorded. Flag immediately any driver whose entitlement does not cover the vehicle they are using.</w:t>
      </w:r>
    </w:p>
    <w:p>
      <w:pPr>
        <w:tabs>
          <w:tab w:val="left" w:pos="624"/>
        </w:tabs>
        <w:spacing w:before="0" w:after="0" w:line="272" w:lineRule="auto"/>
        <w:ind w:left="624" w:hanging="624"/>
      </w:pPr>
      <w:r>
        <w:rPr>
          <w:rFonts w:ascii="IBM Plex Sans" w:hAnsi="IBM Plex Sans" w:cs="IBM Plex Sans" w:eastAsia="IBM Plex Sans"/>
          <w:b/>
          <w:bCs/>
          <w:color w:val="8E1019"/>
          <w:sz w:val="20"/>
          <w:szCs w:val="20"/>
        </w:rPr>
        <w:t xml:space="preserve">3.6</w:t>
      </w:r>
      <w:r>
        <w:rPr>
          <w:rFonts w:ascii="IBM Plex Sans" w:hAnsi="IBM Plex Sans" w:cs="IBM Plex Sans" w:eastAsia="IBM Plex Sans"/>
          <w:color w:val="23272B"/>
          <w:sz w:val="20"/>
          <w:szCs w:val="20"/>
        </w:rPr>
        <w:tab/>
      </w:r>
      <w:r>
        <w:rPr>
          <w:rFonts w:ascii="IBM Plex Sans" w:hAnsi="IBM Plex Sans" w:cs="IBM Plex Sans" w:eastAsia="IBM Plex Sans"/>
          <w:b/>
          <w:bCs/>
          <w:color w:val="16191C"/>
          <w:sz w:val="20"/>
          <w:szCs w:val="20"/>
        </w:rPr>
        <w:t xml:space="preserve">Insurance fit.</w:t>
      </w:r>
      <w:r>
        <w:rPr>
          <w:rFonts w:ascii="IBM Plex Sans" w:hAnsi="IBM Plex Sans" w:cs="IBM Plex Sans" w:eastAsia="IBM Plex Sans"/>
          <w:color w:val="23272B"/>
          <w:sz w:val="20"/>
          <w:szCs w:val="20"/>
        </w:rPr>
        <w:t xml:space="preserve"> Confirm before any use that the Company’s motor policy covers the vehicle, the driver and the actual use. Report immediately any use falling outside cover, and stop it.</w:t>
      </w:r>
    </w:p>
    <w:bookmarkStart w:id="105" w:name="s04"/>
    <w:p>
      <w:pPr>
        <w:pStyle w:val="Heading1"/>
        <w:keepNext/>
        <w:keepLines/>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4</w:t>
      </w:r>
      <w:r>
        <w:rPr>
          <w:rFonts w:ascii="Archivo" w:hAnsi="Archivo" w:cs="Archivo" w:eastAsia="Archivo"/>
          <w:color w:val="B11722"/>
          <w:sz w:val="26"/>
          <w:szCs w:val="26"/>
        </w:rPr>
        <w:tab/>
      </w:r>
      <w:r>
        <w:rPr>
          <w:rFonts w:ascii="Archivo" w:hAnsi="Archivo" w:cs="Archivo" w:eastAsia="Archivo"/>
          <w:b/>
          <w:bCs/>
          <w:color w:val="16191C"/>
          <w:sz w:val="26"/>
          <w:szCs w:val="26"/>
        </w:rPr>
        <w:t xml:space="preserve">Planned maintenance and availability</w:t>
      </w:r>
    </w:p>
    <w:bookmarkEnd w:id="105"/>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4.1</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Maintain a rolling </w:t>
      </w:r>
      <w:r>
        <w:rPr>
          <w:rFonts w:ascii="IBM Plex Sans" w:hAnsi="IBM Plex Sans" w:cs="IBM Plex Sans" w:eastAsia="IBM Plex Sans"/>
          <w:b/>
          <w:bCs/>
          <w:color w:val="16191C"/>
          <w:sz w:val="20"/>
          <w:szCs w:val="20"/>
        </w:rPr>
        <w:t xml:space="preserve">six-week lookahead</w:t>
      </w:r>
      <w:r>
        <w:rPr>
          <w:rFonts w:ascii="IBM Plex Sans" w:hAnsi="IBM Plex Sans" w:cs="IBM Plex Sans" w:eastAsia="IBM Plex Sans"/>
          <w:color w:val="23272B"/>
          <w:sz w:val="20"/>
          <w:szCs w:val="20"/>
        </w:rPr>
        <w:t xml:space="preserve"> of planned maintenance, inspections and off-road time, issued to Dean each Friday and reconciled against the site programme, so that plant is not removed from a live job without notice.</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4.2</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Plan maintenance around operational demand where possible. Where a clash is unavoidable, present the options and the consequences; the Company decides.</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4.3</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Maintain a </w:t>
      </w:r>
      <w:r>
        <w:rPr>
          <w:rFonts w:ascii="IBM Plex Sans" w:hAnsi="IBM Plex Sans" w:cs="IBM Plex Sans" w:eastAsia="IBM Plex Sans"/>
          <w:b/>
          <w:bCs/>
          <w:color w:val="16191C"/>
          <w:sz w:val="20"/>
          <w:szCs w:val="20"/>
        </w:rPr>
        <w:t xml:space="preserve">defect log</w:t>
      </w:r>
      <w:r>
        <w:rPr>
          <w:rFonts w:ascii="IBM Plex Sans" w:hAnsi="IBM Plex Sans" w:cs="IBM Plex Sans" w:eastAsia="IBM Plex Sans"/>
          <w:color w:val="23272B"/>
          <w:sz w:val="20"/>
          <w:szCs w:val="20"/>
        </w:rPr>
        <w:t xml:space="preserve">. Every defect has a severity, an owner, a next action and a date. Defects rendering an asset unsafe are marked </w:t>
      </w:r>
      <w:r>
        <w:rPr>
          <w:rFonts w:ascii="IBM Plex Sans" w:hAnsi="IBM Plex Sans" w:cs="IBM Plex Sans" w:eastAsia="IBM Plex Sans"/>
          <w:b/>
          <w:bCs/>
          <w:color w:val="16191C"/>
          <w:sz w:val="20"/>
          <w:szCs w:val="20"/>
        </w:rPr>
        <w:t xml:space="preserve">DO NOT USE</w:t>
      </w:r>
      <w:r>
        <w:rPr>
          <w:rFonts w:ascii="IBM Plex Sans" w:hAnsi="IBM Plex Sans" w:cs="IBM Plex Sans" w:eastAsia="IBM Plex Sans"/>
          <w:color w:val="23272B"/>
          <w:sz w:val="20"/>
          <w:szCs w:val="20"/>
        </w:rPr>
        <w:t xml:space="preserve">, keys controlled where practicable, and Dean notified the same day.</w:t>
      </w:r>
    </w:p>
    <w:p>
      <w:pPr>
        <w:tabs>
          <w:tab w:val="left" w:pos="624"/>
        </w:tabs>
        <w:spacing w:before="0" w:after="0" w:line="272" w:lineRule="auto"/>
        <w:ind w:left="624" w:hanging="624"/>
      </w:pPr>
      <w:r>
        <w:rPr>
          <w:rFonts w:ascii="IBM Plex Sans" w:hAnsi="IBM Plex Sans" w:cs="IBM Plex Sans" w:eastAsia="IBM Plex Sans"/>
          <w:b/>
          <w:bCs/>
          <w:color w:val="8E1019"/>
          <w:sz w:val="20"/>
          <w:szCs w:val="20"/>
        </w:rPr>
        <w:t xml:space="preserve">4.4</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Own the daily walkaround and pre-use check regime: ensure operators are issued check sheets, that completed sheets are collected, and that reported defects are entered into the log within one working day. Audit compliance monthly and report the rate.</w:t>
      </w:r>
    </w:p>
    <w:bookmarkStart w:id="106" w:name="s05"/>
    <w:p>
      <w:pPr>
        <w:pStyle w:val="Heading1"/>
        <w:keepNext/>
        <w:keepLines/>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5</w:t>
      </w:r>
      <w:r>
        <w:rPr>
          <w:rFonts w:ascii="Archivo" w:hAnsi="Archivo" w:cs="Archivo" w:eastAsia="Archivo"/>
          <w:color w:val="B11722"/>
          <w:sz w:val="26"/>
          <w:szCs w:val="26"/>
        </w:rPr>
        <w:tab/>
      </w:r>
      <w:r>
        <w:rPr>
          <w:rFonts w:ascii="Archivo" w:hAnsi="Archivo" w:cs="Archivo" w:eastAsia="Archivo"/>
          <w:b/>
          <w:bCs/>
          <w:color w:val="16191C"/>
          <w:sz w:val="26"/>
          <w:szCs w:val="26"/>
        </w:rPr>
        <w:t xml:space="preserve">Parts, suppliers, hire and cost</w:t>
      </w:r>
    </w:p>
    <w:bookmarkEnd w:id="106"/>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5.1</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Source parts and consumables within the approval limits at Section 9. Obtain comparative pricing for any single item above the quote threshold.</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5.2</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Manage the fleet supplier and hire relationships: servicing agents, tyre supply, breakdown and recovery, plant hire, specialist inspection bodies. Maintain contact details, account references and renewal dates.</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5.3</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Where an asset is off the road beyond the agreed tolerance, propose the hire-versus-repair option with cost and timescale. The Company decides.</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5.4</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Reconcile fuel card transactions against vehicle and mileage monthly. Flag anomalies.</w:t>
      </w:r>
    </w:p>
    <w:p>
      <w:pPr>
        <w:tabs>
          <w:tab w:val="left" w:pos="624"/>
        </w:tabs>
        <w:spacing w:before="0" w:after="0" w:line="272" w:lineRule="auto"/>
        <w:ind w:left="624" w:hanging="624"/>
      </w:pPr>
      <w:r>
        <w:rPr>
          <w:rFonts w:ascii="IBM Plex Sans" w:hAnsi="IBM Plex Sans" w:cs="IBM Plex Sans" w:eastAsia="IBM Plex Sans"/>
          <w:b/>
          <w:bCs/>
          <w:color w:val="8E1019"/>
          <w:sz w:val="20"/>
          <w:szCs w:val="20"/>
        </w:rPr>
        <w:t xml:space="preserve">5.5</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Report monthly fleet spend by asset against budget, split into labour, parts, hire, fuel and third-party.</w:t>
      </w:r>
    </w:p>
    <w:bookmarkStart w:id="107" w:name="s06"/>
    <w:p>
      <w:pPr>
        <w:pStyle w:val="Heading1"/>
        <w:keepNext/>
        <w:keepLines/>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6</w:t>
      </w:r>
      <w:r>
        <w:rPr>
          <w:rFonts w:ascii="Archivo" w:hAnsi="Archivo" w:cs="Archivo" w:eastAsia="Archivo"/>
          <w:color w:val="B11722"/>
          <w:sz w:val="26"/>
          <w:szCs w:val="26"/>
        </w:rPr>
        <w:tab/>
      </w:r>
      <w:r>
        <w:rPr>
          <w:rFonts w:ascii="Archivo" w:hAnsi="Archivo" w:cs="Archivo" w:eastAsia="Archivo"/>
          <w:b/>
          <w:bCs/>
          <w:color w:val="16191C"/>
          <w:sz w:val="26"/>
          <w:szCs w:val="26"/>
        </w:rPr>
        <w:t xml:space="preserve">Records and system of record</w:t>
      </w:r>
    </w:p>
    <w:bookmarkEnd w:id="107"/>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6.1</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The system of record is </w:t>
      </w:r>
      <w:r>
        <w:rPr>
          <w:rFonts w:ascii="IBM Plex Sans" w:hAnsi="IBM Plex Sans" w:cs="IBM Plex Sans" w:eastAsia="IBM Plex Sans"/>
          <w:b/>
          <w:bCs/>
          <w:color w:val="8E1019"/>
          <w:sz w:val="20"/>
          <w:szCs w:val="20"/>
          <w:shd w:val="clear" w:color="auto" w:fill="FBEAEB"/>
        </w:rPr>
        <w:t xml:space="preserve">[ Notion fleet database / named Google Drive folder ]</w:t>
      </w:r>
      <w:r>
        <w:rPr>
          <w:rFonts w:ascii="IBM Plex Sans" w:hAnsi="IBM Plex Sans" w:cs="IBM Plex Sans" w:eastAsia="IBM Plex Sans"/>
          <w:color w:val="23272B"/>
          <w:sz w:val="20"/>
          <w:szCs w:val="20"/>
        </w:rPr>
        <w:t xml:space="preserve">. Records held only on a personal device, in a personal notebook or in a private messaging thread do not satisfy this role.</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6.2</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Every asset has a record holding: identification, ownership or finance status, service history, statutory certificates, defect history, cost history and photographs.</w:t>
      </w:r>
    </w:p>
    <w:p>
      <w:pPr>
        <w:tabs>
          <w:tab w:val="left" w:pos="624"/>
        </w:tabs>
        <w:spacing w:before="0" w:after="0" w:line="272" w:lineRule="auto"/>
        <w:ind w:left="624" w:hanging="624"/>
      </w:pPr>
      <w:r>
        <w:rPr>
          <w:rFonts w:ascii="IBM Plex Sans" w:hAnsi="IBM Plex Sans" w:cs="IBM Plex Sans" w:eastAsia="IBM Plex Sans"/>
          <w:b/>
          <w:bCs/>
          <w:color w:val="8E1019"/>
          <w:sz w:val="20"/>
          <w:szCs w:val="20"/>
        </w:rPr>
        <w:t xml:space="preserve">6.3</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All records remain Company property and must be current at all times, not reconstructed at review. On the ending of the role, the register and forward schedule are handed over complete and up to date within five working days.</w:t>
      </w:r>
    </w:p>
    <w:bookmarkStart w:id="108" w:name="s07"/>
    <w:p>
      <w:pPr>
        <w:pStyle w:val="Heading1"/>
        <w:keepNext/>
        <w:keepLines/>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7</w:t>
      </w:r>
      <w:r>
        <w:rPr>
          <w:rFonts w:ascii="Archivo" w:hAnsi="Archivo" w:cs="Archivo" w:eastAsia="Archivo"/>
          <w:color w:val="B11722"/>
          <w:sz w:val="26"/>
          <w:szCs w:val="26"/>
        </w:rPr>
        <w:tab/>
      </w:r>
      <w:r>
        <w:rPr>
          <w:rFonts w:ascii="Archivo" w:hAnsi="Archivo" w:cs="Archivo" w:eastAsia="Archivo"/>
          <w:b/>
          <w:bCs/>
          <w:color w:val="16191C"/>
          <w:sz w:val="26"/>
          <w:szCs w:val="26"/>
        </w:rPr>
        <w:t xml:space="preserve">Reporting cadence</w:t>
      </w:r>
    </w:p>
    <w:bookmarkEnd w:id="108"/>
    <w:p>
      <w:pPr>
        <w:spacing w:before="0" w:after="0" w:line="60" w:lineRule="exact"/>
      </w:pPr>
    </w:p>
    <w:tbl>
      <w:tblPr>
        <w:tblW w:type="dxa" w:w="9412"/>
        <w:tblBorders>
          <w:top w:val="nil"/>
          <w:left w:val="nil"/>
          <w:bottom w:val="single" w:sz="4" w:color="E4E7EA"/>
          <w:right w:val="nil"/>
          <w:insideH w:val="single" w:sz="4" w:color="EEF0F2"/>
          <w:insideV w:val="nil"/>
        </w:tblBorders>
        <w:tblLayout w:type="fixed"/>
        <w:tblCellMar>
          <w:top w:type="dxa" w:w="0"/>
          <w:left w:type="dxa" w:w="0"/>
          <w:bottom w:type="dxa" w:w="0"/>
          <w:right w:type="dxa" w:w="0"/>
        </w:tblCellMar>
        <w:tblLook w:val="04A0" w:firstRow="1" w:lastRow="0" w:firstColumn="1" w:lastColumn="0" w:noHBand="0" w:noVBand="1"/>
      </w:tblPr>
      <w:tblGrid>
        <w:gridCol w:w="2050"/>
        <w:gridCol w:w="6062"/>
        <w:gridCol w:w="1300"/>
      </w:tblGrid>
      <w:tr>
        <w:trPr>
          <w:cantSplit/>
          <w:tblHeader/>
        </w:trPr>
        <w:tc>
          <w:tcPr>
            <w:tcW w:type="dxa" w:w="2050"/>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Frequency</w:t>
            </w:r>
          </w:p>
        </w:tc>
        <w:tc>
          <w:tcPr>
            <w:tcW w:type="dxa" w:w="6062"/>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Output</w:t>
            </w:r>
          </w:p>
        </w:tc>
        <w:tc>
          <w:tcPr>
            <w:tcW w:type="dxa" w:w="1300"/>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To</w:t>
            </w:r>
          </w:p>
        </w:tc>
      </w:tr>
      <w:tr>
        <w:trPr>
          <w:cantSplit/>
        </w:trPr>
        <w:tc>
          <w:tcPr>
            <w:tcW w:type="dxa" w:w="205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Daily, on active days</w:t>
            </w:r>
          </w:p>
        </w:tc>
        <w:tc>
          <w:tcPr>
            <w:tcW w:type="dxa" w:w="606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End of work update: completed, outstanding, parts awaited, assets unavailable, next actions</w:t>
            </w:r>
          </w:p>
        </w:tc>
        <w:tc>
          <w:tcPr>
            <w:tcW w:type="dxa" w:w="13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Dean</w:t>
            </w:r>
          </w:p>
        </w:tc>
      </w:tr>
      <w:tr>
        <w:trPr>
          <w:cantSplit/>
        </w:trPr>
        <w:tc>
          <w:tcPr>
            <w:tcW w:type="dxa" w:w="205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Weekly, Friday</w:t>
            </w:r>
          </w:p>
        </w:tc>
        <w:tc>
          <w:tcPr>
            <w:tcW w:type="dxa" w:w="606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Six-week maintenance lookahead and compliance exceptions</w:t>
            </w:r>
          </w:p>
        </w:tc>
        <w:tc>
          <w:tcPr>
            <w:tcW w:type="dxa" w:w="13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Dean</w:t>
            </w:r>
          </w:p>
        </w:tc>
      </w:tr>
      <w:tr>
        <w:trPr>
          <w:cantSplit/>
        </w:trPr>
        <w:tc>
          <w:tcPr>
            <w:tcW w:type="dxa" w:w="205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Monthly</w:t>
            </w:r>
          </w:p>
        </w:tc>
        <w:tc>
          <w:tcPr>
            <w:tcW w:type="dxa" w:w="606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Fleet report: compliance status, availability, defect position, spend against budget, check-sheet audit rate</w:t>
            </w:r>
          </w:p>
        </w:tc>
        <w:tc>
          <w:tcPr>
            <w:tcW w:type="dxa" w:w="13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Dean</w:t>
            </w:r>
          </w:p>
        </w:tc>
      </w:tr>
      <w:tr>
        <w:trPr>
          <w:cantSplit/>
        </w:trPr>
        <w:tc>
          <w:tcPr>
            <w:tcW w:type="dxa" w:w="205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Immediately</w:t>
            </w:r>
          </w:p>
        </w:tc>
        <w:tc>
          <w:tcPr>
            <w:tcW w:type="dxa" w:w="606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Any asset made unsafe, any statutory date at risk, any insurance or licence gap, any spend heading above limit</w:t>
            </w:r>
          </w:p>
        </w:tc>
        <w:tc>
          <w:tcPr>
            <w:tcW w:type="dxa" w:w="13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Dean</w:t>
            </w:r>
          </w:p>
        </w:tc>
      </w:tr>
    </w:tbl>
    <w:p>
      <w:pPr>
        <w:spacing w:before="0" w:after="0" w:line="560" w:lineRule="exact"/>
      </w:pPr>
    </w:p>
    <w:bookmarkStart w:id="109" w:name="pb"/>
    <w:tbl>
      <w:tblPr>
        <w:tblW w:type="dxa" w:w="9412"/>
        <w:tblBorders>
          <w:top w:val="nil"/>
          <w:left w:val="nil"/>
          <w:bottom w:val="nil"/>
          <w:right w:val="nil"/>
          <w:insideH w:val="nil"/>
          <w:insideV w:val="nil"/>
        </w:tblBorders>
        <w:tblLayout w:type="fixed"/>
        <w:tblCellMar>
          <w:top w:type="dxa" w:w="0"/>
          <w:left w:type="dxa" w:w="0"/>
          <w:bottom w:type="dxa" w:w="0"/>
          <w:right w:type="dxa" w:w="0"/>
        </w:tblCellMar>
        <w:tblLook w:val="04A0" w:firstRow="1" w:lastRow="0" w:firstColumn="1" w:lastColumn="0" w:noHBand="0" w:noVBand="1"/>
      </w:tblPr>
      <w:tblGrid>
        <w:gridCol w:w="9412"/>
      </w:tblGrid>
      <w:tr>
        <w:trPr>
          <w:trHeight w:val="1000" w:hRule="atLeast"/>
          <w:cantSplit/>
        </w:trPr>
        <w:tc>
          <w:tcPr>
            <w:tcW w:type="dxa" w:w="9412"/>
            <w:shd w:val="clear" w:color="auto" w:fill="B11722"/>
            <w:tcMar>
              <w:top w:type="dxa" w:w="200"/>
              <w:left w:type="dxa" w:w="300"/>
              <w:bottom w:type="dxa" w:w="210"/>
              <w:right w:type="dxa" w:w="300"/>
            </w:tcMar>
            <w:vAlign w:val="center"/>
          </w:tcPr>
          <w:p>
            <w:pPr>
              <w:spacing w:before="0" w:after="40" w:line="220" w:lineRule="exact"/>
            </w:pPr>
            <w:r>
              <w:rPr>
                <w:rFonts w:ascii="Archivo" w:hAnsi="Archivo" w:cs="Archivo" w:eastAsia="Archivo"/>
                <w:b/>
                <w:bCs/>
                <w:color w:val="F2B8B8"/>
                <w:spacing w:val="80"/>
                <w:sz w:val="17"/>
                <w:szCs w:val="17"/>
              </w:rPr>
              <w:t xml:space="preserve">PART B</w:t>
            </w:r>
          </w:p>
          <w:p>
            <w:pPr>
              <w:spacing w:before="0" w:after="0" w:line="330" w:lineRule="exact"/>
            </w:pPr>
            <w:r>
              <w:rPr>
                <w:rFonts w:ascii="Archivo" w:hAnsi="Archivo" w:cs="Archivo" w:eastAsia="Archivo"/>
                <w:b/>
                <w:bCs/>
                <w:color w:val="FFFFFF"/>
                <w:spacing w:val="10"/>
                <w:sz w:val="27"/>
                <w:szCs w:val="27"/>
              </w:rPr>
              <w:t xml:space="preserve">Mechanical services — booked work</w:t>
            </w:r>
          </w:p>
        </w:tc>
      </w:tr>
    </w:tbl>
    <w:bookmarkEnd w:id="109"/>
    <w:p>
      <w:pPr>
        <w:spacing w:before="0" w:after="0" w:line="200" w:lineRule="exact"/>
      </w:pPr>
    </w:p>
    <w:bookmarkStart w:id="110" w:name="s08"/>
    <w:p>
      <w:pPr>
        <w:pStyle w:val="Heading1"/>
        <w:keepNext/>
        <w:keepLines/>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8</w:t>
      </w:r>
      <w:r>
        <w:rPr>
          <w:rFonts w:ascii="Archivo" w:hAnsi="Archivo" w:cs="Archivo" w:eastAsia="Archivo"/>
          <w:color w:val="B11722"/>
          <w:sz w:val="26"/>
          <w:szCs w:val="26"/>
        </w:rPr>
        <w:tab/>
      </w:r>
      <w:r>
        <w:rPr>
          <w:rFonts w:ascii="Archivo" w:hAnsi="Archivo" w:cs="Archivo" w:eastAsia="Archivo"/>
          <w:b/>
          <w:bCs/>
          <w:color w:val="16191C"/>
          <w:sz w:val="26"/>
          <w:szCs w:val="26"/>
        </w:rPr>
        <w:t xml:space="preserve">Mechanical duties</w:t>
      </w:r>
    </w:p>
    <w:bookmarkEnd w:id="110"/>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8.1</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Inspection, servicing, fault finding, diagnosis and repair of in-scope assets, to the manufacturer’s requirements and applicable law, using safe methods and suitable equipment.</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8.2</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Follow accepted work through to resolution or formal handover. Where the fault is beyond competence, arrange approved specialist support rather than leaving it open.</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8.3</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Complete a </w:t>
      </w:r>
      <w:r>
        <w:rPr>
          <w:rFonts w:ascii="IBM Plex Sans" w:hAnsi="IBM Plex Sans" w:cs="IBM Plex Sans" w:eastAsia="IBM Plex Sans"/>
          <w:b/>
          <w:bCs/>
          <w:color w:val="16191C"/>
          <w:sz w:val="20"/>
          <w:szCs w:val="20"/>
        </w:rPr>
        <w:t xml:space="preserve">job card</w:t>
      </w:r>
      <w:r>
        <w:rPr>
          <w:rFonts w:ascii="IBM Plex Sans" w:hAnsi="IBM Plex Sans" w:cs="IBM Plex Sans" w:eastAsia="IBM Plex Sans"/>
          <w:color w:val="23272B"/>
          <w:sz w:val="20"/>
          <w:szCs w:val="20"/>
        </w:rPr>
        <w:t xml:space="preserve"> for every task by the end of the next working day: asset ID, date, mileage or hours, diagnosis, work done, parts, labour, travel, tests, outstanding defects and the competent person releasing the asset.</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8.4</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No asset returns to service without release evidence from a competent person. Statutory examinations and specialist work require the appropriate competence and independence; routine servicing does not substitute for them.</w:t>
      </w:r>
    </w:p>
    <w:p>
      <w:pPr>
        <w:tabs>
          <w:tab w:val="left" w:pos="624"/>
        </w:tabs>
        <w:spacing w:before="0" w:after="0" w:line="272" w:lineRule="auto"/>
        <w:ind w:left="624" w:hanging="624"/>
      </w:pPr>
      <w:r>
        <w:rPr>
          <w:rFonts w:ascii="IBM Plex Sans" w:hAnsi="IBM Plex Sans" w:cs="IBM Plex Sans" w:eastAsia="IBM Plex Sans"/>
          <w:b/>
          <w:bCs/>
          <w:color w:val="8E1019"/>
          <w:sz w:val="20"/>
          <w:szCs w:val="20"/>
        </w:rPr>
        <w:t xml:space="preserve">8.5</w:t>
      </w:r>
      <w:r>
        <w:rPr>
          <w:rFonts w:ascii="IBM Plex Sans" w:hAnsi="IBM Plex Sans" w:cs="IBM Plex Sans" w:eastAsia="IBM Plex Sans"/>
          <w:color w:val="23272B"/>
          <w:sz w:val="20"/>
          <w:szCs w:val="20"/>
        </w:rPr>
        <w:tab/>
      </w:r>
      <w:r>
        <w:rPr>
          <w:rFonts w:ascii="IBM Plex Sans" w:hAnsi="IBM Plex Sans" w:cs="IBM Plex Sans" w:eastAsia="IBM Plex Sans"/>
          <w:b/>
          <w:bCs/>
          <w:color w:val="16191C"/>
          <w:sz w:val="20"/>
          <w:szCs w:val="20"/>
        </w:rPr>
        <w:t xml:space="preserve">Priority.</w:t>
      </w:r>
      <w:r>
        <w:rPr>
          <w:rFonts w:ascii="IBM Plex Sans" w:hAnsi="IBM Plex Sans" w:cs="IBM Plex Sans" w:eastAsia="IBM Plex Sans"/>
          <w:color w:val="23272B"/>
          <w:sz w:val="20"/>
          <w:szCs w:val="20"/>
        </w:rPr>
        <w:t xml:space="preserve"> Company work booked or committed under this role takes precedence over external customers during agreed committed time. Outside committed time, external work is unrestricted, subject to Section 12.</w:t>
      </w:r>
    </w:p>
    <w:bookmarkStart w:id="111" w:name="s09"/>
    <w:p>
      <w:pPr>
        <w:pStyle w:val="Heading1"/>
        <w:keepNext/>
        <w:keepLines/>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9</w:t>
      </w:r>
      <w:r>
        <w:rPr>
          <w:rFonts w:ascii="Archivo" w:hAnsi="Archivo" w:cs="Archivo" w:eastAsia="Archivo"/>
          <w:color w:val="B11722"/>
          <w:sz w:val="26"/>
          <w:szCs w:val="26"/>
        </w:rPr>
        <w:tab/>
      </w:r>
      <w:r>
        <w:rPr>
          <w:rFonts w:ascii="Archivo" w:hAnsi="Archivo" w:cs="Archivo" w:eastAsia="Archivo"/>
          <w:b/>
          <w:bCs/>
          <w:color w:val="16191C"/>
          <w:sz w:val="26"/>
          <w:szCs w:val="26"/>
        </w:rPr>
        <w:t xml:space="preserve">Authority and limits</w:t>
      </w:r>
    </w:p>
    <w:bookmarkEnd w:id="111"/>
    <w:p>
      <w:pPr>
        <w:spacing w:before="0" w:after="0" w:line="60" w:lineRule="exact"/>
      </w:pPr>
    </w:p>
    <w:tbl>
      <w:tblPr>
        <w:tblW w:type="dxa" w:w="9412"/>
        <w:tblBorders>
          <w:top w:val="nil"/>
          <w:left w:val="nil"/>
          <w:bottom w:val="single" w:sz="4" w:color="E4E7EA"/>
          <w:right w:val="nil"/>
          <w:insideH w:val="single" w:sz="4" w:color="EEF0F2"/>
          <w:insideV w:val="nil"/>
        </w:tblBorders>
        <w:tblLayout w:type="fixed"/>
        <w:tblCellMar>
          <w:top w:type="dxa" w:w="0"/>
          <w:left w:type="dxa" w:w="0"/>
          <w:bottom w:type="dxa" w:w="0"/>
          <w:right w:type="dxa" w:w="0"/>
        </w:tblCellMar>
        <w:tblLook w:val="04A0" w:firstRow="1" w:lastRow="0" w:firstColumn="1" w:lastColumn="0" w:noHBand="0" w:noVBand="1"/>
      </w:tblPr>
      <w:tblGrid>
        <w:gridCol w:w="5312"/>
        <w:gridCol w:w="4100"/>
      </w:tblGrid>
      <w:tr>
        <w:trPr>
          <w:cantSplit/>
          <w:tblHeader/>
        </w:trPr>
        <w:tc>
          <w:tcPr>
            <w:tcW w:type="dxa" w:w="5312"/>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Item</w:t>
            </w:r>
          </w:p>
        </w:tc>
        <w:tc>
          <w:tcPr>
            <w:tcW w:type="dxa" w:w="4100"/>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Limit</w:t>
            </w:r>
          </w:p>
        </w:tc>
      </w:tr>
      <w:tr>
        <w:trPr>
          <w:cantSplit/>
        </w:trPr>
        <w:tc>
          <w:tcPr>
            <w:tcW w:type="dxa" w:w="5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Parts or repair, single item, no prior approval</w:t>
            </w:r>
          </w:p>
        </w:tc>
        <w:tc>
          <w:tcPr>
            <w:tcW w:type="dxa" w:w="41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w:t>
            </w:r>
            <w:r>
              <w:rPr>
                <w:rFonts w:ascii="IBM Plex Sans" w:hAnsi="IBM Plex Sans" w:cs="IBM Plex Sans" w:eastAsia="IBM Plex Sans"/>
                <w:b/>
                <w:bCs/>
                <w:color w:val="8E1019"/>
                <w:sz w:val="19"/>
                <w:szCs w:val="19"/>
                <w:shd w:val="clear" w:color="auto" w:fill="FBEAEB"/>
              </w:rPr>
              <w:t xml:space="preserve">[        ]</w:t>
            </w:r>
          </w:p>
        </w:tc>
      </w:tr>
      <w:tr>
        <w:trPr>
          <w:cantSplit/>
        </w:trPr>
        <w:tc>
          <w:tcPr>
            <w:tcW w:type="dxa" w:w="531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Parts or repair, per asset per month, no prior approval</w:t>
            </w:r>
          </w:p>
        </w:tc>
        <w:tc>
          <w:tcPr>
            <w:tcW w:type="dxa" w:w="41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w:t>
            </w:r>
            <w:r>
              <w:rPr>
                <w:rFonts w:ascii="IBM Plex Sans" w:hAnsi="IBM Plex Sans" w:cs="IBM Plex Sans" w:eastAsia="IBM Plex Sans"/>
                <w:b/>
                <w:bCs/>
                <w:color w:val="8E1019"/>
                <w:sz w:val="19"/>
                <w:szCs w:val="19"/>
                <w:shd w:val="clear" w:color="auto" w:fill="FBEAEB"/>
              </w:rPr>
              <w:t xml:space="preserve">[        ]</w:t>
            </w:r>
          </w:p>
        </w:tc>
      </w:tr>
      <w:tr>
        <w:trPr>
          <w:cantSplit/>
        </w:trPr>
        <w:tc>
          <w:tcPr>
            <w:tcW w:type="dxa" w:w="5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Comparative quotes required above</w:t>
            </w:r>
          </w:p>
        </w:tc>
        <w:tc>
          <w:tcPr>
            <w:tcW w:type="dxa" w:w="41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w:t>
            </w:r>
            <w:r>
              <w:rPr>
                <w:rFonts w:ascii="IBM Plex Sans" w:hAnsi="IBM Plex Sans" w:cs="IBM Plex Sans" w:eastAsia="IBM Plex Sans"/>
                <w:b/>
                <w:bCs/>
                <w:color w:val="8E1019"/>
                <w:sz w:val="19"/>
                <w:szCs w:val="19"/>
                <w:shd w:val="clear" w:color="auto" w:fill="FBEAEB"/>
              </w:rPr>
              <w:t xml:space="preserve">[        ]</w:t>
            </w:r>
          </w:p>
        </w:tc>
      </w:tr>
      <w:tr>
        <w:trPr>
          <w:cantSplit/>
        </w:trPr>
        <w:tc>
          <w:tcPr>
            <w:tcW w:type="dxa" w:w="531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Plant or vehicle hire</w:t>
            </w:r>
          </w:p>
        </w:tc>
        <w:tc>
          <w:tcPr>
            <w:tcW w:type="dxa" w:w="41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Prior written approval in all cases</w:t>
            </w:r>
          </w:p>
        </w:tc>
      </w:tr>
      <w:tr>
        <w:trPr>
          <w:cantSplit/>
        </w:trPr>
        <w:tc>
          <w:tcPr>
            <w:tcW w:type="dxa" w:w="5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Engaging a third-party supplier at Company cost</w:t>
            </w:r>
          </w:p>
        </w:tc>
        <w:tc>
          <w:tcPr>
            <w:tcW w:type="dxa" w:w="41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Prior written approval above £</w:t>
            </w:r>
            <w:r>
              <w:rPr>
                <w:rFonts w:ascii="IBM Plex Sans" w:hAnsi="IBM Plex Sans" w:cs="IBM Plex Sans" w:eastAsia="IBM Plex Sans"/>
                <w:b/>
                <w:bCs/>
                <w:color w:val="8E1019"/>
                <w:sz w:val="19"/>
                <w:szCs w:val="19"/>
                <w:shd w:val="clear" w:color="auto" w:fill="FBEAEB"/>
              </w:rPr>
              <w:t xml:space="preserve">[        ]</w:t>
            </w:r>
          </w:p>
        </w:tc>
      </w:tr>
      <w:tr>
        <w:trPr>
          <w:cantSplit/>
        </w:trPr>
        <w:tc>
          <w:tcPr>
            <w:tcW w:type="dxa" w:w="531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Emergency make-safe action, no prior approval</w:t>
            </w:r>
          </w:p>
        </w:tc>
        <w:tc>
          <w:tcPr>
            <w:tcW w:type="dxa" w:w="41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w:t>
            </w: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 , notify Dean same day</w:t>
            </w:r>
          </w:p>
        </w:tc>
      </w:tr>
      <w:tr>
        <w:trPr>
          <w:cantSplit/>
        </w:trPr>
        <w:tc>
          <w:tcPr>
            <w:tcW w:type="dxa" w:w="5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Approver</w:t>
            </w:r>
          </w:p>
        </w:tc>
        <w:tc>
          <w:tcPr>
            <w:tcW w:type="dxa" w:w="41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Dean Bradley;  deputy </w:t>
            </w:r>
            <w:r>
              <w:rPr>
                <w:rFonts w:ascii="IBM Plex Sans" w:hAnsi="IBM Plex Sans" w:cs="IBM Plex Sans" w:eastAsia="IBM Plex Sans"/>
                <w:b/>
                <w:bCs/>
                <w:color w:val="8E1019"/>
                <w:sz w:val="19"/>
                <w:szCs w:val="19"/>
                <w:shd w:val="clear" w:color="auto" w:fill="FBEAEB"/>
              </w:rPr>
              <w:t xml:space="preserve">[ name ]</w:t>
            </w:r>
          </w:p>
        </w:tc>
      </w:tr>
    </w:tbl>
    <w:p>
      <w:pPr>
        <w:spacing w:before="0" w:after="0" w:line="260" w:lineRule="exact"/>
      </w:pPr>
    </w:p>
    <w:p>
      <w:pPr>
        <w:tabs>
          <w:tab w:val="left" w:pos="624"/>
        </w:tabs>
        <w:spacing w:before="0" w:after="0" w:line="272" w:lineRule="auto"/>
        <w:ind w:left="624" w:hanging="624"/>
      </w:pPr>
      <w:r>
        <w:rPr>
          <w:rFonts w:ascii="IBM Plex Sans" w:hAnsi="IBM Plex Sans" w:cs="IBM Plex Sans" w:eastAsia="IBM Plex Sans"/>
          <w:b/>
          <w:bCs/>
          <w:color w:val="8E1019"/>
          <w:sz w:val="20"/>
          <w:szCs w:val="20"/>
        </w:rPr>
        <w:t xml:space="preserve">9.1</w:t>
      </w:r>
      <w:r>
        <w:rPr>
          <w:rFonts w:ascii="IBM Plex Sans" w:hAnsi="IBM Plex Sans" w:cs="IBM Plex Sans" w:eastAsia="IBM Plex Sans"/>
          <w:color w:val="23272B"/>
          <w:sz w:val="20"/>
          <w:szCs w:val="20"/>
        </w:rPr>
        <w:tab/>
      </w:r>
      <w:r>
        <w:rPr>
          <w:rFonts w:ascii="IBM Plex Sans" w:hAnsi="IBM Plex Sans" w:cs="IBM Plex Sans" w:eastAsia="IBM Plex Sans"/>
          <w:b/>
          <w:bCs/>
          <w:color w:val="16191C"/>
          <w:sz w:val="20"/>
          <w:szCs w:val="20"/>
        </w:rPr>
        <w:t xml:space="preserve">No splitting of orders</w:t>
      </w:r>
      <w:r>
        <w:rPr>
          <w:rFonts w:ascii="IBM Plex Sans" w:hAnsi="IBM Plex Sans" w:cs="IBM Plex Sans" w:eastAsia="IBM Plex Sans"/>
          <w:color w:val="23272B"/>
          <w:sz w:val="20"/>
          <w:szCs w:val="20"/>
        </w:rPr>
        <w:t xml:space="preserve"> to stay under a limit. Where approval cannot be obtained, stop and seek instructions; take only the minimum action reasonably necessary to prevent imminent harm.</w:t>
      </w:r>
    </w:p>
    <w:bookmarkStart w:id="112" w:name="s10"/>
    <w:p>
      <w:pPr>
        <w:pStyle w:val="Heading1"/>
        <w:keepNext/>
        <w:keepLines/>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10</w:t>
      </w:r>
      <w:r>
        <w:rPr>
          <w:rFonts w:ascii="Archivo" w:hAnsi="Archivo" w:cs="Archivo" w:eastAsia="Archivo"/>
          <w:color w:val="B11722"/>
          <w:sz w:val="26"/>
          <w:szCs w:val="26"/>
        </w:rPr>
        <w:tab/>
      </w:r>
      <w:r>
        <w:rPr>
          <w:rFonts w:ascii="Archivo" w:hAnsi="Archivo" w:cs="Archivo" w:eastAsia="Archivo"/>
          <w:b/>
          <w:bCs/>
          <w:color w:val="16191C"/>
          <w:sz w:val="26"/>
          <w:szCs w:val="26"/>
        </w:rPr>
        <w:t xml:space="preserve">Time, commitment and remuneration</w:t>
      </w:r>
    </w:p>
    <w:bookmarkEnd w:id="112"/>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10.1</w:t>
      </w:r>
      <w:r>
        <w:rPr>
          <w:rFonts w:ascii="IBM Plex Sans" w:hAnsi="IBM Plex Sans" w:cs="IBM Plex Sans" w:eastAsia="IBM Plex Sans"/>
          <w:color w:val="23272B"/>
          <w:sz w:val="20"/>
          <w:szCs w:val="20"/>
        </w:rPr>
        <w:tab/>
      </w:r>
      <w:r>
        <w:rPr>
          <w:rFonts w:ascii="IBM Plex Sans" w:hAnsi="IBM Plex Sans" w:cs="IBM Plex Sans" w:eastAsia="IBM Plex Sans"/>
          <w:b/>
          <w:bCs/>
          <w:color w:val="16191C"/>
          <w:sz w:val="20"/>
          <w:szCs w:val="20"/>
        </w:rPr>
        <w:t xml:space="preserve">Committed time.</w:t>
      </w:r>
      <w:r>
        <w:rPr>
          <w:rFonts w:ascii="IBM Plex Sans" w:hAnsi="IBM Plex Sans" w:cs="IBM Plex Sans" w:eastAsia="IBM Plex Sans"/>
          <w:color w:val="23272B"/>
          <w:sz w:val="20"/>
          <w:szCs w:val="20"/>
        </w:rPr>
        <w:t xml:space="preserve"> </w:t>
      </w:r>
      <w:r>
        <w:rPr>
          <w:rFonts w:ascii="IBM Plex Sans" w:hAnsi="IBM Plex Sans" w:cs="IBM Plex Sans" w:eastAsia="IBM Plex Sans"/>
          <w:b/>
          <w:bCs/>
          <w:color w:val="8E1019"/>
          <w:sz w:val="20"/>
          <w:szCs w:val="20"/>
          <w:shd w:val="clear" w:color="auto" w:fill="FBEAEB"/>
        </w:rPr>
        <w:t xml:space="preserve">[    ]</w:t>
      </w:r>
      <w:r>
        <w:rPr>
          <w:rFonts w:ascii="IBM Plex Sans" w:hAnsi="IBM Plex Sans" w:cs="IBM Plex Sans" w:eastAsia="IBM Plex Sans"/>
          <w:color w:val="23272B"/>
          <w:sz w:val="20"/>
          <w:szCs w:val="20"/>
        </w:rPr>
        <w:t xml:space="preserve"> days or </w:t>
      </w:r>
      <w:r>
        <w:rPr>
          <w:rFonts w:ascii="IBM Plex Sans" w:hAnsi="IBM Plex Sans" w:cs="IBM Plex Sans" w:eastAsia="IBM Plex Sans"/>
          <w:b/>
          <w:bCs/>
          <w:color w:val="8E1019"/>
          <w:sz w:val="20"/>
          <w:szCs w:val="20"/>
          <w:shd w:val="clear" w:color="auto" w:fill="FBEAEB"/>
        </w:rPr>
        <w:t xml:space="preserve">[    ]</w:t>
      </w:r>
      <w:r>
        <w:rPr>
          <w:rFonts w:ascii="IBM Plex Sans" w:hAnsi="IBM Plex Sans" w:cs="IBM Plex Sans" w:eastAsia="IBM Plex Sans"/>
          <w:color w:val="23272B"/>
          <w:sz w:val="20"/>
          <w:szCs w:val="20"/>
        </w:rPr>
        <w:t xml:space="preserve"> hours per week for Part A fleet management, on </w:t>
      </w:r>
      <w:r>
        <w:rPr>
          <w:rFonts w:ascii="IBM Plex Sans" w:hAnsi="IBM Plex Sans" w:cs="IBM Plex Sans" w:eastAsia="IBM Plex Sans"/>
          <w:b/>
          <w:bCs/>
          <w:color w:val="8E1019"/>
          <w:sz w:val="20"/>
          <w:szCs w:val="20"/>
          <w:shd w:val="clear" w:color="auto" w:fill="FBEAEB"/>
        </w:rPr>
        <w:t xml:space="preserve">[ days ]</w:t>
      </w:r>
      <w:r>
        <w:rPr>
          <w:rFonts w:ascii="IBM Plex Sans" w:hAnsi="IBM Plex Sans" w:cs="IBM Plex Sans" w:eastAsia="IBM Plex Sans"/>
          <w:color w:val="23272B"/>
          <w:sz w:val="20"/>
          <w:szCs w:val="20"/>
        </w:rPr>
        <w:t xml:space="preserve">. This is a standing commitment, not a bookable slot, and is not displaced by external work without prior agreement.</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10.2</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Part B mechanical work is booked in addition and confirmed in writing under clause 4.2 of the Subcontract Mechanic Agreement, or forms part of the employed hours under Route A.</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10.3</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Remuneration:</w:t>
      </w:r>
    </w:p>
    <w:tbl>
      <w:tblPr>
        <w:tblW w:type="dxa" w:w="9412"/>
        <w:tblBorders>
          <w:top w:val="nil"/>
          <w:left w:val="nil"/>
          <w:bottom w:val="single" w:sz="4" w:color="E4E7EA"/>
          <w:right w:val="nil"/>
          <w:insideH w:val="single" w:sz="4" w:color="EEF0F2"/>
          <w:insideV w:val="nil"/>
        </w:tblBorders>
        <w:tblLayout w:type="fixed"/>
        <w:tblCellMar>
          <w:top w:type="dxa" w:w="0"/>
          <w:left w:type="dxa" w:w="0"/>
          <w:bottom w:type="dxa" w:w="0"/>
          <w:right w:type="dxa" w:w="0"/>
        </w:tblCellMar>
        <w:tblLook w:val="04A0" w:firstRow="1" w:lastRow="0" w:firstColumn="1" w:lastColumn="0" w:noHBand="0" w:noVBand="1"/>
      </w:tblPr>
      <w:tblGrid>
        <w:gridCol w:w="4100"/>
        <w:gridCol w:w="5312"/>
      </w:tblGrid>
      <w:tr>
        <w:trPr>
          <w:cantSplit/>
          <w:tblHeader/>
        </w:trPr>
        <w:tc>
          <w:tcPr>
            <w:tcW w:type="dxa" w:w="4100"/>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Item</w:t>
            </w:r>
          </w:p>
        </w:tc>
        <w:tc>
          <w:tcPr>
            <w:tcW w:type="dxa" w:w="5312"/>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Agreed detail</w:t>
            </w:r>
          </w:p>
        </w:tc>
      </w:tr>
      <w:tr>
        <w:trPr>
          <w:cantSplit/>
        </w:trPr>
        <w:tc>
          <w:tcPr>
            <w:tcW w:type="dxa" w:w="41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Part A retainer or salary</w:t>
            </w:r>
          </w:p>
        </w:tc>
        <w:tc>
          <w:tcPr>
            <w:tcW w:type="dxa" w:w="5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w:t>
            </w: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 per </w:t>
            </w:r>
            <w:r>
              <w:rPr>
                <w:rFonts w:ascii="IBM Plex Sans" w:hAnsi="IBM Plex Sans" w:cs="IBM Plex Sans" w:eastAsia="IBM Plex Sans"/>
                <w:b/>
                <w:bCs/>
                <w:color w:val="8E1019"/>
                <w:sz w:val="19"/>
                <w:szCs w:val="19"/>
                <w:shd w:val="clear" w:color="auto" w:fill="FBEAEB"/>
              </w:rPr>
              <w:t xml:space="preserve">[ month / annum ]</w:t>
            </w:r>
          </w:p>
        </w:tc>
      </w:tr>
      <w:tr>
        <w:trPr>
          <w:cantSplit/>
        </w:trPr>
        <w:tc>
          <w:tcPr>
            <w:tcW w:type="dxa" w:w="41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Part B rate</w:t>
            </w:r>
          </w:p>
        </w:tc>
        <w:tc>
          <w:tcPr>
            <w:tcW w:type="dxa" w:w="531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w:t>
            </w: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 per hour  OR  £</w:t>
            </w: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 per day of </w:t>
            </w: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 hours</w:t>
            </w:r>
          </w:p>
        </w:tc>
      </w:tr>
      <w:tr>
        <w:trPr>
          <w:cantSplit/>
        </w:trPr>
        <w:tc>
          <w:tcPr>
            <w:tcW w:type="dxa" w:w="41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Travel, call out, out of hours</w:t>
            </w:r>
          </w:p>
        </w:tc>
        <w:tc>
          <w:tcPr>
            <w:tcW w:type="dxa" w:w="5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w:t>
            </w: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  /  £</w:t>
            </w: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  /  £</w:t>
            </w:r>
            <w:r>
              <w:rPr>
                <w:rFonts w:ascii="IBM Plex Sans" w:hAnsi="IBM Plex Sans" w:cs="IBM Plex Sans" w:eastAsia="IBM Plex Sans"/>
                <w:b/>
                <w:bCs/>
                <w:color w:val="8E1019"/>
                <w:sz w:val="19"/>
                <w:szCs w:val="19"/>
                <w:shd w:val="clear" w:color="auto" w:fill="FBEAEB"/>
              </w:rPr>
              <w:t xml:space="preserve">[        ]</w:t>
            </w:r>
          </w:p>
        </w:tc>
      </w:tr>
      <w:tr>
        <w:trPr>
          <w:cantSplit/>
        </w:trPr>
        <w:tc>
          <w:tcPr>
            <w:tcW w:type="dxa" w:w="41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Parts markup</w:t>
            </w:r>
          </w:p>
        </w:tc>
        <w:tc>
          <w:tcPr>
            <w:tcW w:type="dxa" w:w="531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 at cost  /  </w:t>
            </w: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 markup ]</w:t>
            </w:r>
          </w:p>
        </w:tc>
      </w:tr>
      <w:tr>
        <w:trPr>
          <w:cantSplit/>
        </w:trPr>
        <w:tc>
          <w:tcPr>
            <w:tcW w:type="dxa" w:w="41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Asset use: van, container, tools, fuel</w:t>
            </w:r>
          </w:p>
        </w:tc>
        <w:tc>
          <w:tcPr>
            <w:tcW w:type="dxa" w:w="5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 no cash charge, forming part of the consideration  /  £</w:t>
            </w: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 per </w:t>
            </w: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 ]</w:t>
            </w:r>
          </w:p>
        </w:tc>
      </w:tr>
      <w:tr>
        <w:trPr>
          <w:cantSplit/>
        </w:trPr>
        <w:tc>
          <w:tcPr>
            <w:tcW w:type="dxa" w:w="41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Tax and VAT treatment of asset use confirmed by</w:t>
            </w:r>
          </w:p>
        </w:tc>
        <w:tc>
          <w:tcPr>
            <w:tcW w:type="dxa" w:w="531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8E1019"/>
                <w:sz w:val="19"/>
                <w:szCs w:val="19"/>
                <w:shd w:val="clear" w:color="auto" w:fill="FBEAEB"/>
              </w:rPr>
              <w:t xml:space="preserve">[ name ]</w:t>
            </w:r>
            <w:r>
              <w:rPr>
                <w:rFonts w:ascii="IBM Plex Sans" w:hAnsi="IBM Plex Sans" w:cs="IBM Plex Sans" w:eastAsia="IBM Plex Sans"/>
                <w:color w:val="23272B"/>
                <w:sz w:val="19"/>
                <w:szCs w:val="19"/>
              </w:rPr>
              <w:t xml:space="preserve"> on </w:t>
            </w:r>
            <w:r>
              <w:rPr>
                <w:rFonts w:ascii="IBM Plex Sans" w:hAnsi="IBM Plex Sans" w:cs="IBM Plex Sans" w:eastAsia="IBM Plex Sans"/>
                <w:b/>
                <w:bCs/>
                <w:color w:val="8E1019"/>
                <w:sz w:val="19"/>
                <w:szCs w:val="19"/>
                <w:shd w:val="clear" w:color="auto" w:fill="FBEAEB"/>
              </w:rPr>
              <w:t xml:space="preserve">[ date ]</w:t>
            </w:r>
          </w:p>
        </w:tc>
      </w:tr>
      <w:tr>
        <w:trPr>
          <w:cantSplit/>
        </w:trPr>
        <w:tc>
          <w:tcPr>
            <w:tcW w:type="dxa" w:w="41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Rate review</w:t>
            </w:r>
          </w:p>
        </w:tc>
        <w:tc>
          <w:tcPr>
            <w:tcW w:type="dxa" w:w="5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Annually on </w:t>
            </w:r>
            <w:r>
              <w:rPr>
                <w:rFonts w:ascii="IBM Plex Sans" w:hAnsi="IBM Plex Sans" w:cs="IBM Plex Sans" w:eastAsia="IBM Plex Sans"/>
                <w:b/>
                <w:bCs/>
                <w:color w:val="8E1019"/>
                <w:sz w:val="19"/>
                <w:szCs w:val="19"/>
                <w:shd w:val="clear" w:color="auto" w:fill="FBEAEB"/>
              </w:rPr>
              <w:t xml:space="preserve">[ date ]</w:t>
            </w:r>
            <w:r>
              <w:rPr>
                <w:rFonts w:ascii="IBM Plex Sans" w:hAnsi="IBM Plex Sans" w:cs="IBM Plex Sans" w:eastAsia="IBM Plex Sans"/>
                <w:color w:val="23272B"/>
                <w:sz w:val="19"/>
                <w:szCs w:val="19"/>
              </w:rPr>
              <w:t xml:space="preserve">, by written agreement only</w:t>
            </w:r>
          </w:p>
        </w:tc>
      </w:tr>
    </w:tbl>
    <w:p>
      <w:pPr>
        <w:spacing w:before="0" w:after="0" w:line="260" w:lineRule="exact"/>
      </w:pPr>
    </w:p>
    <w:p>
      <w:pPr>
        <w:tabs>
          <w:tab w:val="left" w:pos="624"/>
        </w:tabs>
        <w:spacing w:before="0" w:after="0" w:line="272" w:lineRule="auto"/>
        <w:ind w:left="624" w:hanging="624"/>
      </w:pPr>
      <w:r>
        <w:rPr>
          <w:rFonts w:ascii="IBM Plex Sans" w:hAnsi="IBM Plex Sans" w:cs="IBM Plex Sans" w:eastAsia="IBM Plex Sans"/>
          <w:b/>
          <w:bCs/>
          <w:color w:val="8E1019"/>
          <w:sz w:val="20"/>
          <w:szCs w:val="20"/>
        </w:rPr>
        <w:t xml:space="preserve">10.4</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The asset-use arrangement at 10.3 must be checked for tax, VAT and benefit-in-kind treatment before signature. A “no cash charge” arrangement is consideration in kind, not an absence of value.</w:t>
      </w:r>
    </w:p>
    <w:bookmarkStart w:id="113" w:name="s11"/>
    <w:p>
      <w:pPr>
        <w:pStyle w:val="Heading1"/>
        <w:keepNext/>
        <w:keepLines/>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11</w:t>
      </w:r>
      <w:r>
        <w:rPr>
          <w:rFonts w:ascii="Archivo" w:hAnsi="Archivo" w:cs="Archivo" w:eastAsia="Archivo"/>
          <w:color w:val="B11722"/>
          <w:sz w:val="26"/>
          <w:szCs w:val="26"/>
        </w:rPr>
        <w:tab/>
      </w:r>
      <w:r>
        <w:rPr>
          <w:rFonts w:ascii="Archivo" w:hAnsi="Archivo" w:cs="Archivo" w:eastAsia="Archivo"/>
          <w:b/>
          <w:bCs/>
          <w:color w:val="16191C"/>
          <w:sz w:val="26"/>
          <w:szCs w:val="26"/>
        </w:rPr>
        <w:t xml:space="preserve">Company obligations</w:t>
      </w:r>
    </w:p>
    <w:bookmarkEnd w:id="113"/>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11.1</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Provide the complete asset register, ownership and finance status, and available service history at commencement.</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11.2</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Provide safe access to assets, a suitable and safe working location, and reasonable notice of operational demands.</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11.3</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Make decisions and give approvals within </w:t>
      </w:r>
      <w:r>
        <w:rPr>
          <w:rFonts w:ascii="IBM Plex Sans" w:hAnsi="IBM Plex Sans" w:cs="IBM Plex Sans" w:eastAsia="IBM Plex Sans"/>
          <w:b/>
          <w:bCs/>
          <w:color w:val="8E1019"/>
          <w:sz w:val="20"/>
          <w:szCs w:val="20"/>
          <w:shd w:val="clear" w:color="auto" w:fill="FBEAEB"/>
        </w:rPr>
        <w:t xml:space="preserve">[ one working day ]</w:t>
      </w:r>
      <w:r>
        <w:rPr>
          <w:rFonts w:ascii="IBM Plex Sans" w:hAnsi="IBM Plex Sans" w:cs="IBM Plex Sans" w:eastAsia="IBM Plex Sans"/>
          <w:color w:val="23272B"/>
          <w:sz w:val="20"/>
          <w:szCs w:val="20"/>
        </w:rPr>
        <w:t xml:space="preserve"> of a properly presented request, or accept the consequence of the delay.</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11.4</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Maintain motor and plant insurance, and confirm in writing that cover extends to the Fleet Manager, any approved substitute and the actual use.</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11.5</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Retain and discharge the Company’s own duties as owner, operator and employer. Nothing in this document transfers those duties.</w:t>
      </w:r>
    </w:p>
    <w:p>
      <w:pPr>
        <w:tabs>
          <w:tab w:val="left" w:pos="624"/>
        </w:tabs>
        <w:spacing w:before="0" w:after="0" w:line="272" w:lineRule="auto"/>
        <w:ind w:left="624" w:hanging="624"/>
      </w:pPr>
      <w:r>
        <w:rPr>
          <w:rFonts w:ascii="IBM Plex Sans" w:hAnsi="IBM Plex Sans" w:cs="IBM Plex Sans" w:eastAsia="IBM Plex Sans"/>
          <w:b/>
          <w:bCs/>
          <w:color w:val="8E1019"/>
          <w:sz w:val="20"/>
          <w:szCs w:val="20"/>
        </w:rPr>
        <w:t xml:space="preserve">11.6</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Resolve the land position for the 40 ft container, including the landholder’s identity and the access and collection arrangement, and record it at Appendix A.</w:t>
      </w:r>
    </w:p>
    <w:bookmarkStart w:id="114" w:name="s12"/>
    <w:p>
      <w:pPr>
        <w:pStyle w:val="Heading1"/>
        <w:keepNext/>
        <w:keepLines/>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12</w:t>
      </w:r>
      <w:r>
        <w:rPr>
          <w:rFonts w:ascii="Archivo" w:hAnsi="Archivo" w:cs="Archivo" w:eastAsia="Archivo"/>
          <w:color w:val="B11722"/>
          <w:sz w:val="26"/>
          <w:szCs w:val="26"/>
        </w:rPr>
        <w:tab/>
      </w:r>
      <w:r>
        <w:rPr>
          <w:rFonts w:ascii="Archivo" w:hAnsi="Archivo" w:cs="Archivo" w:eastAsia="Archivo"/>
          <w:b/>
          <w:bCs/>
          <w:color w:val="16191C"/>
          <w:sz w:val="26"/>
          <w:szCs w:val="26"/>
        </w:rPr>
        <w:t xml:space="preserve">Restrictions</w:t>
      </w:r>
    </w:p>
    <w:bookmarkEnd w:id="114"/>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12.1</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Company assets — van, container, tools, parts, fuel and accounts — are for authorised Company work only, except where a specific written permission is recorded in Schedule 2 of the Subcontract Mechanic Agreement.</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12.2</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No servicing or repair of another customer’s vehicles or plant in the Company container, or using Company tools, parts or fuel, without express written permission.</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12.3</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During this role and for </w:t>
      </w:r>
      <w:r>
        <w:rPr>
          <w:rFonts w:ascii="IBM Plex Sans" w:hAnsi="IBM Plex Sans" w:cs="IBM Plex Sans" w:eastAsia="IBM Plex Sans"/>
          <w:b/>
          <w:bCs/>
          <w:color w:val="8E1019"/>
          <w:sz w:val="20"/>
          <w:szCs w:val="20"/>
          <w:shd w:val="clear" w:color="auto" w:fill="FBEAEB"/>
        </w:rPr>
        <w:t xml:space="preserve">[ 6 ]</w:t>
      </w:r>
      <w:r>
        <w:rPr>
          <w:rFonts w:ascii="IBM Plex Sans" w:hAnsi="IBM Plex Sans" w:cs="IBM Plex Sans" w:eastAsia="IBM Plex Sans"/>
          <w:color w:val="23272B"/>
          <w:sz w:val="20"/>
          <w:szCs w:val="20"/>
        </w:rPr>
        <w:t xml:space="preserve"> months afterwards, do not solicit the Company’s clients, staff or subcontractors for competing services. This restriction is limited to what is reasonably necessary to protect the Company’s business connections.</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12.4</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Disclose in writing any existing or proposed work for a competitor of the Company, or any arrangement that could conflict with the fleet role, before accepting it.</w:t>
      </w:r>
    </w:p>
    <w:p>
      <w:pPr>
        <w:tabs>
          <w:tab w:val="left" w:pos="624"/>
        </w:tabs>
        <w:spacing w:before="0" w:after="0" w:line="272" w:lineRule="auto"/>
        <w:ind w:left="624" w:hanging="624"/>
      </w:pPr>
      <w:r>
        <w:rPr>
          <w:rFonts w:ascii="IBM Plex Sans" w:hAnsi="IBM Plex Sans" w:cs="IBM Plex Sans" w:eastAsia="IBM Plex Sans"/>
          <w:b/>
          <w:bCs/>
          <w:color w:val="8E1019"/>
          <w:sz w:val="20"/>
          <w:szCs w:val="20"/>
        </w:rPr>
        <w:t xml:space="preserve">12.5</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Confidential information — customer, pricing, fleet, cost and security information — is used only for authorised purposes and is not held on a personal device as the sole copy.</w:t>
      </w:r>
    </w:p>
    <w:bookmarkStart w:id="115" w:name="s13"/>
    <w:p>
      <w:pPr>
        <w:pStyle w:val="Heading1"/>
        <w:keepNext/>
        <w:keepLines/>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13</w:t>
      </w:r>
      <w:r>
        <w:rPr>
          <w:rFonts w:ascii="Archivo" w:hAnsi="Archivo" w:cs="Archivo" w:eastAsia="Archivo"/>
          <w:color w:val="B11722"/>
          <w:sz w:val="26"/>
          <w:szCs w:val="26"/>
        </w:rPr>
        <w:tab/>
      </w:r>
      <w:r>
        <w:rPr>
          <w:rFonts w:ascii="Archivo" w:hAnsi="Archivo" w:cs="Archivo" w:eastAsia="Archivo"/>
          <w:b/>
          <w:bCs/>
          <w:color w:val="16191C"/>
          <w:sz w:val="26"/>
          <w:szCs w:val="26"/>
        </w:rPr>
        <w:t xml:space="preserve">Out of scope</w:t>
      </w:r>
    </w:p>
    <w:bookmarkEnd w:id="115"/>
    <w:p>
      <w:pPr>
        <w:spacing w:before="0" w:after="100" w:line="272" w:lineRule="auto"/>
        <w:ind w:left="624"/>
      </w:pPr>
      <w:r>
        <w:rPr>
          <w:rFonts w:ascii="IBM Plex Sans" w:hAnsi="IBM Plex Sans" w:cs="IBM Plex Sans" w:eastAsia="IBM Plex Sans"/>
          <w:color w:val="23272B"/>
          <w:sz w:val="20"/>
          <w:szCs w:val="20"/>
        </w:rPr>
        <w:t xml:space="preserve">For the avoidance of doubt, the role does not include:</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Undisclosed pre-existing defects not identified in the commencement survey at Appendix A</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Statutory examinations requiring an independent competent person</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Asset purchase and disposal decisions, which remain with the Company</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Operator’s Licence holding or Transport Manager duties, unless separately and expressly appointed</w:t>
      </w:r>
    </w:p>
    <w:p>
      <w:pPr>
        <w:tabs>
          <w:tab w:val="left" w:pos="964"/>
        </w:tabs>
        <w:spacing w:before="0" w:after="70" w:line="268" w:lineRule="auto"/>
        <w:ind w:left="964" w:hanging="280"/>
      </w:pPr>
      <w:r>
        <w:rPr>
          <w:rFonts w:ascii="IBM Plex Sans" w:hAnsi="IBM Plex Sans" w:cs="IBM Plex Sans" w:eastAsia="IBM Plex Sans"/>
          <w:b/>
          <w:bCs/>
          <w:color w:val="B11722"/>
          <w:sz w:val="20"/>
          <w:szCs w:val="20"/>
        </w:rPr>
        <w:t xml:space="preserve">–</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Site operational decisions on plant deployment</w:t>
      </w:r>
    </w:p>
    <w:bookmarkStart w:id="116" w:name="s14"/>
    <w:p>
      <w:pPr>
        <w:pStyle w:val="Heading1"/>
        <w:keepNext/>
        <w:keepLines/>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14</w:t>
      </w:r>
      <w:r>
        <w:rPr>
          <w:rFonts w:ascii="Archivo" w:hAnsi="Archivo" w:cs="Archivo" w:eastAsia="Archivo"/>
          <w:color w:val="B11722"/>
          <w:sz w:val="26"/>
          <w:szCs w:val="26"/>
        </w:rPr>
        <w:tab/>
      </w:r>
      <w:r>
        <w:rPr>
          <w:rFonts w:ascii="Archivo" w:hAnsi="Archivo" w:cs="Archivo" w:eastAsia="Archivo"/>
          <w:b/>
          <w:bCs/>
          <w:color w:val="16191C"/>
          <w:sz w:val="26"/>
          <w:szCs w:val="26"/>
        </w:rPr>
        <w:t xml:space="preserve">Measures and review</w:t>
      </w:r>
    </w:p>
    <w:bookmarkEnd w:id="116"/>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14.1</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Performance is measured against Appendix C. These are service standards, not automatic financial penalties.</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14.2</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Review points: 30 days from the effective date, then monthly for three months, then quarterly. Each review records the evidence, Alex’s response, the agreed outcome, and the actions with owners and dates.</w:t>
      </w:r>
    </w:p>
    <w:p>
      <w:pPr>
        <w:tabs>
          <w:tab w:val="left" w:pos="624"/>
        </w:tabs>
        <w:spacing w:before="0" w:after="140" w:line="272" w:lineRule="auto"/>
        <w:ind w:left="624" w:hanging="624"/>
      </w:pPr>
      <w:r>
        <w:rPr>
          <w:rFonts w:ascii="IBM Plex Sans" w:hAnsi="IBM Plex Sans" w:cs="IBM Plex Sans" w:eastAsia="IBM Plex Sans"/>
          <w:b/>
          <w:bCs/>
          <w:color w:val="8E1019"/>
          <w:sz w:val="20"/>
          <w:szCs w:val="20"/>
        </w:rPr>
        <w:t xml:space="preserve">14.3</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Where a measure is missed, the Company will state the fact, the impact and the required correction with a reasonable deadline, and allow a response, before any formal step under clause 12 of the Subcontract Mechanic Agreement or the applicable employment procedure.</w:t>
      </w:r>
    </w:p>
    <w:p>
      <w:pPr>
        <w:tabs>
          <w:tab w:val="left" w:pos="624"/>
        </w:tabs>
        <w:spacing w:before="0" w:after="0" w:line="272" w:lineRule="auto"/>
        <w:ind w:left="624" w:hanging="624"/>
      </w:pPr>
      <w:r>
        <w:rPr>
          <w:rFonts w:ascii="IBM Plex Sans" w:hAnsi="IBM Plex Sans" w:cs="IBM Plex Sans" w:eastAsia="IBM Plex Sans"/>
          <w:b/>
          <w:bCs/>
          <w:color w:val="8E1019"/>
          <w:sz w:val="20"/>
          <w:szCs w:val="20"/>
        </w:rPr>
        <w:t xml:space="preserve">14.4</w:t>
      </w:r>
      <w:r>
        <w:rPr>
          <w:rFonts w:ascii="IBM Plex Sans" w:hAnsi="IBM Plex Sans" w:cs="IBM Plex Sans" w:eastAsia="IBM Plex Sans"/>
          <w:color w:val="23272B"/>
          <w:sz w:val="20"/>
          <w:szCs w:val="20"/>
        </w:rPr>
        <w:tab/>
      </w:r>
      <w:r>
        <w:rPr>
          <w:rFonts w:ascii="IBM Plex Sans" w:hAnsi="IBM Plex Sans" w:cs="IBM Plex Sans" w:eastAsia="IBM Plex Sans"/>
          <w:color w:val="23272B"/>
          <w:sz w:val="20"/>
          <w:szCs w:val="20"/>
        </w:rPr>
        <w:t xml:space="preserve">This document may be varied only in writing, signed by both parties.</w:t>
      </w:r>
    </w:p>
    <w:bookmarkStart w:id="117" w:name="s15"/>
    <w:p>
      <w:pPr>
        <w:pStyle w:val="Heading1"/>
        <w:keepNext/>
        <w:keepLines/>
        <w:pageBreakBefore/>
        <w:pBdr>
          <w:bottom w:val="single" w:sz="8" w:space="6" w:color="B11722"/>
        </w:pBdr>
        <w:tabs>
          <w:tab w:val="left" w:pos="624"/>
        </w:tabs>
        <w:spacing w:before="440" w:after="160" w:line="300" w:lineRule="exact"/>
        <w:ind w:left="624" w:hanging="624"/>
        <w:outlineLvl w:val="0"/>
      </w:pPr>
      <w:r>
        <w:rPr>
          <w:rFonts w:ascii="Archivo" w:hAnsi="Archivo" w:cs="Archivo" w:eastAsia="Archivo"/>
          <w:b/>
          <w:bCs/>
          <w:color w:val="B11722"/>
          <w:sz w:val="26"/>
          <w:szCs w:val="26"/>
        </w:rPr>
        <w:t xml:space="preserve">15</w:t>
      </w:r>
      <w:r>
        <w:rPr>
          <w:rFonts w:ascii="Archivo" w:hAnsi="Archivo" w:cs="Archivo" w:eastAsia="Archivo"/>
          <w:color w:val="B11722"/>
          <w:sz w:val="26"/>
          <w:szCs w:val="26"/>
        </w:rPr>
        <w:tab/>
      </w:r>
      <w:r>
        <w:rPr>
          <w:rFonts w:ascii="Archivo" w:hAnsi="Archivo" w:cs="Archivo" w:eastAsia="Archivo"/>
          <w:b/>
          <w:bCs/>
          <w:color w:val="16191C"/>
          <w:sz w:val="26"/>
          <w:szCs w:val="26"/>
        </w:rPr>
        <w:t xml:space="preserve">Acceptance</w:t>
      </w:r>
    </w:p>
    <w:bookmarkEnd w:id="117"/>
    <w:p>
      <w:pPr>
        <w:spacing w:before="0" w:after="300" w:line="272" w:lineRule="auto"/>
        <w:ind w:left="624"/>
      </w:pPr>
      <w:r>
        <w:rPr>
          <w:rFonts w:ascii="IBM Plex Sans" w:hAnsi="IBM Plex Sans" w:cs="IBM Plex Sans" w:eastAsia="IBM Plex Sans"/>
          <w:color w:val="23272B"/>
          <w:sz w:val="20"/>
          <w:szCs w:val="20"/>
        </w:rPr>
        <w:t xml:space="preserve">We agree the role, duties, authority, measures and commercial particulars set out above and in Appendices A to C.</w:t>
      </w:r>
    </w:p>
    <w:p>
      <w:pPr>
        <w:spacing w:before="0" w:after="100" w:line="260" w:lineRule="auto"/>
        <w:ind w:left="624"/>
      </w:pPr>
      <w:r>
        <w:rPr>
          <w:rFonts w:ascii="Archivo" w:hAnsi="Archivo" w:cs="Archivo" w:eastAsia="Archivo"/>
          <w:b/>
          <w:bCs/>
          <w:color w:val="8E1019"/>
          <w:sz w:val="19"/>
          <w:szCs w:val="19"/>
        </w:rPr>
        <w:t xml:space="preserve">For LG Howson Ltd</w:t>
      </w:r>
    </w:p>
    <w:tbl>
      <w:tblPr>
        <w:tblW w:type="dxa" w:w="8788"/>
        <w:tblInd w:type="dxa" w:w="624"/>
        <w:tblBorders>
          <w:top w:val="single" w:sz="4" w:color="C2C6CA"/>
          <w:left w:val="single" w:sz="4" w:color="C2C6CA"/>
          <w:bottom w:val="single" w:sz="4" w:color="C2C6CA"/>
          <w:right w:val="single" w:sz="4" w:color="C2C6CA"/>
          <w:insideH w:val="single" w:sz="4" w:color="E4E7EA"/>
          <w:insideV w:val="single" w:sz="4" w:color="C2C6CA"/>
        </w:tblBorders>
        <w:tblLayout w:type="fixed"/>
        <w:tblCellMar>
          <w:top w:type="dxa" w:w="0"/>
          <w:left w:type="dxa" w:w="0"/>
          <w:bottom w:type="dxa" w:w="0"/>
          <w:right w:type="dxa" w:w="0"/>
        </w:tblCellMar>
        <w:tblLook w:val="04A0" w:firstRow="1" w:lastRow="0" w:firstColumn="1" w:lastColumn="0" w:noHBand="0" w:noVBand="1"/>
      </w:tblPr>
      <w:tblGrid>
        <w:gridCol w:w="2600"/>
        <w:gridCol w:w="6188"/>
      </w:tblGrid>
      <w:tr>
        <w:trPr>
          <w:trHeight w:val="740" w:hRule="atLeast"/>
          <w:cantSplit/>
        </w:trPr>
        <w:tc>
          <w:tcPr>
            <w:tcW w:type="dxa" w:w="2600"/>
            <w:shd w:val="clear" w:color="auto" w:fill="FDF6F6"/>
            <w:tcMar>
              <w:top w:type="dxa" w:w="150"/>
              <w:left w:type="dxa" w:w="150"/>
              <w:bottom w:type="dxa" w:w="15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Name and position</w:t>
            </w:r>
          </w:p>
        </w:tc>
        <w:tc>
          <w:tcPr>
            <w:tcW w:type="dxa" w:w="6188"/>
            <w:tcMar>
              <w:top w:type="dxa" w:w="150"/>
              <w:left w:type="dxa" w:w="150"/>
              <w:bottom w:type="dxa" w:w="150"/>
              <w:right w:type="dxa" w:w="150"/>
            </w:tcMar>
            <w:vAlign w:val="center"/>
          </w:tcPr>
          <w:p>
            <w:pPr>
              <w:spacing w:after="0"/>
            </w:pPr>
          </w:p>
        </w:tc>
      </w:tr>
      <w:tr>
        <w:trPr>
          <w:trHeight w:val="740" w:hRule="atLeast"/>
          <w:cantSplit/>
        </w:trPr>
        <w:tc>
          <w:tcPr>
            <w:tcW w:type="dxa" w:w="2600"/>
            <w:shd w:val="clear" w:color="auto" w:fill="FDF6F6"/>
            <w:tcMar>
              <w:top w:type="dxa" w:w="150"/>
              <w:left w:type="dxa" w:w="150"/>
              <w:bottom w:type="dxa" w:w="15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Signature</w:t>
            </w:r>
          </w:p>
        </w:tc>
        <w:tc>
          <w:tcPr>
            <w:tcW w:type="dxa" w:w="6188"/>
            <w:tcMar>
              <w:top w:type="dxa" w:w="150"/>
              <w:left w:type="dxa" w:w="150"/>
              <w:bottom w:type="dxa" w:w="150"/>
              <w:right w:type="dxa" w:w="150"/>
            </w:tcMar>
            <w:vAlign w:val="center"/>
          </w:tcPr>
          <w:p>
            <w:pPr>
              <w:spacing w:after="0"/>
            </w:pPr>
          </w:p>
        </w:tc>
      </w:tr>
      <w:tr>
        <w:trPr>
          <w:trHeight w:val="740" w:hRule="atLeast"/>
          <w:cantSplit/>
        </w:trPr>
        <w:tc>
          <w:tcPr>
            <w:tcW w:type="dxa" w:w="2600"/>
            <w:shd w:val="clear" w:color="auto" w:fill="FDF6F6"/>
            <w:tcMar>
              <w:top w:type="dxa" w:w="150"/>
              <w:left w:type="dxa" w:w="150"/>
              <w:bottom w:type="dxa" w:w="15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Date</w:t>
            </w:r>
          </w:p>
        </w:tc>
        <w:tc>
          <w:tcPr>
            <w:tcW w:type="dxa" w:w="6188"/>
            <w:tcMar>
              <w:top w:type="dxa" w:w="150"/>
              <w:left w:type="dxa" w:w="150"/>
              <w:bottom w:type="dxa" w:w="150"/>
              <w:right w:type="dxa" w:w="150"/>
            </w:tcMar>
            <w:vAlign w:val="center"/>
          </w:tcPr>
          <w:p>
            <w:pPr>
              <w:spacing w:after="0"/>
            </w:pPr>
          </w:p>
        </w:tc>
      </w:tr>
    </w:tbl>
    <w:p>
      <w:pPr>
        <w:spacing w:before="0" w:after="0" w:line="480" w:lineRule="exact"/>
      </w:pPr>
    </w:p>
    <w:p>
      <w:pPr>
        <w:spacing w:before="0" w:after="100" w:line="260" w:lineRule="auto"/>
        <w:ind w:left="624"/>
      </w:pPr>
      <w:r>
        <w:rPr>
          <w:rFonts w:ascii="Archivo" w:hAnsi="Archivo" w:cs="Archivo" w:eastAsia="Archivo"/>
          <w:b/>
          <w:bCs/>
          <w:color w:val="8E1019"/>
          <w:sz w:val="19"/>
          <w:szCs w:val="19"/>
        </w:rPr>
        <w:t xml:space="preserve">Alex Kidd  [ personally / for [ entity ] ]</w:t>
      </w:r>
    </w:p>
    <w:tbl>
      <w:tblPr>
        <w:tblW w:type="dxa" w:w="8788"/>
        <w:tblInd w:type="dxa" w:w="624"/>
        <w:tblBorders>
          <w:top w:val="single" w:sz="4" w:color="C2C6CA"/>
          <w:left w:val="single" w:sz="4" w:color="C2C6CA"/>
          <w:bottom w:val="single" w:sz="4" w:color="C2C6CA"/>
          <w:right w:val="single" w:sz="4" w:color="C2C6CA"/>
          <w:insideH w:val="single" w:sz="4" w:color="E4E7EA"/>
          <w:insideV w:val="single" w:sz="4" w:color="C2C6CA"/>
        </w:tblBorders>
        <w:tblLayout w:type="fixed"/>
        <w:tblCellMar>
          <w:top w:type="dxa" w:w="0"/>
          <w:left w:type="dxa" w:w="0"/>
          <w:bottom w:type="dxa" w:w="0"/>
          <w:right w:type="dxa" w:w="0"/>
        </w:tblCellMar>
        <w:tblLook w:val="04A0" w:firstRow="1" w:lastRow="0" w:firstColumn="1" w:lastColumn="0" w:noHBand="0" w:noVBand="1"/>
      </w:tblPr>
      <w:tblGrid>
        <w:gridCol w:w="2600"/>
        <w:gridCol w:w="6188"/>
      </w:tblGrid>
      <w:tr>
        <w:trPr>
          <w:trHeight w:val="740" w:hRule="atLeast"/>
          <w:cantSplit/>
        </w:trPr>
        <w:tc>
          <w:tcPr>
            <w:tcW w:type="dxa" w:w="2600"/>
            <w:shd w:val="clear" w:color="auto" w:fill="FDF6F6"/>
            <w:tcMar>
              <w:top w:type="dxa" w:w="150"/>
              <w:left w:type="dxa" w:w="150"/>
              <w:bottom w:type="dxa" w:w="15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Name and capacity</w:t>
            </w:r>
          </w:p>
        </w:tc>
        <w:tc>
          <w:tcPr>
            <w:tcW w:type="dxa" w:w="6188"/>
            <w:tcMar>
              <w:top w:type="dxa" w:w="150"/>
              <w:left w:type="dxa" w:w="150"/>
              <w:bottom w:type="dxa" w:w="150"/>
              <w:right w:type="dxa" w:w="150"/>
            </w:tcMar>
            <w:vAlign w:val="center"/>
          </w:tcPr>
          <w:p>
            <w:pPr>
              <w:spacing w:after="0"/>
            </w:pPr>
          </w:p>
        </w:tc>
      </w:tr>
      <w:tr>
        <w:trPr>
          <w:trHeight w:val="740" w:hRule="atLeast"/>
          <w:cantSplit/>
        </w:trPr>
        <w:tc>
          <w:tcPr>
            <w:tcW w:type="dxa" w:w="2600"/>
            <w:shd w:val="clear" w:color="auto" w:fill="FDF6F6"/>
            <w:tcMar>
              <w:top w:type="dxa" w:w="150"/>
              <w:left w:type="dxa" w:w="150"/>
              <w:bottom w:type="dxa" w:w="15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Signature</w:t>
            </w:r>
          </w:p>
        </w:tc>
        <w:tc>
          <w:tcPr>
            <w:tcW w:type="dxa" w:w="6188"/>
            <w:tcMar>
              <w:top w:type="dxa" w:w="150"/>
              <w:left w:type="dxa" w:w="150"/>
              <w:bottom w:type="dxa" w:w="150"/>
              <w:right w:type="dxa" w:w="150"/>
            </w:tcMar>
            <w:vAlign w:val="center"/>
          </w:tcPr>
          <w:p>
            <w:pPr>
              <w:spacing w:after="0"/>
            </w:pPr>
          </w:p>
        </w:tc>
      </w:tr>
      <w:tr>
        <w:trPr>
          <w:trHeight w:val="740" w:hRule="atLeast"/>
          <w:cantSplit/>
        </w:trPr>
        <w:tc>
          <w:tcPr>
            <w:tcW w:type="dxa" w:w="2600"/>
            <w:shd w:val="clear" w:color="auto" w:fill="FDF6F6"/>
            <w:tcMar>
              <w:top w:type="dxa" w:w="150"/>
              <w:left w:type="dxa" w:w="150"/>
              <w:bottom w:type="dxa" w:w="15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Date</w:t>
            </w:r>
          </w:p>
        </w:tc>
        <w:tc>
          <w:tcPr>
            <w:tcW w:type="dxa" w:w="6188"/>
            <w:tcMar>
              <w:top w:type="dxa" w:w="150"/>
              <w:left w:type="dxa" w:w="150"/>
              <w:bottom w:type="dxa" w:w="150"/>
              <w:right w:type="dxa" w:w="150"/>
            </w:tcMar>
            <w:vAlign w:val="center"/>
          </w:tcPr>
          <w:p>
            <w:pPr>
              <w:spacing w:after="0"/>
            </w:pPr>
          </w:p>
        </w:tc>
      </w:tr>
    </w:tbl>
    <w:p>
      <w:pPr>
        <w:spacing w:before="0" w:after="0" w:line="600" w:lineRule="exact"/>
      </w:pPr>
    </w:p>
    <w:tbl>
      <w:tblPr>
        <w:tblW w:type="dxa" w:w="9412"/>
        <w:tblBorders>
          <w:top w:val="nil"/>
          <w:left w:val="single" w:sz="24" w:color="C2C6CA"/>
          <w:bottom w:val="nil"/>
          <w:right w:val="nil"/>
          <w:insideH w:val="nil"/>
          <w:insideV w:val="nil"/>
        </w:tblBorders>
        <w:tblLayout w:type="fixed"/>
        <w:tblCellMar>
          <w:top w:type="dxa" w:w="0"/>
          <w:left w:type="dxa" w:w="0"/>
          <w:bottom w:type="dxa" w:w="0"/>
          <w:right w:type="dxa" w:w="0"/>
        </w:tblCellMar>
        <w:tblLook w:val="04A0" w:firstRow="1" w:lastRow="0" w:firstColumn="1" w:lastColumn="0" w:noHBand="0" w:noVBand="1"/>
      </w:tblPr>
      <w:tblGrid>
        <w:gridCol w:w="9412"/>
      </w:tblGrid>
      <w:tr>
        <w:trPr>
          <w:cantSplit/>
        </w:trPr>
        <w:tc>
          <w:tcPr>
            <w:tcW w:type="dxa" w:w="9412"/>
            <w:tcBorders>
              <w:left w:val="single" w:sz="24" w:color="C2C6CA"/>
            </w:tcBorders>
            <w:shd w:val="clear" w:color="auto" w:fill="F4F6F8"/>
            <w:tcMar>
              <w:top w:type="dxa" w:w="170"/>
              <w:left w:type="dxa" w:w="260"/>
              <w:bottom w:type="dxa" w:w="170"/>
              <w:right w:type="dxa" w:w="260"/>
            </w:tcMar>
            <w:vAlign w:val="center"/>
          </w:tcPr>
          <w:p>
            <w:pPr>
              <w:spacing w:before="0" w:after="60" w:line="200" w:lineRule="exact"/>
            </w:pPr>
            <w:r>
              <w:rPr>
                <w:rFonts w:ascii="Archivo" w:hAnsi="Archivo" w:cs="Archivo" w:eastAsia="Archivo"/>
                <w:b/>
                <w:bCs/>
                <w:color w:val="B11722"/>
                <w:spacing w:val="60"/>
                <w:sz w:val="16"/>
                <w:szCs w:val="16"/>
              </w:rPr>
              <w:t xml:space="preserve">COMPLETION CHECK</w:t>
            </w:r>
          </w:p>
          <w:p>
            <w:pPr>
              <w:spacing w:before="0" w:after="0" w:line="264" w:lineRule="auto"/>
            </w:pPr>
            <w:r>
              <w:rPr>
                <w:rFonts w:ascii="IBM Plex Sans" w:hAnsi="IBM Plex Sans" w:cs="IBM Plex Sans" w:eastAsia="IBM Plex Sans"/>
                <w:color w:val="23272B"/>
                <w:sz w:val="19"/>
                <w:szCs w:val="19"/>
              </w:rPr>
              <w:t xml:space="preserve">Do not sign until Section 1.3 (status route), Section 9 (authority limits) and Section 10 (time and remuneration) are complete, and Appendix A is completed, photographed and signed.</w:t>
            </w:r>
          </w:p>
        </w:tc>
      </w:tr>
    </w:tbl>
    <w:p>
      <w:pPr>
        <w:keepNext/>
        <w:pageBreakBefore/>
        <w:spacing w:before="0" w:after="60" w:line="240" w:lineRule="exact"/>
      </w:pPr>
      <w:r>
        <w:rPr>
          <w:rFonts w:ascii="Archivo" w:hAnsi="Archivo" w:cs="Archivo" w:eastAsia="Archivo"/>
          <w:b/>
          <w:bCs/>
          <w:color w:val="B11722"/>
          <w:spacing w:val="60"/>
          <w:sz w:val="17"/>
          <w:szCs w:val="17"/>
        </w:rPr>
        <w:t xml:space="preserve">APPENDIX A</w:t>
      </w:r>
    </w:p>
    <w:p>
      <w:pPr>
        <w:keepNext/>
        <w:pBdr>
          <w:bottom w:val="single" w:sz="8" w:space="8" w:color="B11722"/>
        </w:pBdr>
        <w:spacing w:before="0" w:after="200" w:line="380" w:lineRule="exact"/>
        <w:outlineLvl w:val="0"/>
      </w:pPr>
      <w:bookmarkStart w:id="118" w:name="apa"/>
      <w:r>
        <w:rPr>
          <w:rFonts w:ascii="Archivo" w:hAnsi="Archivo" w:cs="Archivo" w:eastAsia="Archivo"/>
          <w:b/>
          <w:bCs/>
          <w:color w:val="16191C"/>
          <w:sz w:val="32"/>
          <w:szCs w:val="32"/>
        </w:rPr>
        <w:t xml:space="preserve">Fleet asset register and commencement survey</w:t>
      </w:r>
      <w:bookmarkEnd w:id="118"/>
    </w:p>
    <w:p>
      <w:pPr>
        <w:spacing w:before="0" w:after="220" w:line="272" w:lineRule="auto"/>
        <w:ind w:left="0"/>
      </w:pPr>
      <w:r>
        <w:rPr>
          <w:rFonts w:ascii="IBM Plex Sans" w:hAnsi="IBM Plex Sans" w:cs="IBM Plex Sans" w:eastAsia="IBM Plex Sans"/>
          <w:color w:val="23272B"/>
          <w:sz w:val="20"/>
          <w:szCs w:val="20"/>
        </w:rPr>
        <w:t xml:space="preserve">To be completed jointly and photographed before the effective date. One row per asset; copy the block as required.</w:t>
      </w:r>
    </w:p>
    <w:tbl>
      <w:tblPr>
        <w:tblW w:type="dxa" w:w="9412"/>
        <w:tblBorders>
          <w:top w:val="nil"/>
          <w:left w:val="nil"/>
          <w:bottom w:val="single" w:sz="4" w:color="E4E7EA"/>
          <w:right w:val="nil"/>
          <w:insideH w:val="single" w:sz="4" w:color="EEF0F2"/>
          <w:insideV w:val="nil"/>
        </w:tblBorders>
        <w:tblLayout w:type="fixed"/>
        <w:tblCellMar>
          <w:top w:type="dxa" w:w="0"/>
          <w:left w:type="dxa" w:w="0"/>
          <w:bottom w:type="dxa" w:w="0"/>
          <w:right w:type="dxa" w:w="0"/>
        </w:tblCellMar>
        <w:tblLook w:val="04A0" w:firstRow="1" w:lastRow="0" w:firstColumn="1" w:lastColumn="0" w:noHBand="0" w:noVBand="1"/>
      </w:tblPr>
      <w:tblGrid>
        <w:gridCol w:w="3800"/>
        <w:gridCol w:w="5612"/>
      </w:tblGrid>
      <w:tr>
        <w:trPr>
          <w:cantSplit/>
          <w:tblHeader/>
        </w:trPr>
        <w:tc>
          <w:tcPr>
            <w:tcW w:type="dxa" w:w="3800"/>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Field</w:t>
            </w:r>
          </w:p>
        </w:tc>
        <w:tc>
          <w:tcPr>
            <w:tcW w:type="dxa" w:w="5612"/>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Entry</w:t>
            </w:r>
          </w:p>
        </w:tc>
      </w:tr>
      <w:tr>
        <w:trPr>
          <w:trHeight w:val="620" w:hRule="atLeast"/>
          <w:cantSplit/>
        </w:trPr>
        <w:tc>
          <w:tcPr>
            <w:tcW w:type="dxa" w:w="38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Asset type and description</w:t>
            </w:r>
          </w:p>
        </w:tc>
        <w:tc>
          <w:tcPr>
            <w:tcW w:type="dxa" w:w="5612"/>
            <w:tcMar>
              <w:top w:type="dxa" w:w="110"/>
              <w:left w:type="dxa" w:w="150"/>
              <w:bottom w:type="dxa" w:w="110"/>
              <w:right w:type="dxa" w:w="150"/>
            </w:tcMar>
            <w:vAlign w:val="center"/>
          </w:tcPr>
          <w:p>
            <w:pPr>
              <w:spacing w:before="40" w:after="40" w:line="256" w:lineRule="auto"/>
            </w:pPr>
          </w:p>
        </w:tc>
      </w:tr>
      <w:tr>
        <w:trPr>
          <w:trHeight w:val="620" w:hRule="atLeast"/>
          <w:cantSplit/>
        </w:trPr>
        <w:tc>
          <w:tcPr>
            <w:tcW w:type="dxa" w:w="38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Registration / serial / fleet number</w:t>
            </w:r>
          </w:p>
        </w:tc>
        <w:tc>
          <w:tcPr>
            <w:tcW w:type="dxa" w:w="5612"/>
            <w:shd w:val="clear" w:color="auto" w:fill="FDF6F6"/>
            <w:tcMar>
              <w:top w:type="dxa" w:w="110"/>
              <w:left w:type="dxa" w:w="150"/>
              <w:bottom w:type="dxa" w:w="110"/>
              <w:right w:type="dxa" w:w="150"/>
            </w:tcMar>
            <w:vAlign w:val="center"/>
          </w:tcPr>
          <w:p>
            <w:pPr>
              <w:spacing w:before="40" w:after="40" w:line="256" w:lineRule="auto"/>
            </w:pPr>
          </w:p>
        </w:tc>
      </w:tr>
      <w:tr>
        <w:trPr>
          <w:trHeight w:val="620" w:hRule="atLeast"/>
          <w:cantSplit/>
        </w:trPr>
        <w:tc>
          <w:tcPr>
            <w:tcW w:type="dxa" w:w="38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Year, make, model</w:t>
            </w:r>
          </w:p>
        </w:tc>
        <w:tc>
          <w:tcPr>
            <w:tcW w:type="dxa" w:w="5612"/>
            <w:tcMar>
              <w:top w:type="dxa" w:w="110"/>
              <w:left w:type="dxa" w:w="150"/>
              <w:bottom w:type="dxa" w:w="110"/>
              <w:right w:type="dxa" w:w="150"/>
            </w:tcMar>
            <w:vAlign w:val="center"/>
          </w:tcPr>
          <w:p>
            <w:pPr>
              <w:spacing w:before="40" w:after="40" w:line="256" w:lineRule="auto"/>
            </w:pPr>
          </w:p>
        </w:tc>
      </w:tr>
      <w:tr>
        <w:trPr>
          <w:trHeight w:val="620" w:hRule="atLeast"/>
          <w:cantSplit/>
        </w:trPr>
        <w:tc>
          <w:tcPr>
            <w:tcW w:type="dxa" w:w="38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Legal owner / finance or hire agreement</w:t>
            </w:r>
          </w:p>
        </w:tc>
        <w:tc>
          <w:tcPr>
            <w:tcW w:type="dxa" w:w="5612"/>
            <w:shd w:val="clear" w:color="auto" w:fill="FDF6F6"/>
            <w:tcMar>
              <w:top w:type="dxa" w:w="110"/>
              <w:left w:type="dxa" w:w="150"/>
              <w:bottom w:type="dxa" w:w="110"/>
              <w:right w:type="dxa" w:w="150"/>
            </w:tcMar>
            <w:vAlign w:val="center"/>
          </w:tcPr>
          <w:p>
            <w:pPr>
              <w:spacing w:before="40" w:after="40" w:line="256" w:lineRule="auto"/>
            </w:pPr>
          </w:p>
        </w:tc>
      </w:tr>
      <w:tr>
        <w:trPr>
          <w:trHeight w:val="620" w:hRule="atLeast"/>
          <w:cantSplit/>
        </w:trPr>
        <w:tc>
          <w:tcPr>
            <w:tcW w:type="dxa" w:w="38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Current location and keeper</w:t>
            </w:r>
          </w:p>
        </w:tc>
        <w:tc>
          <w:tcPr>
            <w:tcW w:type="dxa" w:w="5612"/>
            <w:tcMar>
              <w:top w:type="dxa" w:w="110"/>
              <w:left w:type="dxa" w:w="150"/>
              <w:bottom w:type="dxa" w:w="110"/>
              <w:right w:type="dxa" w:w="150"/>
            </w:tcMar>
            <w:vAlign w:val="center"/>
          </w:tcPr>
          <w:p>
            <w:pPr>
              <w:spacing w:before="40" w:after="40" w:line="256" w:lineRule="auto"/>
            </w:pPr>
          </w:p>
        </w:tc>
      </w:tr>
      <w:tr>
        <w:trPr>
          <w:trHeight w:val="620" w:hRule="atLeast"/>
          <w:cantSplit/>
        </w:trPr>
        <w:tc>
          <w:tcPr>
            <w:tcW w:type="dxa" w:w="38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Mileage or hours at survey</w:t>
            </w:r>
          </w:p>
        </w:tc>
        <w:tc>
          <w:tcPr>
            <w:tcW w:type="dxa" w:w="5612"/>
            <w:shd w:val="clear" w:color="auto" w:fill="FDF6F6"/>
            <w:tcMar>
              <w:top w:type="dxa" w:w="110"/>
              <w:left w:type="dxa" w:w="150"/>
              <w:bottom w:type="dxa" w:w="110"/>
              <w:right w:type="dxa" w:w="150"/>
            </w:tcMar>
            <w:vAlign w:val="center"/>
          </w:tcPr>
          <w:p>
            <w:pPr>
              <w:spacing w:before="40" w:after="40" w:line="256" w:lineRule="auto"/>
            </w:pPr>
          </w:p>
        </w:tc>
      </w:tr>
      <w:tr>
        <w:trPr>
          <w:trHeight w:val="620" w:hRule="atLeast"/>
          <w:cantSplit/>
        </w:trPr>
        <w:tc>
          <w:tcPr>
            <w:tcW w:type="dxa" w:w="38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Last service and next due</w:t>
            </w:r>
          </w:p>
        </w:tc>
        <w:tc>
          <w:tcPr>
            <w:tcW w:type="dxa" w:w="5612"/>
            <w:tcMar>
              <w:top w:type="dxa" w:w="110"/>
              <w:left w:type="dxa" w:w="150"/>
              <w:bottom w:type="dxa" w:w="110"/>
              <w:right w:type="dxa" w:w="150"/>
            </w:tcMar>
            <w:vAlign w:val="center"/>
          </w:tcPr>
          <w:p>
            <w:pPr>
              <w:spacing w:before="40" w:after="40" w:line="256" w:lineRule="auto"/>
            </w:pPr>
          </w:p>
        </w:tc>
      </w:tr>
      <w:tr>
        <w:trPr>
          <w:trHeight w:val="620" w:hRule="atLeast"/>
          <w:cantSplit/>
        </w:trPr>
        <w:tc>
          <w:tcPr>
            <w:tcW w:type="dxa" w:w="38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Last MOT or test and next due</w:t>
            </w:r>
          </w:p>
        </w:tc>
        <w:tc>
          <w:tcPr>
            <w:tcW w:type="dxa" w:w="5612"/>
            <w:shd w:val="clear" w:color="auto" w:fill="FDF6F6"/>
            <w:tcMar>
              <w:top w:type="dxa" w:w="110"/>
              <w:left w:type="dxa" w:w="150"/>
              <w:bottom w:type="dxa" w:w="110"/>
              <w:right w:type="dxa" w:w="150"/>
            </w:tcMar>
            <w:vAlign w:val="center"/>
          </w:tcPr>
          <w:p>
            <w:pPr>
              <w:spacing w:before="40" w:after="40" w:line="256" w:lineRule="auto"/>
            </w:pPr>
          </w:p>
        </w:tc>
      </w:tr>
      <w:tr>
        <w:trPr>
          <w:trHeight w:val="620" w:hRule="atLeast"/>
          <w:cantSplit/>
        </w:trPr>
        <w:tc>
          <w:tcPr>
            <w:tcW w:type="dxa" w:w="38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Last statutory examination and next due</w:t>
            </w:r>
          </w:p>
        </w:tc>
        <w:tc>
          <w:tcPr>
            <w:tcW w:type="dxa" w:w="5612"/>
            <w:tcMar>
              <w:top w:type="dxa" w:w="110"/>
              <w:left w:type="dxa" w:w="150"/>
              <w:bottom w:type="dxa" w:w="110"/>
              <w:right w:type="dxa" w:w="150"/>
            </w:tcMar>
            <w:vAlign w:val="center"/>
          </w:tcPr>
          <w:p>
            <w:pPr>
              <w:spacing w:before="40" w:after="40" w:line="256" w:lineRule="auto"/>
            </w:pPr>
          </w:p>
        </w:tc>
      </w:tr>
      <w:tr>
        <w:trPr>
          <w:trHeight w:val="620" w:hRule="atLeast"/>
          <w:cantSplit/>
        </w:trPr>
        <w:tc>
          <w:tcPr>
            <w:tcW w:type="dxa" w:w="38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Known defects at survey</w:t>
            </w:r>
          </w:p>
        </w:tc>
        <w:tc>
          <w:tcPr>
            <w:tcW w:type="dxa" w:w="5612"/>
            <w:shd w:val="clear" w:color="auto" w:fill="FDF6F6"/>
            <w:tcMar>
              <w:top w:type="dxa" w:w="110"/>
              <w:left w:type="dxa" w:w="150"/>
              <w:bottom w:type="dxa" w:w="110"/>
              <w:right w:type="dxa" w:w="150"/>
            </w:tcMar>
            <w:vAlign w:val="center"/>
          </w:tcPr>
          <w:p>
            <w:pPr>
              <w:spacing w:before="40" w:after="40" w:line="256" w:lineRule="auto"/>
            </w:pPr>
          </w:p>
        </w:tc>
      </w:tr>
      <w:tr>
        <w:trPr>
          <w:trHeight w:val="620" w:hRule="atLeast"/>
          <w:cantSplit/>
        </w:trPr>
        <w:tc>
          <w:tcPr>
            <w:tcW w:type="dxa" w:w="38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Condition and photograph reference</w:t>
            </w:r>
          </w:p>
        </w:tc>
        <w:tc>
          <w:tcPr>
            <w:tcW w:type="dxa" w:w="5612"/>
            <w:tcMar>
              <w:top w:type="dxa" w:w="110"/>
              <w:left w:type="dxa" w:w="150"/>
              <w:bottom w:type="dxa" w:w="110"/>
              <w:right w:type="dxa" w:w="150"/>
            </w:tcMar>
            <w:vAlign w:val="center"/>
          </w:tcPr>
          <w:p>
            <w:pPr>
              <w:spacing w:before="40" w:after="40" w:line="256" w:lineRule="auto"/>
            </w:pPr>
          </w:p>
        </w:tc>
      </w:tr>
      <w:tr>
        <w:trPr>
          <w:trHeight w:val="620" w:hRule="atLeast"/>
          <w:cantSplit/>
        </w:trPr>
        <w:tc>
          <w:tcPr>
            <w:tcW w:type="dxa" w:w="38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In scope from</w:t>
            </w:r>
          </w:p>
        </w:tc>
        <w:tc>
          <w:tcPr>
            <w:tcW w:type="dxa" w:w="5612"/>
            <w:shd w:val="clear" w:color="auto" w:fill="FDF6F6"/>
            <w:tcMar>
              <w:top w:type="dxa" w:w="110"/>
              <w:left w:type="dxa" w:w="150"/>
              <w:bottom w:type="dxa" w:w="110"/>
              <w:right w:type="dxa" w:w="150"/>
            </w:tcMar>
            <w:vAlign w:val="center"/>
          </w:tcPr>
          <w:p>
            <w:pPr>
              <w:spacing w:before="40" w:after="40" w:line="256" w:lineRule="auto"/>
            </w:pPr>
          </w:p>
        </w:tc>
      </w:tr>
    </w:tbl>
    <w:p>
      <w:pPr>
        <w:spacing w:before="0" w:after="0" w:line="420" w:lineRule="exact"/>
      </w:pPr>
    </w:p>
    <w:p>
      <w:pPr>
        <w:keepNext/>
        <w:spacing w:before="0" w:after="140" w:line="280" w:lineRule="exact"/>
      </w:pPr>
      <w:r>
        <w:rPr>
          <w:rFonts w:ascii="Archivo" w:hAnsi="Archivo" w:cs="Archivo" w:eastAsia="Archivo"/>
          <w:b/>
          <w:bCs/>
          <w:color w:val="8E1019"/>
          <w:sz w:val="21"/>
          <w:szCs w:val="21"/>
        </w:rPr>
        <w:t xml:space="preserve">Container position</w:t>
      </w:r>
    </w:p>
    <w:tbl>
      <w:tblPr>
        <w:tblW w:type="dxa" w:w="9412"/>
        <w:tblBorders>
          <w:top w:val="nil"/>
          <w:left w:val="nil"/>
          <w:bottom w:val="single" w:sz="4" w:color="E4E7EA"/>
          <w:right w:val="nil"/>
          <w:insideH w:val="single" w:sz="4" w:color="EEF0F2"/>
          <w:insideV w:val="nil"/>
        </w:tblBorders>
        <w:tblLayout w:type="fixed"/>
        <w:tblCellMar>
          <w:top w:type="dxa" w:w="0"/>
          <w:left w:type="dxa" w:w="0"/>
          <w:bottom w:type="dxa" w:w="0"/>
          <w:right w:type="dxa" w:w="0"/>
        </w:tblCellMar>
        <w:tblLook w:val="04A0" w:firstRow="1" w:lastRow="0" w:firstColumn="1" w:lastColumn="0" w:noHBand="0" w:noVBand="1"/>
      </w:tblPr>
      <w:tblGrid>
        <w:gridCol w:w="3800"/>
        <w:gridCol w:w="5612"/>
      </w:tblGrid>
      <w:tr>
        <w:trPr>
          <w:cantSplit/>
          <w:tblHeader/>
        </w:trPr>
        <w:tc>
          <w:tcPr>
            <w:tcW w:type="dxa" w:w="3800"/>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Item</w:t>
            </w:r>
          </w:p>
        </w:tc>
        <w:tc>
          <w:tcPr>
            <w:tcW w:type="dxa" w:w="5612"/>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Position</w:t>
            </w:r>
          </w:p>
        </w:tc>
      </w:tr>
      <w:tr>
        <w:trPr>
          <w:cantSplit/>
        </w:trPr>
        <w:tc>
          <w:tcPr>
            <w:tcW w:type="dxa" w:w="38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Landholder</w:t>
            </w:r>
          </w:p>
        </w:tc>
        <w:tc>
          <w:tcPr>
            <w:tcW w:type="dxa" w:w="56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8E1019"/>
                <w:sz w:val="19"/>
                <w:szCs w:val="19"/>
                <w:shd w:val="clear" w:color="auto" w:fill="FBEAEB"/>
              </w:rPr>
              <w:t xml:space="preserve">[                    ]</w:t>
            </w:r>
          </w:p>
        </w:tc>
      </w:tr>
      <w:tr>
        <w:trPr>
          <w:cantSplit/>
        </w:trPr>
        <w:tc>
          <w:tcPr>
            <w:tcW w:type="dxa" w:w="38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Written access permission</w:t>
            </w:r>
          </w:p>
        </w:tc>
        <w:tc>
          <w:tcPr>
            <w:tcW w:type="dxa" w:w="561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8E1019"/>
                <w:sz w:val="19"/>
                <w:szCs w:val="19"/>
                <w:shd w:val="clear" w:color="auto" w:fill="FBEAEB"/>
              </w:rPr>
              <w:t xml:space="preserve">[ attached / outstanding ]</w:t>
            </w:r>
          </w:p>
        </w:tc>
      </w:tr>
      <w:tr>
        <w:trPr>
          <w:cantSplit/>
        </w:trPr>
        <w:tc>
          <w:tcPr>
            <w:tcW w:type="dxa" w:w="38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Collection arrangement</w:t>
            </w:r>
          </w:p>
        </w:tc>
        <w:tc>
          <w:tcPr>
            <w:tcW w:type="dxa" w:w="56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8E1019"/>
                <w:sz w:val="19"/>
                <w:szCs w:val="19"/>
                <w:shd w:val="clear" w:color="auto" w:fill="FBEAEB"/>
              </w:rPr>
              <w:t xml:space="preserve">[                    ]</w:t>
            </w:r>
          </w:p>
        </w:tc>
      </w:tr>
      <w:tr>
        <w:trPr>
          <w:cantSplit/>
        </w:trPr>
        <w:tc>
          <w:tcPr>
            <w:tcW w:type="dxa" w:w="38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Resolved by</w:t>
            </w:r>
          </w:p>
        </w:tc>
        <w:tc>
          <w:tcPr>
            <w:tcW w:type="dxa" w:w="561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8E1019"/>
                <w:sz w:val="19"/>
                <w:szCs w:val="19"/>
                <w:shd w:val="clear" w:color="auto" w:fill="FBEAEB"/>
              </w:rPr>
              <w:t xml:space="preserve">[ date ]</w:t>
            </w:r>
          </w:p>
        </w:tc>
      </w:tr>
    </w:tbl>
    <w:p>
      <w:pPr>
        <w:keepNext/>
        <w:pageBreakBefore/>
        <w:spacing w:before="0" w:after="60" w:line="240" w:lineRule="exact"/>
      </w:pPr>
      <w:r>
        <w:rPr>
          <w:rFonts w:ascii="Archivo" w:hAnsi="Archivo" w:cs="Archivo" w:eastAsia="Archivo"/>
          <w:b/>
          <w:bCs/>
          <w:color w:val="B11722"/>
          <w:spacing w:val="60"/>
          <w:sz w:val="17"/>
          <w:szCs w:val="17"/>
        </w:rPr>
        <w:t xml:space="preserve">APPENDIX B</w:t>
      </w:r>
    </w:p>
    <w:p>
      <w:pPr>
        <w:keepNext/>
        <w:pBdr>
          <w:bottom w:val="single" w:sz="8" w:space="8" w:color="B11722"/>
        </w:pBdr>
        <w:spacing w:before="0" w:after="200" w:line="380" w:lineRule="exact"/>
        <w:outlineLvl w:val="0"/>
      </w:pPr>
      <w:bookmarkStart w:id="119" w:name="apb"/>
      <w:r>
        <w:rPr>
          <w:rFonts w:ascii="Archivo" w:hAnsi="Archivo" w:cs="Archivo" w:eastAsia="Archivo"/>
          <w:b/>
          <w:bCs/>
          <w:color w:val="16191C"/>
          <w:sz w:val="32"/>
          <w:szCs w:val="32"/>
        </w:rPr>
        <w:t xml:space="preserve">Compliance register, minimum content</w:t>
      </w:r>
      <w:bookmarkEnd w:id="119"/>
    </w:p>
    <w:p>
      <w:pPr>
        <w:spacing w:before="0" w:after="220" w:line="272" w:lineRule="auto"/>
        <w:ind w:left="0"/>
      </w:pPr>
      <w:r>
        <w:rPr>
          <w:rFonts w:ascii="IBM Plex Sans" w:hAnsi="IBM Plex Sans" w:cs="IBM Plex Sans" w:eastAsia="IBM Plex Sans"/>
          <w:color w:val="23272B"/>
          <w:sz w:val="20"/>
          <w:szCs w:val="20"/>
        </w:rPr>
        <w:t xml:space="preserve">Frequencies below are indicative. Confirm each against the manufacturer’s schedule, the insurer’s requirements and any Operator’s Licence undertakings before the register goes live.</w:t>
      </w:r>
    </w:p>
    <w:tbl>
      <w:tblPr>
        <w:tblW w:type="dxa" w:w="9412"/>
        <w:tblBorders>
          <w:top w:val="nil"/>
          <w:left w:val="nil"/>
          <w:bottom w:val="single" w:sz="4" w:color="E4E7EA"/>
          <w:right w:val="nil"/>
          <w:insideH w:val="single" w:sz="4" w:color="EEF0F2"/>
          <w:insideV w:val="nil"/>
        </w:tblBorders>
        <w:tblLayout w:type="fixed"/>
        <w:tblCellMar>
          <w:top w:type="dxa" w:w="0"/>
          <w:left w:type="dxa" w:w="0"/>
          <w:bottom w:type="dxa" w:w="0"/>
          <w:right w:type="dxa" w:w="0"/>
        </w:tblCellMar>
        <w:tblLook w:val="04A0" w:firstRow="1" w:lastRow="0" w:firstColumn="1" w:lastColumn="0" w:noHBand="0" w:noVBand="1"/>
      </w:tblPr>
      <w:tblGrid>
        <w:gridCol w:w="2500"/>
        <w:gridCol w:w="2600"/>
        <w:gridCol w:w="2312"/>
        <w:gridCol w:w="2000"/>
      </w:tblGrid>
      <w:tr>
        <w:trPr>
          <w:cantSplit/>
          <w:tblHeader/>
        </w:trPr>
        <w:tc>
          <w:tcPr>
            <w:tcW w:type="dxa" w:w="2500"/>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Item</w:t>
            </w:r>
          </w:p>
        </w:tc>
        <w:tc>
          <w:tcPr>
            <w:tcW w:type="dxa" w:w="2600"/>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Applies to</w:t>
            </w:r>
          </w:p>
        </w:tc>
        <w:tc>
          <w:tcPr>
            <w:tcW w:type="dxa" w:w="2312"/>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Frequency</w:t>
            </w:r>
          </w:p>
        </w:tc>
        <w:tc>
          <w:tcPr>
            <w:tcW w:type="dxa" w:w="2000"/>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Evidence held</w:t>
            </w:r>
          </w:p>
        </w:tc>
      </w:tr>
      <w:tr>
        <w:trPr>
          <w:cantSplit/>
        </w:trPr>
        <w:tc>
          <w:tcPr>
            <w:tcW w:type="dxa" w:w="25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MOT / annual test</w:t>
            </w:r>
          </w:p>
        </w:tc>
        <w:tc>
          <w:tcPr>
            <w:tcW w:type="dxa" w:w="26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Vehicles and trailers as applicable</w:t>
            </w:r>
          </w:p>
        </w:tc>
        <w:tc>
          <w:tcPr>
            <w:tcW w:type="dxa" w:w="2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Annual, or per class</w:t>
            </w:r>
          </w:p>
        </w:tc>
        <w:tc>
          <w:tcPr>
            <w:tcW w:type="dxa" w:w="20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Certificate</w:t>
            </w:r>
          </w:p>
        </w:tc>
      </w:tr>
      <w:tr>
        <w:trPr>
          <w:cantSplit/>
        </w:trPr>
        <w:tc>
          <w:tcPr>
            <w:tcW w:type="dxa" w:w="25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Vehicle excise duty</w:t>
            </w:r>
          </w:p>
        </w:tc>
        <w:tc>
          <w:tcPr>
            <w:tcW w:type="dxa" w:w="26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Road-going vehicles</w:t>
            </w:r>
          </w:p>
        </w:tc>
        <w:tc>
          <w:tcPr>
            <w:tcW w:type="dxa" w:w="231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Annual</w:t>
            </w:r>
          </w:p>
        </w:tc>
        <w:tc>
          <w:tcPr>
            <w:tcW w:type="dxa" w:w="20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DVLA record</w:t>
            </w:r>
          </w:p>
        </w:tc>
      </w:tr>
      <w:tr>
        <w:trPr>
          <w:cantSplit/>
        </w:trPr>
        <w:tc>
          <w:tcPr>
            <w:tcW w:type="dxa" w:w="25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Motor insurance</w:t>
            </w:r>
          </w:p>
        </w:tc>
        <w:tc>
          <w:tcPr>
            <w:tcW w:type="dxa" w:w="26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Road-going vehicles</w:t>
            </w:r>
          </w:p>
        </w:tc>
        <w:tc>
          <w:tcPr>
            <w:tcW w:type="dxa" w:w="2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Per policy</w:t>
            </w:r>
          </w:p>
        </w:tc>
        <w:tc>
          <w:tcPr>
            <w:tcW w:type="dxa" w:w="20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Policy schedule</w:t>
            </w:r>
          </w:p>
        </w:tc>
      </w:tr>
      <w:tr>
        <w:trPr>
          <w:cantSplit/>
        </w:trPr>
        <w:tc>
          <w:tcPr>
            <w:tcW w:type="dxa" w:w="25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Safety inspection</w:t>
            </w:r>
          </w:p>
        </w:tc>
        <w:tc>
          <w:tcPr>
            <w:tcW w:type="dxa" w:w="26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Goods vehicles under an O-Licence</w:t>
            </w:r>
          </w:p>
        </w:tc>
        <w:tc>
          <w:tcPr>
            <w:tcW w:type="dxa" w:w="231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Per licence undertaking</w:t>
            </w:r>
          </w:p>
        </w:tc>
        <w:tc>
          <w:tcPr>
            <w:tcW w:type="dxa" w:w="20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Inspection sheet</w:t>
            </w:r>
          </w:p>
        </w:tc>
      </w:tr>
      <w:tr>
        <w:trPr>
          <w:cantSplit/>
        </w:trPr>
        <w:tc>
          <w:tcPr>
            <w:tcW w:type="dxa" w:w="25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Planned service</w:t>
            </w:r>
          </w:p>
        </w:tc>
        <w:tc>
          <w:tcPr>
            <w:tcW w:type="dxa" w:w="26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All powered assets</w:t>
            </w:r>
          </w:p>
        </w:tc>
        <w:tc>
          <w:tcPr>
            <w:tcW w:type="dxa" w:w="2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Per manufacturer</w:t>
            </w:r>
          </w:p>
        </w:tc>
        <w:tc>
          <w:tcPr>
            <w:tcW w:type="dxa" w:w="20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Job card</w:t>
            </w:r>
          </w:p>
        </w:tc>
      </w:tr>
      <w:tr>
        <w:trPr>
          <w:cantSplit/>
        </w:trPr>
        <w:tc>
          <w:tcPr>
            <w:tcW w:type="dxa" w:w="25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LOLER thorough examination</w:t>
            </w:r>
          </w:p>
        </w:tc>
        <w:tc>
          <w:tcPr>
            <w:tcW w:type="dxa" w:w="26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Lifting equipment and accessories</w:t>
            </w:r>
          </w:p>
        </w:tc>
        <w:tc>
          <w:tcPr>
            <w:tcW w:type="dxa" w:w="231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Per regulation and duty</w:t>
            </w:r>
          </w:p>
        </w:tc>
        <w:tc>
          <w:tcPr>
            <w:tcW w:type="dxa" w:w="20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Report of thorough examination</w:t>
            </w:r>
          </w:p>
        </w:tc>
      </w:tr>
      <w:tr>
        <w:trPr>
          <w:cantSplit/>
        </w:trPr>
        <w:tc>
          <w:tcPr>
            <w:tcW w:type="dxa" w:w="25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PUWER inspection</w:t>
            </w:r>
          </w:p>
        </w:tc>
        <w:tc>
          <w:tcPr>
            <w:tcW w:type="dxa" w:w="26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Work equipment</w:t>
            </w:r>
          </w:p>
        </w:tc>
        <w:tc>
          <w:tcPr>
            <w:tcW w:type="dxa" w:w="2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Per risk assessment</w:t>
            </w:r>
          </w:p>
        </w:tc>
        <w:tc>
          <w:tcPr>
            <w:tcW w:type="dxa" w:w="20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Inspection record</w:t>
            </w:r>
          </w:p>
        </w:tc>
      </w:tr>
      <w:tr>
        <w:trPr>
          <w:cantSplit/>
        </w:trPr>
        <w:tc>
          <w:tcPr>
            <w:tcW w:type="dxa" w:w="25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Quick hitch check</w:t>
            </w:r>
          </w:p>
        </w:tc>
        <w:tc>
          <w:tcPr>
            <w:tcW w:type="dxa" w:w="26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Excavators</w:t>
            </w:r>
          </w:p>
        </w:tc>
        <w:tc>
          <w:tcPr>
            <w:tcW w:type="dxa" w:w="231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Per manufacturer</w:t>
            </w:r>
          </w:p>
        </w:tc>
        <w:tc>
          <w:tcPr>
            <w:tcW w:type="dxa" w:w="20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Check record</w:t>
            </w:r>
          </w:p>
        </w:tc>
      </w:tr>
      <w:tr>
        <w:trPr>
          <w:cantSplit/>
        </w:trPr>
        <w:tc>
          <w:tcPr>
            <w:tcW w:type="dxa" w:w="25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Tachograph calibration</w:t>
            </w:r>
          </w:p>
        </w:tc>
        <w:tc>
          <w:tcPr>
            <w:tcW w:type="dxa" w:w="26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Where fitted and in scope</w:t>
            </w:r>
          </w:p>
        </w:tc>
        <w:tc>
          <w:tcPr>
            <w:tcW w:type="dxa" w:w="2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Per regulation</w:t>
            </w:r>
          </w:p>
        </w:tc>
        <w:tc>
          <w:tcPr>
            <w:tcW w:type="dxa" w:w="20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Calibration certificate</w:t>
            </w:r>
          </w:p>
        </w:tc>
      </w:tr>
      <w:tr>
        <w:trPr>
          <w:cantSplit/>
        </w:trPr>
        <w:tc>
          <w:tcPr>
            <w:tcW w:type="dxa" w:w="25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Tachograph downloads</w:t>
            </w:r>
          </w:p>
        </w:tc>
        <w:tc>
          <w:tcPr>
            <w:tcW w:type="dxa" w:w="26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Where applicable</w:t>
            </w:r>
          </w:p>
        </w:tc>
        <w:tc>
          <w:tcPr>
            <w:tcW w:type="dxa" w:w="231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Driver card and vehicle unit, per regulation</w:t>
            </w:r>
          </w:p>
        </w:tc>
        <w:tc>
          <w:tcPr>
            <w:tcW w:type="dxa" w:w="20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Download log</w:t>
            </w:r>
          </w:p>
        </w:tc>
      </w:tr>
      <w:tr>
        <w:trPr>
          <w:cantSplit/>
        </w:trPr>
        <w:tc>
          <w:tcPr>
            <w:tcW w:type="dxa" w:w="25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Driver licence check</w:t>
            </w:r>
          </w:p>
        </w:tc>
        <w:tc>
          <w:tcPr>
            <w:tcW w:type="dxa" w:w="26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All drivers</w:t>
            </w:r>
          </w:p>
        </w:tc>
        <w:tc>
          <w:tcPr>
            <w:tcW w:type="dxa" w:w="2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Six-monthly minimum</w:t>
            </w:r>
          </w:p>
        </w:tc>
        <w:tc>
          <w:tcPr>
            <w:tcW w:type="dxa" w:w="20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DVLA check record</w:t>
            </w:r>
          </w:p>
        </w:tc>
      </w:tr>
      <w:tr>
        <w:trPr>
          <w:cantSplit/>
        </w:trPr>
        <w:tc>
          <w:tcPr>
            <w:tcW w:type="dxa" w:w="25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Daily walkaround check</w:t>
            </w:r>
          </w:p>
        </w:tc>
        <w:tc>
          <w:tcPr>
            <w:tcW w:type="dxa" w:w="26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Vehicles and plant in use</w:t>
            </w:r>
          </w:p>
        </w:tc>
        <w:tc>
          <w:tcPr>
            <w:tcW w:type="dxa" w:w="231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Each day of use</w:t>
            </w:r>
          </w:p>
        </w:tc>
        <w:tc>
          <w:tcPr>
            <w:tcW w:type="dxa" w:w="20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Check sheet</w:t>
            </w:r>
          </w:p>
        </w:tc>
      </w:tr>
      <w:tr>
        <w:trPr>
          <w:cantSplit/>
        </w:trPr>
        <w:tc>
          <w:tcPr>
            <w:tcW w:type="dxa" w:w="25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Hired-in plant certification</w:t>
            </w:r>
          </w:p>
        </w:tc>
        <w:tc>
          <w:tcPr>
            <w:tcW w:type="dxa" w:w="26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All hire</w:t>
            </w:r>
          </w:p>
        </w:tc>
        <w:tc>
          <w:tcPr>
            <w:tcW w:type="dxa" w:w="231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At point of hire</w:t>
            </w:r>
          </w:p>
        </w:tc>
        <w:tc>
          <w:tcPr>
            <w:tcW w:type="dxa" w:w="20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Supplier certificate</w:t>
            </w:r>
          </w:p>
        </w:tc>
      </w:tr>
    </w:tbl>
    <w:p>
      <w:pPr>
        <w:keepNext/>
        <w:pageBreakBefore/>
        <w:spacing w:before="0" w:after="60" w:line="240" w:lineRule="exact"/>
      </w:pPr>
      <w:r>
        <w:rPr>
          <w:rFonts w:ascii="Archivo" w:hAnsi="Archivo" w:cs="Archivo" w:eastAsia="Archivo"/>
          <w:b/>
          <w:bCs/>
          <w:color w:val="B11722"/>
          <w:spacing w:val="60"/>
          <w:sz w:val="17"/>
          <w:szCs w:val="17"/>
        </w:rPr>
        <w:t xml:space="preserve">APPENDIX C</w:t>
      </w:r>
    </w:p>
    <w:p>
      <w:pPr>
        <w:keepNext/>
        <w:pBdr>
          <w:bottom w:val="single" w:sz="8" w:space="8" w:color="B11722"/>
        </w:pBdr>
        <w:spacing w:before="0" w:after="200" w:line="380" w:lineRule="exact"/>
        <w:outlineLvl w:val="0"/>
      </w:pPr>
      <w:bookmarkStart w:id="120" w:name="apc"/>
      <w:r>
        <w:rPr>
          <w:rFonts w:ascii="Archivo" w:hAnsi="Archivo" w:cs="Archivo" w:eastAsia="Archivo"/>
          <w:b/>
          <w:bCs/>
          <w:color w:val="16191C"/>
          <w:sz w:val="32"/>
          <w:szCs w:val="32"/>
        </w:rPr>
        <w:t xml:space="preserve">Measures</w:t>
      </w:r>
      <w:bookmarkEnd w:id="120"/>
    </w:p>
    <w:p>
      <w:pPr>
        <w:spacing w:before="0" w:after="220" w:line="272" w:lineRule="auto"/>
        <w:ind w:left="0"/>
      </w:pPr>
      <w:r>
        <w:rPr>
          <w:rFonts w:ascii="IBM Plex Sans" w:hAnsi="IBM Plex Sans" w:cs="IBM Plex Sans" w:eastAsia="IBM Plex Sans"/>
          <w:color w:val="23272B"/>
          <w:sz w:val="20"/>
          <w:szCs w:val="20"/>
        </w:rPr>
        <w:t xml:space="preserve">Service standards for the role. Measured at each review point under Section 14.</w:t>
      </w:r>
    </w:p>
    <w:tbl>
      <w:tblPr>
        <w:tblW w:type="dxa" w:w="9412"/>
        <w:tblBorders>
          <w:top w:val="nil"/>
          <w:left w:val="nil"/>
          <w:bottom w:val="single" w:sz="4" w:color="E4E7EA"/>
          <w:right w:val="nil"/>
          <w:insideH w:val="single" w:sz="4" w:color="EEF0F2"/>
          <w:insideV w:val="nil"/>
        </w:tblBorders>
        <w:tblLayout w:type="fixed"/>
        <w:tblCellMar>
          <w:top w:type="dxa" w:w="0"/>
          <w:left w:type="dxa" w:w="0"/>
          <w:bottom w:type="dxa" w:w="0"/>
          <w:right w:type="dxa" w:w="0"/>
        </w:tblCellMar>
        <w:tblLook w:val="04A0" w:firstRow="1" w:lastRow="0" w:firstColumn="1" w:lastColumn="0" w:noHBand="0" w:noVBand="1"/>
      </w:tblPr>
      <w:tblGrid>
        <w:gridCol w:w="4300"/>
        <w:gridCol w:w="2650"/>
        <w:gridCol w:w="2462"/>
      </w:tblGrid>
      <w:tr>
        <w:trPr>
          <w:cantSplit/>
          <w:tblHeader/>
        </w:trPr>
        <w:tc>
          <w:tcPr>
            <w:tcW w:type="dxa" w:w="4300"/>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Measure</w:t>
            </w:r>
          </w:p>
        </w:tc>
        <w:tc>
          <w:tcPr>
            <w:tcW w:type="dxa" w:w="2650"/>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Target</w:t>
            </w:r>
          </w:p>
        </w:tc>
        <w:tc>
          <w:tcPr>
            <w:tcW w:type="dxa" w:w="2462"/>
            <w:shd w:val="clear" w:color="auto" w:fill="B11722"/>
            <w:tcMar>
              <w:top w:type="dxa" w:w="110"/>
              <w:left w:type="dxa" w:w="150"/>
              <w:bottom w:type="dxa" w:w="110"/>
              <w:right w:type="dxa" w:w="150"/>
            </w:tcMar>
            <w:vAlign w:val="center"/>
          </w:tcPr>
          <w:p>
            <w:pPr>
              <w:spacing w:before="40" w:after="40" w:line="256" w:lineRule="auto"/>
            </w:pPr>
            <w:r>
              <w:rPr>
                <w:rFonts w:ascii="Archivo" w:hAnsi="Archivo" w:cs="Archivo" w:eastAsia="Archivo"/>
                <w:b/>
                <w:bCs/>
                <w:color w:val="FFFFFF"/>
                <w:sz w:val="17"/>
                <w:szCs w:val="17"/>
              </w:rPr>
              <w:t xml:space="preserve">Evidence</w:t>
            </w:r>
          </w:p>
        </w:tc>
      </w:tr>
      <w:tr>
        <w:trPr>
          <w:cantSplit/>
        </w:trPr>
        <w:tc>
          <w:tcPr>
            <w:tcW w:type="dxa" w:w="43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Statutory items overdue</w:t>
            </w:r>
          </w:p>
        </w:tc>
        <w:tc>
          <w:tcPr>
            <w:tcW w:type="dxa" w:w="265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Zero at all times</w:t>
            </w:r>
          </w:p>
        </w:tc>
        <w:tc>
          <w:tcPr>
            <w:tcW w:type="dxa" w:w="246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Compliance register</w:t>
            </w:r>
          </w:p>
        </w:tc>
      </w:tr>
      <w:tr>
        <w:trPr>
          <w:cantSplit/>
        </w:trPr>
        <w:tc>
          <w:tcPr>
            <w:tcW w:type="dxa" w:w="43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Statutory items at risk escalated before expiry</w:t>
            </w:r>
          </w:p>
        </w:tc>
        <w:tc>
          <w:tcPr>
            <w:tcW w:type="dxa" w:w="265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100%</w:t>
            </w:r>
          </w:p>
        </w:tc>
        <w:tc>
          <w:tcPr>
            <w:tcW w:type="dxa" w:w="246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Escalation record</w:t>
            </w:r>
          </w:p>
        </w:tc>
      </w:tr>
      <w:tr>
        <w:trPr>
          <w:cantSplit/>
        </w:trPr>
        <w:tc>
          <w:tcPr>
            <w:tcW w:type="dxa" w:w="43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Fleet availability, in-scope assets fit for use</w:t>
            </w:r>
          </w:p>
        </w:tc>
        <w:tc>
          <w:tcPr>
            <w:tcW w:type="dxa" w:w="265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 monthly</w:t>
            </w:r>
          </w:p>
        </w:tc>
        <w:tc>
          <w:tcPr>
            <w:tcW w:type="dxa" w:w="246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Defect log and register</w:t>
            </w:r>
          </w:p>
        </w:tc>
      </w:tr>
      <w:tr>
        <w:trPr>
          <w:cantSplit/>
        </w:trPr>
        <w:tc>
          <w:tcPr>
            <w:tcW w:type="dxa" w:w="43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Unplanned off-road days</w:t>
            </w:r>
          </w:p>
        </w:tc>
        <w:tc>
          <w:tcPr>
            <w:tcW w:type="dxa" w:w="265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Below </w:t>
            </w: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 per month</w:t>
            </w:r>
          </w:p>
        </w:tc>
        <w:tc>
          <w:tcPr>
            <w:tcW w:type="dxa" w:w="246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Defect log</w:t>
            </w:r>
          </w:p>
        </w:tc>
      </w:tr>
      <w:tr>
        <w:trPr>
          <w:cantSplit/>
        </w:trPr>
        <w:tc>
          <w:tcPr>
            <w:tcW w:type="dxa" w:w="43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Committed time honoured</w:t>
            </w:r>
          </w:p>
        </w:tc>
        <w:tc>
          <w:tcPr>
            <w:tcW w:type="dxa" w:w="265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100%, exceptions agreed in advance</w:t>
            </w:r>
          </w:p>
        </w:tc>
        <w:tc>
          <w:tcPr>
            <w:tcW w:type="dxa" w:w="246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Attendance log</w:t>
            </w:r>
          </w:p>
        </w:tc>
      </w:tr>
      <w:tr>
        <w:trPr>
          <w:cantSplit/>
        </w:trPr>
        <w:tc>
          <w:tcPr>
            <w:tcW w:type="dxa" w:w="43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Accepted booking displaced by external work without agreement</w:t>
            </w:r>
          </w:p>
        </w:tc>
        <w:tc>
          <w:tcPr>
            <w:tcW w:type="dxa" w:w="265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Zero</w:t>
            </w:r>
          </w:p>
        </w:tc>
        <w:tc>
          <w:tcPr>
            <w:tcW w:type="dxa" w:w="246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Booking record</w:t>
            </w:r>
          </w:p>
        </w:tc>
      </w:tr>
      <w:tr>
        <w:trPr>
          <w:cantSplit/>
        </w:trPr>
        <w:tc>
          <w:tcPr>
            <w:tcW w:type="dxa" w:w="43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Job card completed by end of next working day</w:t>
            </w:r>
          </w:p>
        </w:tc>
        <w:tc>
          <w:tcPr>
            <w:tcW w:type="dxa" w:w="265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100%</w:t>
            </w:r>
          </w:p>
        </w:tc>
        <w:tc>
          <w:tcPr>
            <w:tcW w:type="dxa" w:w="246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Job cards</w:t>
            </w:r>
          </w:p>
        </w:tc>
      </w:tr>
      <w:tr>
        <w:trPr>
          <w:cantSplit/>
        </w:trPr>
        <w:tc>
          <w:tcPr>
            <w:tcW w:type="dxa" w:w="43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Weekly six-week lookahead issued by Friday</w:t>
            </w:r>
          </w:p>
        </w:tc>
        <w:tc>
          <w:tcPr>
            <w:tcW w:type="dxa" w:w="265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100%</w:t>
            </w:r>
          </w:p>
        </w:tc>
        <w:tc>
          <w:tcPr>
            <w:tcW w:type="dxa" w:w="246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Issued report</w:t>
            </w:r>
          </w:p>
        </w:tc>
      </w:tr>
      <w:tr>
        <w:trPr>
          <w:cantSplit/>
        </w:trPr>
        <w:tc>
          <w:tcPr>
            <w:tcW w:type="dxa" w:w="43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Monthly fleet report issued by </w:t>
            </w:r>
            <w:r>
              <w:rPr>
                <w:rFonts w:ascii="IBM Plex Sans" w:hAnsi="IBM Plex Sans" w:cs="IBM Plex Sans" w:eastAsia="IBM Plex Sans"/>
                <w:b/>
                <w:bCs/>
                <w:color w:val="8E1019"/>
                <w:sz w:val="19"/>
                <w:szCs w:val="19"/>
                <w:shd w:val="clear" w:color="auto" w:fill="FBEAEB"/>
              </w:rPr>
              <w:t xml:space="preserve">[ working day ]</w:t>
            </w:r>
          </w:p>
        </w:tc>
        <w:tc>
          <w:tcPr>
            <w:tcW w:type="dxa" w:w="265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100%</w:t>
            </w:r>
          </w:p>
        </w:tc>
        <w:tc>
          <w:tcPr>
            <w:tcW w:type="dxa" w:w="246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Issued report</w:t>
            </w:r>
          </w:p>
        </w:tc>
      </w:tr>
      <w:tr>
        <w:trPr>
          <w:cantSplit/>
        </w:trPr>
        <w:tc>
          <w:tcPr>
            <w:tcW w:type="dxa" w:w="43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Daily check sheets returned and logged</w:t>
            </w:r>
          </w:p>
        </w:tc>
        <w:tc>
          <w:tcPr>
            <w:tcW w:type="dxa" w:w="265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w:t>
            </w:r>
          </w:p>
        </w:tc>
        <w:tc>
          <w:tcPr>
            <w:tcW w:type="dxa" w:w="246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Monthly audit</w:t>
            </w:r>
          </w:p>
        </w:tc>
      </w:tr>
      <w:tr>
        <w:trPr>
          <w:cantSplit/>
        </w:trPr>
        <w:tc>
          <w:tcPr>
            <w:tcW w:type="dxa" w:w="43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Spend within approval limits</w:t>
            </w:r>
          </w:p>
        </w:tc>
        <w:tc>
          <w:tcPr>
            <w:tcW w:type="dxa" w:w="265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100%</w:t>
            </w:r>
          </w:p>
        </w:tc>
        <w:tc>
          <w:tcPr>
            <w:tcW w:type="dxa" w:w="246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Purchase records</w:t>
            </w:r>
          </w:p>
        </w:tc>
      </w:tr>
      <w:tr>
        <w:trPr>
          <w:cantSplit/>
        </w:trPr>
        <w:tc>
          <w:tcPr>
            <w:tcW w:type="dxa" w:w="430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Fleet spend against budget</w:t>
            </w:r>
          </w:p>
        </w:tc>
        <w:tc>
          <w:tcPr>
            <w:tcW w:type="dxa" w:w="2650"/>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Within </w:t>
            </w:r>
            <w:r>
              <w:rPr>
                <w:rFonts w:ascii="IBM Plex Sans" w:hAnsi="IBM Plex Sans" w:cs="IBM Plex Sans" w:eastAsia="IBM Plex Sans"/>
                <w:b/>
                <w:bCs/>
                <w:color w:val="8E1019"/>
                <w:sz w:val="19"/>
                <w:szCs w:val="19"/>
                <w:shd w:val="clear" w:color="auto" w:fill="FBEAEB"/>
              </w:rPr>
              <w:t xml:space="preserve">[    ]</w:t>
            </w:r>
            <w:r>
              <w:rPr>
                <w:rFonts w:ascii="IBM Plex Sans" w:hAnsi="IBM Plex Sans" w:cs="IBM Plex Sans" w:eastAsia="IBM Plex Sans"/>
                <w:color w:val="23272B"/>
                <w:sz w:val="19"/>
                <w:szCs w:val="19"/>
              </w:rPr>
              <w:t xml:space="preserve">%</w:t>
            </w:r>
          </w:p>
        </w:tc>
        <w:tc>
          <w:tcPr>
            <w:tcW w:type="dxa" w:w="2462"/>
            <w:shd w:val="clear" w:color="auto" w:fill="FDF6F6"/>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Monthly report</w:t>
            </w:r>
          </w:p>
        </w:tc>
      </w:tr>
      <w:tr>
        <w:trPr>
          <w:cantSplit/>
        </w:trPr>
        <w:tc>
          <w:tcPr>
            <w:tcW w:type="dxa" w:w="430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b/>
                <w:bCs/>
                <w:color w:val="16191C"/>
                <w:sz w:val="19"/>
                <w:szCs w:val="19"/>
              </w:rPr>
              <w:t xml:space="preserve">Unapproved private use of Company assets</w:t>
            </w:r>
          </w:p>
        </w:tc>
        <w:tc>
          <w:tcPr>
            <w:tcW w:type="dxa" w:w="2650"/>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Zero</w:t>
            </w:r>
          </w:p>
        </w:tc>
        <w:tc>
          <w:tcPr>
            <w:tcW w:type="dxa" w:w="2462"/>
            <w:tcMar>
              <w:top w:type="dxa" w:w="110"/>
              <w:left w:type="dxa" w:w="150"/>
              <w:bottom w:type="dxa" w:w="110"/>
              <w:right w:type="dxa" w:w="150"/>
            </w:tcMar>
            <w:vAlign w:val="center"/>
          </w:tcPr>
          <w:p>
            <w:pPr>
              <w:spacing w:before="40" w:after="40" w:line="256" w:lineRule="auto"/>
            </w:pPr>
            <w:r>
              <w:rPr>
                <w:rFonts w:ascii="IBM Plex Sans" w:hAnsi="IBM Plex Sans" w:cs="IBM Plex Sans" w:eastAsia="IBM Plex Sans"/>
                <w:color w:val="23272B"/>
                <w:sz w:val="19"/>
                <w:szCs w:val="19"/>
              </w:rPr>
              <w:t xml:space="preserve">Inspection and fuel reconciliation</w:t>
            </w:r>
          </w:p>
        </w:tc>
      </w:tr>
    </w:tbl>
    <w:p>
      <w:pPr>
        <w:spacing w:before="0" w:after="0" w:line="500" w:lineRule="exact"/>
      </w:pPr>
    </w:p>
    <w:p>
      <w:pPr>
        <w:pBdr>
          <w:top w:val="single" w:sz="4" w:space="10" w:color="E4E7EA"/>
        </w:pBdr>
        <w:spacing w:before="0" w:after="0" w:line="240" w:lineRule="exact"/>
        <w:jc w:val="center"/>
      </w:pPr>
      <w:r>
        <w:rPr>
          <w:rFonts w:ascii="Archivo" w:hAnsi="Archivo" w:cs="Archivo" w:eastAsia="Archivo"/>
          <w:b/>
          <w:bCs/>
          <w:color w:val="6B7177"/>
          <w:spacing w:val="60"/>
          <w:sz w:val="17"/>
          <w:szCs w:val="17"/>
        </w:rPr>
        <w:t xml:space="preserve">End of document</w:t>
      </w:r>
    </w:p>
    <w:sectPr>
      <w:headerReference w:type="first" r:id="rIdHdrFirst"/>
      <w:footerReference w:type="first" r:id="rIdFtrFirst"/>
      <w:headerReference w:type="default" r:id="rIdHdr"/>
      <w:footerReference w:type="default" r:id="rIdFtr"/>
      <w:pgSz w:w="11906" w:h="16838"/>
      <w:pgMar w:top="1247" w:right="1247" w:bottom="1247" w:left="1247" w:header="709" w:footer="624" w:gutter="0"/>
      <w:titlePg/>
      <w:docGrid w:linePitch="360"/>
    </w:sectPr>
  </w:body>
</w:document>
</file>

<file path=word/fontTable.xml><?xml version="1.0" encoding="utf-8"?>
<w:fo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nt w:name="IBM Plex Sans">
    <w:family w:val="swiss"/>
    <w:pitch w:val="variable"/>
  </w:font>
  <w:font w:name="Archivo">
    <w:family w:val="swiss"/>
    <w:pitch w:val="variable"/>
  </w:font>
  <w:font w:name="IBM Plex Mono">
    <w:family w:val="modern"/>
    <w:pitch w:val="fixed"/>
  </w:font>
  <w:font w:name="Arial">
    <w:family w:val="swiss"/>
    <w:pitch w:val="variable"/>
  </w:font>
  <w:font w:name="Calibri">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top w:val="single" w:sz="4" w:space="8" w:color="E4E7EA"/>
      </w:pBdr>
      <w:tabs>
        <w:tab w:val="right" w:pos="9412"/>
      </w:tabs>
      <w:spacing w:before="0" w:after="0" w:line="240" w:lineRule="exact"/>
    </w:pPr>
    <w:r>
      <w:rPr>
        <w:rFonts w:ascii="IBM Plex Mono" w:hAnsi="IBM Plex Mono" w:cs="IBM Plex Mono" w:eastAsia="IBM Plex Mono"/>
        <w:color w:val="6B7177"/>
        <w:sz w:val="15"/>
        <w:szCs w:val="15"/>
      </w:rPr>
      <w:t xml:space="preserve">26-FM-001</w:t>
    </w:r>
    <w:r>
      <w:rPr>
        <w:rFonts w:ascii="IBM Plex Sans" w:hAnsi="IBM Plex Sans" w:cs="IBM Plex Sans" w:eastAsia="IBM Plex Sans"/>
        <w:color w:val="6B7177"/>
        <w:sz w:val="15"/>
        <w:szCs w:val="15"/>
      </w:rPr>
      <w:t xml:space="preserve">  ·  v1.0  ·  DRAFT  ·  13 September 2026</w:t>
    </w:r>
    <w:r>
      <w:rPr>
        <w:rFonts w:ascii="IBM Plex Sans" w:hAnsi="IBM Plex Sans" w:cs="IBM Plex Sans" w:eastAsia="IBM Plex Sans"/>
        <w:color w:val="23272B"/>
        <w:sz w:val="20"/>
        <w:szCs w:val="20"/>
      </w:rPr>
      <w:tab/>
    </w:r>
    <w:r>
      <w:rPr>
        <w:rFonts w:ascii="IBM Plex Sans" w:hAnsi="IBM Plex Sans" w:cs="IBM Plex Sans" w:eastAsia="IBM Plex Sans"/>
        <w:color w:val="6B7177"/>
        <w:sz w:val="15"/>
        <w:szCs w:val="15"/>
      </w:rPr>
      <w:t xml:space="preserve">Page </w:t>
    </w:r>
    <w:r>
      <w:rPr>
        <w:rFonts w:ascii="IBM Plex Sans" w:hAnsi="IBM Plex Sans" w:cs="IBM Plex Sans" w:eastAsia="IBM Plex Sans"/>
        <w:b/>
        <w:bCs/>
        <w:color w:val="8E1019"/>
        <w:sz w:val="15"/>
        <w:szCs w:val="15"/>
      </w:rPr>
      <w:fldChar w:fldCharType="begin"/>
    </w:r>
    <w:r>
      <w:rPr>
        <w:rFonts w:ascii="IBM Plex Sans" w:hAnsi="IBM Plex Sans" w:cs="IBM Plex Sans" w:eastAsia="IBM Plex Sans"/>
        <w:b/>
        <w:bCs/>
        <w:color w:val="8E1019"/>
        <w:sz w:val="15"/>
        <w:szCs w:val="15"/>
      </w:rPr>
      <w:instrText xml:space="preserve"> PAGE </w:instrText>
    </w:r>
    <w:r>
      <w:rPr>
        <w:rFonts w:ascii="IBM Plex Sans" w:hAnsi="IBM Plex Sans" w:cs="IBM Plex Sans" w:eastAsia="IBM Plex Sans"/>
        <w:b/>
        <w:bCs/>
        <w:color w:val="8E1019"/>
        <w:sz w:val="15"/>
        <w:szCs w:val="15"/>
      </w:rPr>
      <w:fldChar w:fldCharType="separate"/>
    </w:r>
    <w:r>
      <w:rPr>
        <w:rFonts w:ascii="IBM Plex Sans" w:hAnsi="IBM Plex Sans" w:cs="IBM Plex Sans" w:eastAsia="IBM Plex Sans"/>
        <w:b/>
        <w:bCs/>
        <w:color w:val="8E1019"/>
        <w:sz w:val="15"/>
        <w:szCs w:val="15"/>
      </w:rPr>
      <w:t>1</w:t>
    </w:r>
    <w:r>
      <w:rPr>
        <w:rFonts w:ascii="IBM Plex Sans" w:hAnsi="IBM Plex Sans" w:cs="IBM Plex Sans" w:eastAsia="IBM Plex Sans"/>
        <w:b/>
        <w:bCs/>
        <w:color w:val="8E1019"/>
        <w:sz w:val="15"/>
        <w:szCs w:val="15"/>
      </w:rPr>
      <w:fldChar w:fldCharType="end"/>
    </w:r>
    <w:r>
      <w:rPr>
        <w:rFonts w:ascii="IBM Plex Sans" w:hAnsi="IBM Plex Sans" w:cs="IBM Plex Sans" w:eastAsia="IBM Plex Sans"/>
        <w:color w:val="6B7177"/>
        <w:sz w:val="15"/>
        <w:szCs w:val="15"/>
      </w:rPr>
      <w:t xml:space="preserve"> of </w:t>
    </w:r>
    <w:r>
      <w:rPr>
        <w:rFonts w:ascii="IBM Plex Sans" w:hAnsi="IBM Plex Sans" w:cs="IBM Plex Sans" w:eastAsia="IBM Plex Sans"/>
        <w:b/>
        <w:bCs/>
        <w:color w:val="8E1019"/>
        <w:sz w:val="15"/>
        <w:szCs w:val="15"/>
      </w:rPr>
      <w:fldChar w:fldCharType="begin"/>
    </w:r>
    <w:r>
      <w:rPr>
        <w:rFonts w:ascii="IBM Plex Sans" w:hAnsi="IBM Plex Sans" w:cs="IBM Plex Sans" w:eastAsia="IBM Plex Sans"/>
        <w:b/>
        <w:bCs/>
        <w:color w:val="8E1019"/>
        <w:sz w:val="15"/>
        <w:szCs w:val="15"/>
      </w:rPr>
      <w:instrText xml:space="preserve"> NUMPAGES </w:instrText>
    </w:r>
    <w:r>
      <w:rPr>
        <w:rFonts w:ascii="IBM Plex Sans" w:hAnsi="IBM Plex Sans" w:cs="IBM Plex Sans" w:eastAsia="IBM Plex Sans"/>
        <w:b/>
        <w:bCs/>
        <w:color w:val="8E1019"/>
        <w:sz w:val="15"/>
        <w:szCs w:val="15"/>
      </w:rPr>
      <w:fldChar w:fldCharType="separate"/>
    </w:r>
    <w:r>
      <w:rPr>
        <w:rFonts w:ascii="IBM Plex Sans" w:hAnsi="IBM Plex Sans" w:cs="IBM Plex Sans" w:eastAsia="IBM Plex Sans"/>
        <w:b/>
        <w:bCs/>
        <w:color w:val="8E1019"/>
        <w:sz w:val="15"/>
        <w:szCs w:val="15"/>
      </w:rPr>
      <w:t>1</w:t>
    </w:r>
    <w:r>
      <w:rPr>
        <w:rFonts w:ascii="IBM Plex Sans" w:hAnsi="IBM Plex Sans" w:cs="IBM Plex Sans" w:eastAsia="IBM Plex Sans"/>
        <w:b/>
        <w:bCs/>
        <w:color w:val="8E1019"/>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spacing w:before="0" w:after="0" w:line="20" w:lineRule="exac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sz="8" w:space="6" w:color="B11722"/>
      </w:pBdr>
      <w:tabs>
        <w:tab w:val="right" w:pos="9412"/>
      </w:tabs>
      <w:spacing w:before="0" w:after="0" w:line="240" w:lineRule="exact"/>
    </w:pPr>
    <w:r>
      <w:rPr>
        <w:rFonts w:ascii="Archivo" w:hAnsi="Archivo" w:cs="Archivo" w:eastAsia="Archivo"/>
        <w:b/>
        <w:bCs/>
        <w:color w:val="B11722"/>
        <w:spacing w:val="70"/>
        <w:sz w:val="16"/>
        <w:szCs w:val="16"/>
      </w:rPr>
      <w:t xml:space="preserve">LG HOWSON LTD</w:t>
    </w:r>
    <w:r>
      <w:rPr>
        <w:rFonts w:ascii="IBM Plex Sans" w:hAnsi="IBM Plex Sans" w:cs="IBM Plex Sans" w:eastAsia="IBM Plex Sans"/>
        <w:color w:val="23272B"/>
        <w:sz w:val="20"/>
        <w:szCs w:val="20"/>
      </w:rPr>
      <w:tab/>
    </w:r>
    <w:r>
      <w:rPr>
        <w:rFonts w:ascii="IBM Plex Sans" w:hAnsi="IBM Plex Sans" w:cs="IBM Plex Sans" w:eastAsia="IBM Plex Sans"/>
        <w:color w:val="6B7177"/>
        <w:sz w:val="16"/>
        <w:szCs w:val="16"/>
      </w:rPr>
      <w:t xml:space="preserve">Fleet Manager and Mechanical Services  ·  Terms of Reference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spacing w:before="0" w:after="0" w:line="20" w:lineRule="exact"/>
    </w:pPr>
  </w:p>
</w:hdr>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zoom w:percent="100"/>
  <w:defaultTabStop w:val="624"/>
  <w:characterSpacingControl w:val="doNotCompress"/>
  <w:updateFields w:val="true"/>
  <w:compat>
    <w:compatSetting w:name="compatibilityMode" w:uri="http://schemas.microsoft.com/office/word" w:val="15"/>
  </w:compat>
  <w:themeFontLang w:val="en-GB"/>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Defaults>
    <w:rPrDefault>
      <w:rPr>
        <w:rFonts w:ascii="IBM Plex Sans" w:hAnsi="IBM Plex Sans" w:cs="IBM Plex Sans" w:eastAsia="IBM Plex Sans"/>
        <w:color w:val="23272B"/>
        <w:sz w:val="20"/>
        <w:szCs w:val="20"/>
        <w:lang w:val="en-GB" w:eastAsia="en-GB" w:bidi="ar-SA"/>
      </w:rPr>
    </w:rPrDefault>
    <w:pPrDefault>
      <w:pPr>
        <w:widowControl/>
        <w:spacing w:after="140" w:line="272" w:lineRule="auto"/>
      </w:pPr>
    </w:pPrDefault>
  </w:docDefaults>
  <w:style w:type="paragraph" w:default="1" w:styleId="Normal">
    <w:name w:val="Normal"/>
    <w:qFormat/>
  </w:style>
  <w:style w:type="paragraph" w:styleId="Heading1">
    <w:name w:val="heading 1"/>
    <w:basedOn w:val="Normal"/>
    <w:next w:val="Normal"/>
    <w:qFormat/>
    <w:pPr>
      <w:keepNext/>
      <w:keepLines/>
      <w:spacing w:before="360" w:after="140"/>
      <w:outlineLvl w:val="0"/>
    </w:pPr>
    <w:rPr>
      <w:rFonts w:ascii="Archivo" w:hAnsi="Archivo" w:cs="Archivo"/>
      <w:b/>
      <w:bCs/>
      <w:color w:val="16191C"/>
      <w:sz w:val="26"/>
      <w:szCs w:val="26"/>
    </w:rPr>
  </w:style>
  <w:style w:type="paragraph" w:styleId="Heading2">
    <w:name w:val="heading 2"/>
    <w:basedOn w:val="Normal"/>
    <w:next w:val="Normal"/>
    <w:qFormat/>
    <w:pPr>
      <w:keepNext/>
      <w:keepLines/>
      <w:spacing w:before="360" w:after="140"/>
      <w:outlineLvl w:val="1"/>
    </w:pPr>
    <w:rPr>
      <w:rFonts w:ascii="Archivo" w:hAnsi="Archivo" w:cs="Archivo"/>
      <w:b/>
      <w:bCs/>
      <w:color w:val="8E1019"/>
      <w:sz w:val="21"/>
      <w:szCs w:val="21"/>
    </w:rPr>
  </w:style>
  <w:style w:type="paragraph" w:styleId="Header">
    <w:name w:val="header"/>
    <w:basedOn w:val="Normal"/>
    <w:pPr>
      <w:spacing w:after="0"/>
    </w:pPr>
  </w:style>
  <w:style w:type="paragraph" w:styleId="Footer">
    <w:name w:val="footer"/>
    <w:basedOn w:val="Normal"/>
    <w:pPr>
      <w:spacing w:after="0"/>
    </w:pPr>
  </w:style>
  <w:style w:type="table" w:default="1" w:styleId="TableNormal">
    <w:name w:val="Normal Table"/>
    <w:tblPr>
      <w:tblCellMar>
        <w:top w:w="0" w:type="dxa"/>
        <w:left w:w="0" w:type="dxa"/>
        <w:bottom w:w="0" w:type="dxa"/>
        <w:right w:w="0" w:type="dxa"/>
      </w:tblCellMar>
    </w:tblPr>
  </w:style>
  <w:style w:type="numbering" w:default="1" w:styleId="NoList">
    <w:name w:val="No List"/>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nts" Type="http://schemas.openxmlformats.org/officeDocument/2006/relationships/fontTable" Target="fontTable.xml"/>
<Relationship Id="rIdHdr" Type="http://schemas.openxmlformats.org/officeDocument/2006/relationships/header" Target="header1.xml"/>
<Relationship Id="rIdHdrFirst" Type="http://schemas.openxmlformats.org/officeDocument/2006/relationships/header" Target="header2.xml"/>
<Relationship Id="rIdFtr" Type="http://schemas.openxmlformats.org/officeDocument/2006/relationships/footer" Target="footer1.xml"/>
<Relationship Id="rIdFtrFirst" Type="http://schemas.openxmlformats.org/officeDocument/2006/relationships/footer" Target="footer2.xml"/>
<Relationship Id="rIdMark" Type="http://schemas.openxmlformats.org/officeDocument/2006/relationships/image" Target="media/lgh-mark.png"/>
</Relationships>
</file>

<file path=docProps/app.xml><?xml version="1.0" encoding="utf-8"?>
<Properties xmlns="http://schemas.openxmlformats.org/officeDocument/2006/extended-properties" xmlns:vt="http://schemas.openxmlformats.org/officeDocument/2006/docPropsVTypes">
  <Application>Microsoft Office Word</Application>
  <Company>LG Howson Ltd</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Fleet Manager and Mechanical Services — Terms of Reference</dc:title>
  <dc:subject>26-FM-001 v1.0 DRAFT</dc:subject>
  <dc:creator>LG Howson Ltd</dc:creator>
  <cp:keywords>fleet; terms of reference; LG Howson; 26-FM-001</cp:keywords>
  <dc:description>Terms of Reference for the Fleet Manager and Mechanical Services role.</dc:description>
  <cp:lastModifiedBy>LG Howson Ltd</cp:lastModifiedBy>
  <cp:revision>2</cp:revision>
  <cp:category>Governance</cp:category>
  <dcterms:created xsi:type="dcterms:W3CDTF">2026-09-13T16:19:16Z</dcterms:created>
  <dcterms:modified xsi:type="dcterms:W3CDTF">2026-09-13T16:19:16Z</dcterms:modified>
</cp:coreProperties>
</file>