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A0D3" w14:textId="77777777" w:rsidR="005C1FAD" w:rsidRPr="005C1FAD" w:rsidRDefault="005C1FAD" w:rsidP="005C1FAD">
      <w:pPr>
        <w:spacing w:before="100" w:beforeAutospacing="1" w:after="100" w:afterAutospacing="1"/>
        <w:outlineLvl w:val="2"/>
        <w:rPr>
          <w:rFonts w:ascii="Times New Roman" w:eastAsia="Times New Roman" w:hAnsi="Times New Roman" w:cs="Times New Roman"/>
          <w:color w:val="000000"/>
          <w:kern w:val="0"/>
          <w:sz w:val="27"/>
          <w:szCs w:val="27"/>
          <w:lang w:eastAsia="de-DE"/>
          <w14:ligatures w14:val="none"/>
        </w:rPr>
      </w:pPr>
      <w:r w:rsidRPr="005C1FAD">
        <w:rPr>
          <w:rFonts w:ascii="Times New Roman" w:eastAsia="Times New Roman" w:hAnsi="Times New Roman" w:cs="Times New Roman"/>
          <w:color w:val="000000"/>
          <w:kern w:val="0"/>
          <w:sz w:val="27"/>
          <w:szCs w:val="27"/>
          <w:lang w:eastAsia="de-DE"/>
          <w14:ligatures w14:val="none"/>
        </w:rPr>
        <w:t>Das Bild zeigt eine Szene eines Bundesligaspiels, bei dem St. Pauli (braune Trikots) gegen Mainz 05 (weiße Trikots) spielt. Vor dem Spiel steht St. Pauli (braune Trikots) auf Platz 14 und Mainz 05 (weiße Trikots) auf Platz 12 der Bundesligatabelle. St. Pauli (braune Trikots) ist das Heimteam und es steht 0:3. Die Szene ist zeitlich gesehen im 4. Viertel des Spiels und Mainz 05 ist im Ballbesitz. Hier folgt eine Beschreibung der Spielszene.</w:t>
      </w:r>
    </w:p>
    <w:p w14:paraId="5577F0CD" w14:textId="77777777" w:rsidR="005F2053" w:rsidRDefault="005F2053" w:rsidP="005563F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17750337" w14:textId="4BF283D0" w:rsidR="005563FC" w:rsidRPr="005563FC" w:rsidRDefault="005563FC" w:rsidP="005563F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563FC">
        <w:rPr>
          <w:rFonts w:ascii="Times New Roman" w:eastAsia="Times New Roman" w:hAnsi="Times New Roman" w:cs="Times New Roman"/>
          <w:b/>
          <w:bCs/>
          <w:color w:val="000000"/>
          <w:kern w:val="0"/>
          <w:sz w:val="27"/>
          <w:szCs w:val="27"/>
          <w:lang w:eastAsia="de-DE"/>
          <w14:ligatures w14:val="none"/>
        </w:rPr>
        <w:t>1. Ballführender Spieler</w:t>
      </w:r>
    </w:p>
    <w:p w14:paraId="7F091AF6" w14:textId="77777777" w:rsidR="005563FC" w:rsidRPr="005563FC" w:rsidRDefault="005563FC" w:rsidP="005563F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Spieler: Zentner (27)</w:t>
      </w:r>
    </w:p>
    <w:p w14:paraId="1B5C423C" w14:textId="77777777" w:rsidR="005563FC" w:rsidRPr="005563FC" w:rsidRDefault="005563FC" w:rsidP="005563F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Positionierung:</w:t>
      </w:r>
      <w:r w:rsidRPr="005563FC">
        <w:rPr>
          <w:rFonts w:ascii="Times New Roman" w:eastAsia="Times New Roman" w:hAnsi="Times New Roman" w:cs="Times New Roman"/>
          <w:color w:val="000000"/>
          <w:kern w:val="0"/>
          <w:lang w:eastAsia="de-DE"/>
          <w14:ligatures w14:val="none"/>
        </w:rPr>
        <w:t> Der Spieler befindet sich zentral in der eigenen Spielfeldhälfte in unmittelbarer Nähe des Strafraums. Seine geodätische Position ist ungefähr auf Höhe der rechten Spielfeldseite, leicht versetzt zur Mittellinie.</w:t>
      </w:r>
    </w:p>
    <w:p w14:paraId="3D65BCCE" w14:textId="77777777" w:rsidR="005563FC" w:rsidRPr="005563FC" w:rsidRDefault="005563FC" w:rsidP="005563F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Bewegungsdynamik:</w:t>
      </w:r>
      <w:r w:rsidRPr="005563FC">
        <w:rPr>
          <w:rFonts w:ascii="Times New Roman" w:eastAsia="Times New Roman" w:hAnsi="Times New Roman" w:cs="Times New Roman"/>
          <w:color w:val="000000"/>
          <w:kern w:val="0"/>
          <w:lang w:eastAsia="de-DE"/>
          <w14:ligatures w14:val="none"/>
        </w:rPr>
        <w:t> Zentner ist in einer statischen Position. Sein Körper ist frontal zum Ball ausgerichtet, mit klarem Fokus auf den Aufbau des nächsten Spielzugs.</w:t>
      </w:r>
    </w:p>
    <w:p w14:paraId="03090FD8" w14:textId="77777777" w:rsidR="005563FC" w:rsidRPr="005563FC" w:rsidRDefault="005563FC" w:rsidP="005563F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Gegnerischer Handlungsdruck:</w:t>
      </w:r>
      <w:r w:rsidRPr="005563FC">
        <w:rPr>
          <w:rFonts w:ascii="Times New Roman" w:eastAsia="Times New Roman" w:hAnsi="Times New Roman" w:cs="Times New Roman"/>
          <w:color w:val="000000"/>
          <w:kern w:val="0"/>
          <w:lang w:eastAsia="de-DE"/>
          <w14:ligatures w14:val="none"/>
        </w:rPr>
        <w:t> Der Ballführende steht unter geringem Druck, da kein Gegenspieler sich in unmittelbarer Nähe befindet. Dies ermöglicht ihm potenziell mehrere taktische Optionen.</w:t>
      </w:r>
    </w:p>
    <w:p w14:paraId="0DB17F41" w14:textId="77777777" w:rsidR="005563FC" w:rsidRPr="005563FC" w:rsidRDefault="005563FC" w:rsidP="005563F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Risiko:</w:t>
      </w:r>
      <w:r w:rsidRPr="005563FC">
        <w:rPr>
          <w:rFonts w:ascii="Times New Roman" w:eastAsia="Times New Roman" w:hAnsi="Times New Roman" w:cs="Times New Roman"/>
          <w:color w:val="000000"/>
          <w:kern w:val="0"/>
          <w:lang w:eastAsia="de-DE"/>
          <w14:ligatures w14:val="none"/>
        </w:rPr>
        <w:t> Geringes Risiko eines Ballverlusts aufgrund der fehlenden Bedrängnis.</w:t>
      </w:r>
    </w:p>
    <w:p w14:paraId="6D6B936A" w14:textId="77777777" w:rsidR="005563FC" w:rsidRPr="005563FC" w:rsidRDefault="005563FC" w:rsidP="005563F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Optionen:</w:t>
      </w:r>
      <w:r w:rsidRPr="005563FC">
        <w:rPr>
          <w:rFonts w:ascii="Times New Roman" w:eastAsia="Times New Roman" w:hAnsi="Times New Roman" w:cs="Times New Roman"/>
          <w:color w:val="000000"/>
          <w:kern w:val="0"/>
          <w:lang w:eastAsia="de-DE"/>
          <w14:ligatures w14:val="none"/>
        </w:rPr>
        <w:t> Passmöglichkeiten nach rechts oder links zu den nahestehenden Verteidigern.</w:t>
      </w:r>
    </w:p>
    <w:p w14:paraId="53034032" w14:textId="77777777" w:rsidR="005563FC" w:rsidRPr="005563FC" w:rsidRDefault="00DE7440" w:rsidP="005563F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D289B29">
          <v:rect id="_x0000_i1027" alt="" style="width:452.25pt;height:.05pt;mso-width-percent:0;mso-height-percent:0;mso-width-percent:0;mso-height-percent:0" o:hrpct="997" o:hralign="center" o:hrstd="t" o:hr="t" fillcolor="#a0a0a0" stroked="f"/>
        </w:pict>
      </w:r>
    </w:p>
    <w:p w14:paraId="3EC28D37" w14:textId="77777777" w:rsidR="005563FC" w:rsidRPr="005563FC" w:rsidRDefault="005563FC" w:rsidP="005563F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563FC">
        <w:rPr>
          <w:rFonts w:ascii="Times New Roman" w:eastAsia="Times New Roman" w:hAnsi="Times New Roman" w:cs="Times New Roman"/>
          <w:b/>
          <w:bCs/>
          <w:color w:val="000000"/>
          <w:kern w:val="0"/>
          <w:sz w:val="27"/>
          <w:szCs w:val="27"/>
          <w:lang w:eastAsia="de-DE"/>
          <w14:ligatures w14:val="none"/>
        </w:rPr>
        <w:t>2. Mitspieler-Netzwerk</w:t>
      </w:r>
    </w:p>
    <w:p w14:paraId="48B042A8" w14:textId="77777777" w:rsidR="005563FC" w:rsidRPr="005563FC" w:rsidRDefault="005563FC" w:rsidP="005563F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Mitspieler:</w:t>
      </w:r>
    </w:p>
    <w:p w14:paraId="2CFA1268" w14:textId="77777777" w:rsidR="005563FC" w:rsidRPr="005563FC" w:rsidRDefault="005563FC" w:rsidP="005563F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5563FC">
        <w:rPr>
          <w:rFonts w:ascii="Times New Roman" w:eastAsia="Times New Roman" w:hAnsi="Times New Roman" w:cs="Times New Roman"/>
          <w:b/>
          <w:bCs/>
          <w:color w:val="000000"/>
          <w:kern w:val="0"/>
          <w:lang w:eastAsia="de-DE"/>
          <w14:ligatures w14:val="none"/>
        </w:rPr>
        <w:t>Jenz</w:t>
      </w:r>
      <w:proofErr w:type="spellEnd"/>
      <w:r w:rsidRPr="005563FC">
        <w:rPr>
          <w:rFonts w:ascii="Times New Roman" w:eastAsia="Times New Roman" w:hAnsi="Times New Roman" w:cs="Times New Roman"/>
          <w:b/>
          <w:bCs/>
          <w:color w:val="000000"/>
          <w:kern w:val="0"/>
          <w:lang w:eastAsia="de-DE"/>
          <w14:ligatures w14:val="none"/>
        </w:rPr>
        <w:t xml:space="preserve"> (3):</w:t>
      </w:r>
    </w:p>
    <w:p w14:paraId="10A0DE6D"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w:t>
      </w:r>
      <w:r w:rsidRPr="005563FC">
        <w:rPr>
          <w:rFonts w:ascii="Times New Roman" w:eastAsia="Times New Roman" w:hAnsi="Times New Roman" w:cs="Times New Roman"/>
          <w:color w:val="000000"/>
          <w:kern w:val="0"/>
          <w:lang w:eastAsia="de-DE"/>
          <w14:ligatures w14:val="none"/>
        </w:rPr>
        <w:t> In der rechten zentralen Abwehrposition, nahe der Strafraumgrenze.</w:t>
      </w:r>
    </w:p>
    <w:p w14:paraId="0681A962"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Bewegung:</w:t>
      </w:r>
      <w:r w:rsidRPr="005563FC">
        <w:rPr>
          <w:rFonts w:ascii="Times New Roman" w:eastAsia="Times New Roman" w:hAnsi="Times New Roman" w:cs="Times New Roman"/>
          <w:color w:val="000000"/>
          <w:kern w:val="0"/>
          <w:lang w:eastAsia="de-DE"/>
          <w14:ligatures w14:val="none"/>
        </w:rPr>
        <w:t> Leichte Orientierung zum Ballführenden hin, passiv, mit Fokus auf Deckung.</w:t>
      </w:r>
    </w:p>
    <w:p w14:paraId="374BC767" w14:textId="77777777" w:rsidR="005563FC" w:rsidRPr="005563FC" w:rsidRDefault="005563FC" w:rsidP="005563F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5563FC">
        <w:rPr>
          <w:rFonts w:ascii="Times New Roman" w:eastAsia="Times New Roman" w:hAnsi="Times New Roman" w:cs="Times New Roman"/>
          <w:b/>
          <w:bCs/>
          <w:color w:val="000000"/>
          <w:kern w:val="0"/>
          <w:lang w:eastAsia="de-DE"/>
          <w14:ligatures w14:val="none"/>
        </w:rPr>
        <w:t>Leitsch</w:t>
      </w:r>
      <w:proofErr w:type="spellEnd"/>
      <w:r w:rsidRPr="005563FC">
        <w:rPr>
          <w:rFonts w:ascii="Times New Roman" w:eastAsia="Times New Roman" w:hAnsi="Times New Roman" w:cs="Times New Roman"/>
          <w:b/>
          <w:bCs/>
          <w:color w:val="000000"/>
          <w:kern w:val="0"/>
          <w:lang w:eastAsia="de-DE"/>
          <w14:ligatures w14:val="none"/>
        </w:rPr>
        <w:t xml:space="preserve"> (5):</w:t>
      </w:r>
    </w:p>
    <w:p w14:paraId="712D9A19"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w:t>
      </w:r>
      <w:r w:rsidRPr="005563FC">
        <w:rPr>
          <w:rFonts w:ascii="Times New Roman" w:eastAsia="Times New Roman" w:hAnsi="Times New Roman" w:cs="Times New Roman"/>
          <w:color w:val="000000"/>
          <w:kern w:val="0"/>
          <w:lang w:eastAsia="de-DE"/>
          <w14:ligatures w14:val="none"/>
        </w:rPr>
        <w:t> Auf der linken Seite der zentralen Abwehrkette. Er bietet sich ebenfalls als Anspielstation an.</w:t>
      </w:r>
    </w:p>
    <w:p w14:paraId="7D7DAF8F"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Bewegung:</w:t>
      </w:r>
      <w:r w:rsidRPr="005563FC">
        <w:rPr>
          <w:rFonts w:ascii="Times New Roman" w:eastAsia="Times New Roman" w:hAnsi="Times New Roman" w:cs="Times New Roman"/>
          <w:color w:val="000000"/>
          <w:kern w:val="0"/>
          <w:lang w:eastAsia="de-DE"/>
          <w14:ligatures w14:val="none"/>
        </w:rPr>
        <w:t> Statisch mit strategischer Ausrichtung, um potenzielle Ballverluste abzusichern.</w:t>
      </w:r>
    </w:p>
    <w:p w14:paraId="59C4F22A" w14:textId="77777777" w:rsidR="005563FC" w:rsidRPr="005563FC" w:rsidRDefault="005563FC" w:rsidP="005563F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5563FC">
        <w:rPr>
          <w:rFonts w:ascii="Times New Roman" w:eastAsia="Times New Roman" w:hAnsi="Times New Roman" w:cs="Times New Roman"/>
          <w:b/>
          <w:bCs/>
          <w:color w:val="000000"/>
          <w:kern w:val="0"/>
          <w:lang w:eastAsia="de-DE"/>
          <w14:ligatures w14:val="none"/>
        </w:rPr>
        <w:t>Kohr</w:t>
      </w:r>
      <w:proofErr w:type="spellEnd"/>
      <w:r w:rsidRPr="005563FC">
        <w:rPr>
          <w:rFonts w:ascii="Times New Roman" w:eastAsia="Times New Roman" w:hAnsi="Times New Roman" w:cs="Times New Roman"/>
          <w:b/>
          <w:bCs/>
          <w:color w:val="000000"/>
          <w:kern w:val="0"/>
          <w:lang w:eastAsia="de-DE"/>
          <w14:ligatures w14:val="none"/>
        </w:rPr>
        <w:t xml:space="preserve"> (31):</w:t>
      </w:r>
    </w:p>
    <w:p w14:paraId="738B20C7"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w:t>
      </w:r>
      <w:r w:rsidRPr="005563FC">
        <w:rPr>
          <w:rFonts w:ascii="Times New Roman" w:eastAsia="Times New Roman" w:hAnsi="Times New Roman" w:cs="Times New Roman"/>
          <w:color w:val="000000"/>
          <w:kern w:val="0"/>
          <w:lang w:eastAsia="de-DE"/>
          <w14:ligatures w14:val="none"/>
        </w:rPr>
        <w:t> Weiter zentral vor den Innenverteidigern und dem ballführenden Spieler.</w:t>
      </w:r>
    </w:p>
    <w:p w14:paraId="3B75653C"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Bewegung:</w:t>
      </w:r>
      <w:r w:rsidRPr="005563FC">
        <w:rPr>
          <w:rFonts w:ascii="Times New Roman" w:eastAsia="Times New Roman" w:hAnsi="Times New Roman" w:cs="Times New Roman"/>
          <w:color w:val="000000"/>
          <w:kern w:val="0"/>
          <w:lang w:eastAsia="de-DE"/>
          <w14:ligatures w14:val="none"/>
        </w:rPr>
        <w:t xml:space="preserve"> Leicht diagonal nach links orientiert, wodurch er eine strategische Passoption im </w:t>
      </w:r>
      <w:proofErr w:type="spellStart"/>
      <w:r w:rsidRPr="005563FC">
        <w:rPr>
          <w:rFonts w:ascii="Times New Roman" w:eastAsia="Times New Roman" w:hAnsi="Times New Roman" w:cs="Times New Roman"/>
          <w:color w:val="000000"/>
          <w:kern w:val="0"/>
          <w:lang w:eastAsia="de-DE"/>
          <w14:ligatures w14:val="none"/>
        </w:rPr>
        <w:t>Halbraum</w:t>
      </w:r>
      <w:proofErr w:type="spellEnd"/>
      <w:r w:rsidRPr="005563FC">
        <w:rPr>
          <w:rFonts w:ascii="Times New Roman" w:eastAsia="Times New Roman" w:hAnsi="Times New Roman" w:cs="Times New Roman"/>
          <w:color w:val="000000"/>
          <w:kern w:val="0"/>
          <w:lang w:eastAsia="de-DE"/>
          <w14:ligatures w14:val="none"/>
        </w:rPr>
        <w:t xml:space="preserve"> darstellt.</w:t>
      </w:r>
    </w:p>
    <w:p w14:paraId="21B97ADA" w14:textId="77777777" w:rsidR="005563FC" w:rsidRPr="005563FC" w:rsidRDefault="005563FC" w:rsidP="005563F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Sano (6):</w:t>
      </w:r>
    </w:p>
    <w:p w14:paraId="63AABEAE"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w:t>
      </w:r>
      <w:r w:rsidRPr="005563FC">
        <w:rPr>
          <w:rFonts w:ascii="Times New Roman" w:eastAsia="Times New Roman" w:hAnsi="Times New Roman" w:cs="Times New Roman"/>
          <w:color w:val="000000"/>
          <w:kern w:val="0"/>
          <w:lang w:eastAsia="de-DE"/>
          <w14:ligatures w14:val="none"/>
        </w:rPr>
        <w:t> Weiter vorne im Mittelfeld mit dynamischer Ausrichtung nach rechts.</w:t>
      </w:r>
    </w:p>
    <w:p w14:paraId="28620FF9"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Bewegung:</w:t>
      </w:r>
      <w:r w:rsidRPr="005563FC">
        <w:rPr>
          <w:rFonts w:ascii="Times New Roman" w:eastAsia="Times New Roman" w:hAnsi="Times New Roman" w:cs="Times New Roman"/>
          <w:color w:val="000000"/>
          <w:kern w:val="0"/>
          <w:lang w:eastAsia="de-DE"/>
          <w14:ligatures w14:val="none"/>
        </w:rPr>
        <w:t> Schnelle diagonale Bewegung nach außen, möglicherweise zur Schaffung von Freiräumen oder zur Öffnung eines Passkorridors.</w:t>
      </w:r>
    </w:p>
    <w:p w14:paraId="550B9979" w14:textId="77777777" w:rsidR="005563FC" w:rsidRPr="005563FC" w:rsidRDefault="005563FC" w:rsidP="005563F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lastRenderedPageBreak/>
        <w:t>Mwene (2) und Amiri (18):</w:t>
      </w:r>
    </w:p>
    <w:p w14:paraId="390BA4E1"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w:t>
      </w:r>
      <w:r w:rsidRPr="005563FC">
        <w:rPr>
          <w:rFonts w:ascii="Times New Roman" w:eastAsia="Times New Roman" w:hAnsi="Times New Roman" w:cs="Times New Roman"/>
          <w:color w:val="000000"/>
          <w:kern w:val="0"/>
          <w:lang w:eastAsia="de-DE"/>
          <w14:ligatures w14:val="none"/>
        </w:rPr>
        <w:t> Beide weiter rechts im Spielfeld positioniert, mit Amiri offensiver.</w:t>
      </w:r>
    </w:p>
    <w:p w14:paraId="0EC11120" w14:textId="77777777" w:rsidR="005563FC" w:rsidRPr="005563FC" w:rsidRDefault="005563FC" w:rsidP="005563F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Bewegung:</w:t>
      </w:r>
      <w:r w:rsidRPr="005563FC">
        <w:rPr>
          <w:rFonts w:ascii="Times New Roman" w:eastAsia="Times New Roman" w:hAnsi="Times New Roman" w:cs="Times New Roman"/>
          <w:color w:val="000000"/>
          <w:kern w:val="0"/>
          <w:lang w:eastAsia="de-DE"/>
          <w14:ligatures w14:val="none"/>
        </w:rPr>
        <w:t> Mwene steht näher zur Mittellinie, Amiri bewegt sich diagonal nach innen in Richtung des zentralen Raums.</w:t>
      </w:r>
    </w:p>
    <w:p w14:paraId="1FBAB3BF" w14:textId="77777777" w:rsidR="005563FC" w:rsidRPr="005563FC" w:rsidRDefault="005563FC" w:rsidP="005563F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Räumliche Beziehungen:</w:t>
      </w:r>
    </w:p>
    <w:p w14:paraId="588E65ED" w14:textId="77777777" w:rsidR="005563FC" w:rsidRPr="005563FC" w:rsidRDefault="005563FC" w:rsidP="005563F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 xml:space="preserve">Zwischen </w:t>
      </w:r>
      <w:proofErr w:type="spellStart"/>
      <w:r w:rsidRPr="005563FC">
        <w:rPr>
          <w:rFonts w:ascii="Times New Roman" w:eastAsia="Times New Roman" w:hAnsi="Times New Roman" w:cs="Times New Roman"/>
          <w:color w:val="000000"/>
          <w:kern w:val="0"/>
          <w:lang w:eastAsia="de-DE"/>
          <w14:ligatures w14:val="none"/>
        </w:rPr>
        <w:t>Jenz</w:t>
      </w:r>
      <w:proofErr w:type="spellEnd"/>
      <w:r w:rsidRPr="005563FC">
        <w:rPr>
          <w:rFonts w:ascii="Times New Roman" w:eastAsia="Times New Roman" w:hAnsi="Times New Roman" w:cs="Times New Roman"/>
          <w:color w:val="000000"/>
          <w:kern w:val="0"/>
          <w:lang w:eastAsia="de-DE"/>
          <w14:ligatures w14:val="none"/>
        </w:rPr>
        <w:t xml:space="preserve">, </w:t>
      </w:r>
      <w:proofErr w:type="spellStart"/>
      <w:r w:rsidRPr="005563FC">
        <w:rPr>
          <w:rFonts w:ascii="Times New Roman" w:eastAsia="Times New Roman" w:hAnsi="Times New Roman" w:cs="Times New Roman"/>
          <w:color w:val="000000"/>
          <w:kern w:val="0"/>
          <w:lang w:eastAsia="de-DE"/>
          <w14:ligatures w14:val="none"/>
        </w:rPr>
        <w:t>Leitsch</w:t>
      </w:r>
      <w:proofErr w:type="spellEnd"/>
      <w:r w:rsidRPr="005563FC">
        <w:rPr>
          <w:rFonts w:ascii="Times New Roman" w:eastAsia="Times New Roman" w:hAnsi="Times New Roman" w:cs="Times New Roman"/>
          <w:color w:val="000000"/>
          <w:kern w:val="0"/>
          <w:lang w:eastAsia="de-DE"/>
          <w14:ligatures w14:val="none"/>
        </w:rPr>
        <w:t xml:space="preserve"> und Zentner besteht eine klare Defensivformation.</w:t>
      </w:r>
    </w:p>
    <w:p w14:paraId="69E91022" w14:textId="77777777" w:rsidR="005563FC" w:rsidRPr="005563FC" w:rsidRDefault="005563FC" w:rsidP="005563F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5563FC">
        <w:rPr>
          <w:rFonts w:ascii="Times New Roman" w:eastAsia="Times New Roman" w:hAnsi="Times New Roman" w:cs="Times New Roman"/>
          <w:color w:val="000000"/>
          <w:kern w:val="0"/>
          <w:lang w:eastAsia="de-DE"/>
          <w14:ligatures w14:val="none"/>
        </w:rPr>
        <w:t>Kohr</w:t>
      </w:r>
      <w:proofErr w:type="spellEnd"/>
      <w:r w:rsidRPr="005563FC">
        <w:rPr>
          <w:rFonts w:ascii="Times New Roman" w:eastAsia="Times New Roman" w:hAnsi="Times New Roman" w:cs="Times New Roman"/>
          <w:color w:val="000000"/>
          <w:kern w:val="0"/>
          <w:lang w:eastAsia="de-DE"/>
          <w14:ligatures w14:val="none"/>
        </w:rPr>
        <w:t xml:space="preserve"> dient als zentrale Anspielstation und bietet Stabilität im Aufbau.</w:t>
      </w:r>
    </w:p>
    <w:p w14:paraId="2D1CDCCB" w14:textId="77777777" w:rsidR="005563FC" w:rsidRPr="005563FC" w:rsidRDefault="005563FC" w:rsidP="005563F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Sano, Mwene und Amiri öffnen potenziell das Spiel nach außen oder durch die Mitte.</w:t>
      </w:r>
    </w:p>
    <w:p w14:paraId="474F1590" w14:textId="77777777" w:rsidR="005563FC" w:rsidRPr="005563FC" w:rsidRDefault="00DE7440" w:rsidP="005563F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9D56961">
          <v:rect id="_x0000_i1026" alt="" style="width:452.25pt;height:.05pt;mso-width-percent:0;mso-height-percent:0;mso-width-percent:0;mso-height-percent:0" o:hrpct="997" o:hralign="center" o:hrstd="t" o:hr="t" fillcolor="#a0a0a0" stroked="f"/>
        </w:pict>
      </w:r>
    </w:p>
    <w:p w14:paraId="3FFB0988" w14:textId="77777777" w:rsidR="005563FC" w:rsidRPr="005563FC" w:rsidRDefault="005563FC" w:rsidP="005563F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563FC">
        <w:rPr>
          <w:rFonts w:ascii="Times New Roman" w:eastAsia="Times New Roman" w:hAnsi="Times New Roman" w:cs="Times New Roman"/>
          <w:b/>
          <w:bCs/>
          <w:color w:val="000000"/>
          <w:kern w:val="0"/>
          <w:sz w:val="27"/>
          <w:szCs w:val="27"/>
          <w:lang w:eastAsia="de-DE"/>
          <w14:ligatures w14:val="none"/>
        </w:rPr>
        <w:t>3. Verteidigungskonfiguration</w:t>
      </w:r>
    </w:p>
    <w:p w14:paraId="1CA9868B" w14:textId="77777777" w:rsidR="005563FC" w:rsidRPr="005563FC" w:rsidRDefault="005563FC" w:rsidP="005563F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Positionelle Verteidigung:</w:t>
      </w:r>
      <w:r w:rsidRPr="005563FC">
        <w:rPr>
          <w:rFonts w:ascii="Times New Roman" w:eastAsia="Times New Roman" w:hAnsi="Times New Roman" w:cs="Times New Roman"/>
          <w:color w:val="000000"/>
          <w:kern w:val="0"/>
          <w:lang w:eastAsia="de-DE"/>
          <w14:ligatures w14:val="none"/>
        </w:rPr>
        <w:t> Die gegnerischen Spieler sind in einer kompakten Formation positioniert. Der defensive Fokus scheint auf der Überwachung von Räumen und potenziellen Passoptionen zu liegen.</w:t>
      </w:r>
    </w:p>
    <w:p w14:paraId="2E9B37B2" w14:textId="77777777" w:rsidR="005563FC" w:rsidRPr="005563FC" w:rsidRDefault="005563FC" w:rsidP="005563F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Verhaltensanalyse Verteidiger:</w:t>
      </w:r>
    </w:p>
    <w:p w14:paraId="13B48028" w14:textId="77777777" w:rsidR="005563FC" w:rsidRPr="005563FC" w:rsidRDefault="005563FC" w:rsidP="005563FC">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Kein unmittelbarer Druck auf Zentner.</w:t>
      </w:r>
    </w:p>
    <w:p w14:paraId="0EA545DE" w14:textId="77777777" w:rsidR="005563FC" w:rsidRPr="005563FC" w:rsidRDefault="005563FC" w:rsidP="005563FC">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Fokus auf Deckung der Passwege zu Sano und Mwene.</w:t>
      </w:r>
    </w:p>
    <w:p w14:paraId="75760620" w14:textId="77777777" w:rsidR="005563FC" w:rsidRPr="005563FC" w:rsidRDefault="00DE7440" w:rsidP="005563F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0B38A740">
          <v:rect id="_x0000_i1025" alt="" style="width:452.25pt;height:.05pt;mso-width-percent:0;mso-height-percent:0;mso-width-percent:0;mso-height-percent:0" o:hrpct="997" o:hralign="center" o:hrstd="t" o:hr="t" fillcolor="#a0a0a0" stroked="f"/>
        </w:pict>
      </w:r>
    </w:p>
    <w:p w14:paraId="4BD5E778" w14:textId="77777777" w:rsidR="005563FC" w:rsidRPr="005563FC" w:rsidRDefault="005563FC" w:rsidP="005563F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563FC">
        <w:rPr>
          <w:rFonts w:ascii="Times New Roman" w:eastAsia="Times New Roman" w:hAnsi="Times New Roman" w:cs="Times New Roman"/>
          <w:b/>
          <w:bCs/>
          <w:color w:val="000000"/>
          <w:kern w:val="0"/>
          <w:sz w:val="27"/>
          <w:szCs w:val="27"/>
          <w:lang w:eastAsia="de-DE"/>
          <w14:ligatures w14:val="none"/>
        </w:rPr>
        <w:t>4. Komplexe Spielfelddynamik</w:t>
      </w:r>
    </w:p>
    <w:p w14:paraId="681DCB85" w14:textId="77777777" w:rsidR="005563FC" w:rsidRPr="005563FC" w:rsidRDefault="005563FC" w:rsidP="005563F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Raumanalyse:</w:t>
      </w:r>
    </w:p>
    <w:p w14:paraId="5A15A0DB" w14:textId="77777777" w:rsidR="005563FC" w:rsidRPr="005563FC" w:rsidRDefault="005563FC" w:rsidP="005563FC">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 xml:space="preserve">Freiräume existieren vor allem im zentralen </w:t>
      </w:r>
      <w:proofErr w:type="spellStart"/>
      <w:r w:rsidRPr="005563FC">
        <w:rPr>
          <w:rFonts w:ascii="Times New Roman" w:eastAsia="Times New Roman" w:hAnsi="Times New Roman" w:cs="Times New Roman"/>
          <w:color w:val="000000"/>
          <w:kern w:val="0"/>
          <w:lang w:eastAsia="de-DE"/>
          <w14:ligatures w14:val="none"/>
        </w:rPr>
        <w:t>Halbraum</w:t>
      </w:r>
      <w:proofErr w:type="spellEnd"/>
      <w:r w:rsidRPr="005563FC">
        <w:rPr>
          <w:rFonts w:ascii="Times New Roman" w:eastAsia="Times New Roman" w:hAnsi="Times New Roman" w:cs="Times New Roman"/>
          <w:color w:val="000000"/>
          <w:kern w:val="0"/>
          <w:lang w:eastAsia="de-DE"/>
          <w14:ligatures w14:val="none"/>
        </w:rPr>
        <w:t xml:space="preserve"> (linke Seite) und entlang der rechten Außenlinie.</w:t>
      </w:r>
    </w:p>
    <w:p w14:paraId="0AC8CED9" w14:textId="77777777" w:rsidR="005563FC" w:rsidRPr="005563FC" w:rsidRDefault="005563FC" w:rsidP="005563FC">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Die Formation der Mitspieler bietet eine gute Raumaufteilung, wobei die rechte Seite leicht überladen ist.</w:t>
      </w:r>
    </w:p>
    <w:p w14:paraId="54B413C7" w14:textId="77777777" w:rsidR="005563FC" w:rsidRPr="005563FC" w:rsidRDefault="005563FC" w:rsidP="005563F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b/>
          <w:bCs/>
          <w:color w:val="000000"/>
          <w:kern w:val="0"/>
          <w:lang w:eastAsia="de-DE"/>
          <w14:ligatures w14:val="none"/>
        </w:rPr>
        <w:t>Bewegungsmuster:</w:t>
      </w:r>
    </w:p>
    <w:p w14:paraId="1B6794EF" w14:textId="77777777" w:rsidR="005563FC" w:rsidRPr="005563FC" w:rsidRDefault="005563FC" w:rsidP="005563FC">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563FC">
        <w:rPr>
          <w:rFonts w:ascii="Times New Roman" w:eastAsia="Times New Roman" w:hAnsi="Times New Roman" w:cs="Times New Roman"/>
          <w:color w:val="000000"/>
          <w:kern w:val="0"/>
          <w:lang w:eastAsia="de-DE"/>
          <w14:ligatures w14:val="none"/>
        </w:rPr>
        <w:t>Sano zeigt dynamische Bewegungen, die auf eine Spielverlagerung hindeuten könnten.</w:t>
      </w:r>
    </w:p>
    <w:p w14:paraId="6FC94DEB" w14:textId="77777777" w:rsidR="005563FC" w:rsidRPr="005563FC" w:rsidRDefault="005563FC" w:rsidP="005563FC">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5563FC">
        <w:rPr>
          <w:rFonts w:ascii="Times New Roman" w:eastAsia="Times New Roman" w:hAnsi="Times New Roman" w:cs="Times New Roman"/>
          <w:color w:val="000000"/>
          <w:kern w:val="0"/>
          <w:lang w:eastAsia="de-DE"/>
          <w14:ligatures w14:val="none"/>
        </w:rPr>
        <w:t>Jenz</w:t>
      </w:r>
      <w:proofErr w:type="spellEnd"/>
      <w:r w:rsidRPr="005563FC">
        <w:rPr>
          <w:rFonts w:ascii="Times New Roman" w:eastAsia="Times New Roman" w:hAnsi="Times New Roman" w:cs="Times New Roman"/>
          <w:color w:val="000000"/>
          <w:kern w:val="0"/>
          <w:lang w:eastAsia="de-DE"/>
          <w14:ligatures w14:val="none"/>
        </w:rPr>
        <w:t xml:space="preserve"> und </w:t>
      </w:r>
      <w:proofErr w:type="spellStart"/>
      <w:r w:rsidRPr="005563FC">
        <w:rPr>
          <w:rFonts w:ascii="Times New Roman" w:eastAsia="Times New Roman" w:hAnsi="Times New Roman" w:cs="Times New Roman"/>
          <w:color w:val="000000"/>
          <w:kern w:val="0"/>
          <w:lang w:eastAsia="de-DE"/>
          <w14:ligatures w14:val="none"/>
        </w:rPr>
        <w:t>Leitsch</w:t>
      </w:r>
      <w:proofErr w:type="spellEnd"/>
      <w:r w:rsidRPr="005563FC">
        <w:rPr>
          <w:rFonts w:ascii="Times New Roman" w:eastAsia="Times New Roman" w:hAnsi="Times New Roman" w:cs="Times New Roman"/>
          <w:color w:val="000000"/>
          <w:kern w:val="0"/>
          <w:lang w:eastAsia="de-DE"/>
          <w14:ligatures w14:val="none"/>
        </w:rPr>
        <w:t xml:space="preserve"> bleiben defensiv statisch, während </w:t>
      </w:r>
      <w:proofErr w:type="spellStart"/>
      <w:r w:rsidRPr="005563FC">
        <w:rPr>
          <w:rFonts w:ascii="Times New Roman" w:eastAsia="Times New Roman" w:hAnsi="Times New Roman" w:cs="Times New Roman"/>
          <w:color w:val="000000"/>
          <w:kern w:val="0"/>
          <w:lang w:eastAsia="de-DE"/>
          <w14:ligatures w14:val="none"/>
        </w:rPr>
        <w:t>Kohr</w:t>
      </w:r>
      <w:proofErr w:type="spellEnd"/>
      <w:r w:rsidRPr="005563FC">
        <w:rPr>
          <w:rFonts w:ascii="Times New Roman" w:eastAsia="Times New Roman" w:hAnsi="Times New Roman" w:cs="Times New Roman"/>
          <w:color w:val="000000"/>
          <w:kern w:val="0"/>
          <w:lang w:eastAsia="de-DE"/>
          <w14:ligatures w14:val="none"/>
        </w:rPr>
        <w:t xml:space="preserve"> eine strategisch zentrale Rolle einnimmt.</w:t>
      </w:r>
    </w:p>
    <w:p w14:paraId="72CE7752" w14:textId="77777777" w:rsidR="005F2053" w:rsidRDefault="005F2053"/>
    <w:p w14:paraId="7DAB5754" w14:textId="77777777" w:rsidR="005F2053" w:rsidRPr="00943E3A" w:rsidRDefault="005F2053" w:rsidP="005F2053">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31423863" w14:textId="77777777" w:rsidR="005F2053" w:rsidRDefault="005F2053" w:rsidP="005F2053"/>
    <w:p w14:paraId="0C32386D" w14:textId="77777777" w:rsidR="005F2053" w:rsidRDefault="005F2053"/>
    <w:sectPr w:rsidR="005F2053"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C75"/>
    <w:multiLevelType w:val="multilevel"/>
    <w:tmpl w:val="CB6C7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36468"/>
    <w:multiLevelType w:val="multilevel"/>
    <w:tmpl w:val="5064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046E4"/>
    <w:multiLevelType w:val="multilevel"/>
    <w:tmpl w:val="C28E4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23ECD"/>
    <w:multiLevelType w:val="multilevel"/>
    <w:tmpl w:val="EBF0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31283"/>
    <w:multiLevelType w:val="multilevel"/>
    <w:tmpl w:val="B7F23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306215">
    <w:abstractNumId w:val="4"/>
  </w:num>
  <w:num w:numId="2" w16cid:durableId="584344452">
    <w:abstractNumId w:val="2"/>
  </w:num>
  <w:num w:numId="3" w16cid:durableId="799110702">
    <w:abstractNumId w:val="1"/>
  </w:num>
  <w:num w:numId="4" w16cid:durableId="2060544894">
    <w:abstractNumId w:val="3"/>
  </w:num>
  <w:num w:numId="5" w16cid:durableId="124376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6E"/>
    <w:rsid w:val="00024A96"/>
    <w:rsid w:val="005563FC"/>
    <w:rsid w:val="005C1FAD"/>
    <w:rsid w:val="005D2913"/>
    <w:rsid w:val="005F2053"/>
    <w:rsid w:val="006B5844"/>
    <w:rsid w:val="00970524"/>
    <w:rsid w:val="009706E2"/>
    <w:rsid w:val="00B77C6E"/>
    <w:rsid w:val="00BF2449"/>
    <w:rsid w:val="00DE7440"/>
    <w:rsid w:val="00E20DF8"/>
    <w:rsid w:val="00ED564C"/>
    <w:rsid w:val="00F965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91CA"/>
  <w15:chartTrackingRefBased/>
  <w15:docId w15:val="{34451A9C-2785-6B42-A90E-1776913F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77C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77C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77C6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B77C6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77C6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77C6E"/>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77C6E"/>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77C6E"/>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77C6E"/>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7C6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77C6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77C6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B77C6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77C6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77C6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77C6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77C6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77C6E"/>
    <w:rPr>
      <w:rFonts w:eastAsiaTheme="majorEastAsia" w:cstheme="majorBidi"/>
      <w:color w:val="272727" w:themeColor="text1" w:themeTint="D8"/>
    </w:rPr>
  </w:style>
  <w:style w:type="paragraph" w:styleId="Titel">
    <w:name w:val="Title"/>
    <w:basedOn w:val="Standard"/>
    <w:next w:val="Standard"/>
    <w:link w:val="TitelZchn"/>
    <w:uiPriority w:val="10"/>
    <w:qFormat/>
    <w:rsid w:val="00B77C6E"/>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7C6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77C6E"/>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77C6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77C6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77C6E"/>
    <w:rPr>
      <w:i/>
      <w:iCs/>
      <w:color w:val="404040" w:themeColor="text1" w:themeTint="BF"/>
    </w:rPr>
  </w:style>
  <w:style w:type="paragraph" w:styleId="Listenabsatz">
    <w:name w:val="List Paragraph"/>
    <w:basedOn w:val="Standard"/>
    <w:uiPriority w:val="34"/>
    <w:qFormat/>
    <w:rsid w:val="00B77C6E"/>
    <w:pPr>
      <w:ind w:left="720"/>
      <w:contextualSpacing/>
    </w:pPr>
  </w:style>
  <w:style w:type="character" w:styleId="IntensiveHervorhebung">
    <w:name w:val="Intense Emphasis"/>
    <w:basedOn w:val="Absatz-Standardschriftart"/>
    <w:uiPriority w:val="21"/>
    <w:qFormat/>
    <w:rsid w:val="00B77C6E"/>
    <w:rPr>
      <w:i/>
      <w:iCs/>
      <w:color w:val="0F4761" w:themeColor="accent1" w:themeShade="BF"/>
    </w:rPr>
  </w:style>
  <w:style w:type="paragraph" w:styleId="IntensivesZitat">
    <w:name w:val="Intense Quote"/>
    <w:basedOn w:val="Standard"/>
    <w:next w:val="Standard"/>
    <w:link w:val="IntensivesZitatZchn"/>
    <w:uiPriority w:val="30"/>
    <w:qFormat/>
    <w:rsid w:val="00B77C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77C6E"/>
    <w:rPr>
      <w:i/>
      <w:iCs/>
      <w:color w:val="0F4761" w:themeColor="accent1" w:themeShade="BF"/>
    </w:rPr>
  </w:style>
  <w:style w:type="character" w:styleId="IntensiverVerweis">
    <w:name w:val="Intense Reference"/>
    <w:basedOn w:val="Absatz-Standardschriftart"/>
    <w:uiPriority w:val="32"/>
    <w:qFormat/>
    <w:rsid w:val="00B77C6E"/>
    <w:rPr>
      <w:b/>
      <w:bCs/>
      <w:smallCaps/>
      <w:color w:val="0F4761" w:themeColor="accent1" w:themeShade="BF"/>
      <w:spacing w:val="5"/>
    </w:rPr>
  </w:style>
  <w:style w:type="character" w:styleId="Fett">
    <w:name w:val="Strong"/>
    <w:basedOn w:val="Absatz-Standardschriftart"/>
    <w:uiPriority w:val="22"/>
    <w:qFormat/>
    <w:rsid w:val="005563FC"/>
    <w:rPr>
      <w:b/>
      <w:bCs/>
    </w:rPr>
  </w:style>
  <w:style w:type="character" w:customStyle="1" w:styleId="apple-converted-space">
    <w:name w:val="apple-converted-space"/>
    <w:basedOn w:val="Absatz-Standardschriftart"/>
    <w:rsid w:val="005563FC"/>
  </w:style>
  <w:style w:type="table" w:styleId="Tabellenraster">
    <w:name w:val="Table Grid"/>
    <w:basedOn w:val="NormaleTabelle"/>
    <w:uiPriority w:val="39"/>
    <w:rsid w:val="005C1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378">
      <w:bodyDiv w:val="1"/>
      <w:marLeft w:val="0"/>
      <w:marRight w:val="0"/>
      <w:marTop w:val="0"/>
      <w:marBottom w:val="0"/>
      <w:divBdr>
        <w:top w:val="none" w:sz="0" w:space="0" w:color="auto"/>
        <w:left w:val="none" w:sz="0" w:space="0" w:color="auto"/>
        <w:bottom w:val="none" w:sz="0" w:space="0" w:color="auto"/>
        <w:right w:val="none" w:sz="0" w:space="0" w:color="auto"/>
      </w:divBdr>
    </w:div>
    <w:div w:id="1250120406">
      <w:bodyDiv w:val="1"/>
      <w:marLeft w:val="0"/>
      <w:marRight w:val="0"/>
      <w:marTop w:val="0"/>
      <w:marBottom w:val="0"/>
      <w:divBdr>
        <w:top w:val="none" w:sz="0" w:space="0" w:color="auto"/>
        <w:left w:val="none" w:sz="0" w:space="0" w:color="auto"/>
        <w:bottom w:val="none" w:sz="0" w:space="0" w:color="auto"/>
        <w:right w:val="none" w:sz="0" w:space="0" w:color="auto"/>
      </w:divBdr>
    </w:div>
    <w:div w:id="175933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3018</Characters>
  <Application>Microsoft Office Word</Application>
  <DocSecurity>0</DocSecurity>
  <Lines>25</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2025-01-25T12:09:00Z</dcterms:created>
  <dcterms:modified xsi:type="dcterms:W3CDTF">2025-02-08T18:13:00Z</dcterms:modified>
</cp:coreProperties>
</file>