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569BC" w14:textId="77777777" w:rsidR="00B47367" w:rsidRPr="00B47367" w:rsidRDefault="00B47367" w:rsidP="00B47367">
      <w:pPr>
        <w:spacing w:before="100" w:beforeAutospacing="1" w:after="100" w:afterAutospacing="1"/>
        <w:outlineLvl w:val="2"/>
        <w:rPr>
          <w:rFonts w:ascii="Times New Roman" w:eastAsia="Times New Roman" w:hAnsi="Times New Roman" w:cs="Times New Roman"/>
          <w:color w:val="000000"/>
          <w:kern w:val="0"/>
          <w:lang w:eastAsia="de-DE"/>
          <w14:ligatures w14:val="none"/>
        </w:rPr>
      </w:pPr>
      <w:r w:rsidRPr="00B47367">
        <w:rPr>
          <w:rFonts w:ascii="Times New Roman" w:eastAsia="Times New Roman" w:hAnsi="Times New Roman" w:cs="Times New Roman"/>
          <w:color w:val="000000"/>
          <w:kern w:val="0"/>
          <w:lang w:eastAsia="de-DE"/>
          <w14:ligatures w14:val="none"/>
        </w:rPr>
        <w:t>Das Bild zeigt eine Szene eines Bundesligaspiels, bei dem FC Augsburg (weiße Trikots) gegen Borussia M'gladbach (schwarze Trikots) spielt. Vor dem Spiel steht FC Augsburg (weiße Trikots) auf Platz 13 und Borussia M'gladbach (schwarze Trikots) auf Platz 17 der Bundesligatabelle. FC Augsburg (weiße Trikots) ist das Heimteam und es steht 0:0. Die Szene ist zeitlich gesehen im 1. Viertel des Spiels und Borussia M'gladbach ist im Ballbesitz. Hier folgt eine Beschreibung der Spielszene.</w:t>
      </w:r>
    </w:p>
    <w:p w14:paraId="21610862" w14:textId="77777777" w:rsidR="00325FD9" w:rsidRDefault="00325FD9" w:rsidP="007E27C2">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p>
    <w:p w14:paraId="2434BA1F" w14:textId="138CF35E" w:rsidR="007E27C2" w:rsidRPr="007E27C2" w:rsidRDefault="007E27C2" w:rsidP="007E27C2">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7E27C2">
        <w:rPr>
          <w:rFonts w:ascii="Times New Roman" w:eastAsia="Times New Roman" w:hAnsi="Times New Roman" w:cs="Times New Roman"/>
          <w:b/>
          <w:bCs/>
          <w:color w:val="000000"/>
          <w:kern w:val="0"/>
          <w:sz w:val="27"/>
          <w:szCs w:val="27"/>
          <w:lang w:eastAsia="de-DE"/>
          <w14:ligatures w14:val="none"/>
        </w:rPr>
        <w:t>1. Ballführender Spieler:</w:t>
      </w:r>
    </w:p>
    <w:p w14:paraId="15D4EE43" w14:textId="77777777" w:rsidR="007E27C2" w:rsidRPr="007E27C2" w:rsidRDefault="007E27C2" w:rsidP="007E27C2">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Spielername und Trikotnummer:</w:t>
      </w:r>
      <w:r w:rsidRPr="007E27C2">
        <w:rPr>
          <w:rFonts w:ascii="Times New Roman" w:eastAsia="Times New Roman" w:hAnsi="Times New Roman" w:cs="Times New Roman"/>
          <w:color w:val="000000"/>
          <w:kern w:val="0"/>
          <w:lang w:eastAsia="de-DE"/>
          <w14:ligatures w14:val="none"/>
        </w:rPr>
        <w:t> Nico Elvedi (#30)</w:t>
      </w:r>
    </w:p>
    <w:p w14:paraId="24C54041" w14:textId="77777777" w:rsidR="007E27C2" w:rsidRPr="007E27C2" w:rsidRDefault="007E27C2" w:rsidP="007E27C2">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Positionierung:</w:t>
      </w:r>
    </w:p>
    <w:p w14:paraId="3E3ED521" w14:textId="77777777" w:rsidR="007E27C2" w:rsidRPr="007E27C2" w:rsidRDefault="007E27C2" w:rsidP="007E27C2">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Geodätisch:</w:t>
      </w:r>
      <w:r w:rsidRPr="007E27C2">
        <w:rPr>
          <w:rFonts w:ascii="Times New Roman" w:eastAsia="Times New Roman" w:hAnsi="Times New Roman" w:cs="Times New Roman"/>
          <w:color w:val="000000"/>
          <w:kern w:val="0"/>
          <w:lang w:eastAsia="de-DE"/>
          <w14:ligatures w14:val="none"/>
        </w:rPr>
        <w:t> Rechte Außenbahn, knapp innerhalb der eigenen Spielfeldhälfte.</w:t>
      </w:r>
    </w:p>
    <w:p w14:paraId="0B8332D3" w14:textId="77777777" w:rsidR="007E27C2" w:rsidRPr="007E27C2" w:rsidRDefault="007E27C2" w:rsidP="007E27C2">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Referenzpunkte:</w:t>
      </w:r>
      <w:r w:rsidRPr="007E27C2">
        <w:rPr>
          <w:rFonts w:ascii="Times New Roman" w:eastAsia="Times New Roman" w:hAnsi="Times New Roman" w:cs="Times New Roman"/>
          <w:color w:val="000000"/>
          <w:kern w:val="0"/>
          <w:lang w:eastAsia="de-DE"/>
          <w14:ligatures w14:val="none"/>
        </w:rPr>
        <w:t> Nähe zur Seitenlinie, orientiert in Richtung des zentralen Spielfelds.</w:t>
      </w:r>
    </w:p>
    <w:p w14:paraId="43418857" w14:textId="77777777" w:rsidR="007E27C2" w:rsidRPr="007E27C2" w:rsidRDefault="007E27C2" w:rsidP="007E27C2">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Relative Distanz:</w:t>
      </w:r>
      <w:r w:rsidRPr="007E27C2">
        <w:rPr>
          <w:rFonts w:ascii="Times New Roman" w:eastAsia="Times New Roman" w:hAnsi="Times New Roman" w:cs="Times New Roman"/>
          <w:color w:val="000000"/>
          <w:kern w:val="0"/>
          <w:lang w:eastAsia="de-DE"/>
          <w14:ligatures w14:val="none"/>
        </w:rPr>
        <w:t> Kürzester Abstand zu Itakura (#3), mittlere Entfernung zu Weigl (#8) und Sander (#16).</w:t>
      </w:r>
    </w:p>
    <w:p w14:paraId="44185A95" w14:textId="77777777" w:rsidR="007E27C2" w:rsidRPr="007E27C2" w:rsidRDefault="007E27C2" w:rsidP="007E27C2">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Bewegungsdynamik:</w:t>
      </w:r>
    </w:p>
    <w:p w14:paraId="7557CBF6" w14:textId="77777777" w:rsidR="007E27C2" w:rsidRPr="007E27C2" w:rsidRDefault="007E27C2" w:rsidP="007E27C2">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Bewegungsrichtung:</w:t>
      </w:r>
      <w:r w:rsidRPr="007E27C2">
        <w:rPr>
          <w:rFonts w:ascii="Times New Roman" w:eastAsia="Times New Roman" w:hAnsi="Times New Roman" w:cs="Times New Roman"/>
          <w:color w:val="000000"/>
          <w:kern w:val="0"/>
          <w:lang w:eastAsia="de-DE"/>
          <w14:ligatures w14:val="none"/>
        </w:rPr>
        <w:t> Horizontaler Druck entlang der Außenbahn, leichter Blick ins Zentrum.</w:t>
      </w:r>
    </w:p>
    <w:p w14:paraId="4438814C" w14:textId="77777777" w:rsidR="007E27C2" w:rsidRPr="007E27C2" w:rsidRDefault="007E27C2" w:rsidP="007E27C2">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Geschwindigkeitskomponente:</w:t>
      </w:r>
      <w:r w:rsidRPr="007E27C2">
        <w:rPr>
          <w:rFonts w:ascii="Times New Roman" w:eastAsia="Times New Roman" w:hAnsi="Times New Roman" w:cs="Times New Roman"/>
          <w:color w:val="000000"/>
          <w:kern w:val="0"/>
          <w:lang w:eastAsia="de-DE"/>
          <w14:ligatures w14:val="none"/>
        </w:rPr>
        <w:t> Moderate Bewegung mit kontrolliertem Ball.</w:t>
      </w:r>
    </w:p>
    <w:p w14:paraId="46C50DDC" w14:textId="77777777" w:rsidR="007E27C2" w:rsidRPr="007E27C2" w:rsidRDefault="007E27C2" w:rsidP="007E27C2">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Körperhaltung:</w:t>
      </w:r>
      <w:r w:rsidRPr="007E27C2">
        <w:rPr>
          <w:rFonts w:ascii="Times New Roman" w:eastAsia="Times New Roman" w:hAnsi="Times New Roman" w:cs="Times New Roman"/>
          <w:color w:val="000000"/>
          <w:kern w:val="0"/>
          <w:lang w:eastAsia="de-DE"/>
          <w14:ligatures w14:val="none"/>
        </w:rPr>
        <w:t> Offene Haltung, bereit für einen Pass ins Zentrum oder zur Seitenlinie.</w:t>
      </w:r>
    </w:p>
    <w:p w14:paraId="10B1952E" w14:textId="77777777" w:rsidR="007E27C2" w:rsidRPr="007E27C2" w:rsidRDefault="007E27C2" w:rsidP="007E27C2">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Gegnerischer Handlungsdruck:</w:t>
      </w:r>
    </w:p>
    <w:p w14:paraId="07B4BA8A" w14:textId="77777777" w:rsidR="007E27C2" w:rsidRPr="007E27C2" w:rsidRDefault="007E27C2" w:rsidP="007E27C2">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Bedrohungsanalyse:</w:t>
      </w:r>
      <w:r w:rsidRPr="007E27C2">
        <w:rPr>
          <w:rFonts w:ascii="Times New Roman" w:eastAsia="Times New Roman" w:hAnsi="Times New Roman" w:cs="Times New Roman"/>
          <w:color w:val="000000"/>
          <w:kern w:val="0"/>
          <w:lang w:eastAsia="de-DE"/>
          <w14:ligatures w14:val="none"/>
        </w:rPr>
        <w:t> Kein unmittelbarer Gegnerdruck, da der ballführende Spieler ausreichend Platz hat.</w:t>
      </w:r>
    </w:p>
    <w:p w14:paraId="3B64F5C8" w14:textId="77777777" w:rsidR="007E27C2" w:rsidRPr="007E27C2" w:rsidRDefault="007E27C2" w:rsidP="007E27C2">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Risikomatrix:</w:t>
      </w:r>
      <w:r w:rsidRPr="007E27C2">
        <w:rPr>
          <w:rFonts w:ascii="Times New Roman" w:eastAsia="Times New Roman" w:hAnsi="Times New Roman" w:cs="Times New Roman"/>
          <w:color w:val="000000"/>
          <w:kern w:val="0"/>
          <w:lang w:eastAsia="de-DE"/>
          <w14:ligatures w14:val="none"/>
        </w:rPr>
        <w:t> Geringes Risiko für einen Ballverlust; Zeit für strategische Entscheidungsfindung.</w:t>
      </w:r>
    </w:p>
    <w:p w14:paraId="2B35D598" w14:textId="77777777" w:rsidR="007E27C2" w:rsidRPr="007E27C2" w:rsidRDefault="007E27C2" w:rsidP="007E27C2">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Taktische Handlungsoptionen:</w:t>
      </w:r>
      <w:r w:rsidRPr="007E27C2">
        <w:rPr>
          <w:rFonts w:ascii="Times New Roman" w:eastAsia="Times New Roman" w:hAnsi="Times New Roman" w:cs="Times New Roman"/>
          <w:color w:val="000000"/>
          <w:kern w:val="0"/>
          <w:lang w:eastAsia="de-DE"/>
          <w14:ligatures w14:val="none"/>
        </w:rPr>
        <w:t> Potenzial für einen Querpass zu Itakura (#3), einen längeren Ball auf Scally (#29) oder einen Vorstoß entlang der rechten Linie.</w:t>
      </w:r>
    </w:p>
    <w:p w14:paraId="4B4FFD30" w14:textId="77777777" w:rsidR="007E27C2" w:rsidRPr="007E27C2" w:rsidRDefault="00B31FD9" w:rsidP="007E27C2">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36ADA0F2">
          <v:rect id="_x0000_i1027" alt="" style="width:452.25pt;height:.05pt;mso-width-percent:0;mso-height-percent:0;mso-width-percent:0;mso-height-percent:0" o:hrpct="997" o:hralign="center" o:hrstd="t" o:hr="t" fillcolor="#a0a0a0" stroked="f"/>
        </w:pict>
      </w:r>
    </w:p>
    <w:p w14:paraId="56B0F387" w14:textId="77777777" w:rsidR="007E27C2" w:rsidRPr="007E27C2" w:rsidRDefault="007E27C2" w:rsidP="007E27C2">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7E27C2">
        <w:rPr>
          <w:rFonts w:ascii="Times New Roman" w:eastAsia="Times New Roman" w:hAnsi="Times New Roman" w:cs="Times New Roman"/>
          <w:b/>
          <w:bCs/>
          <w:color w:val="000000"/>
          <w:kern w:val="0"/>
          <w:sz w:val="27"/>
          <w:szCs w:val="27"/>
          <w:lang w:eastAsia="de-DE"/>
          <w14:ligatures w14:val="none"/>
        </w:rPr>
        <w:t>2. Mitspieler-Netzwerk:</w:t>
      </w:r>
    </w:p>
    <w:p w14:paraId="5D7B5AC2" w14:textId="77777777" w:rsidR="007E27C2" w:rsidRPr="007E27C2" w:rsidRDefault="007E27C2" w:rsidP="007E27C2">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Positionelle Koordinaten:</w:t>
      </w:r>
    </w:p>
    <w:p w14:paraId="6055A0B6" w14:textId="77777777" w:rsidR="007E27C2" w:rsidRPr="007E27C2" w:rsidRDefault="007E27C2" w:rsidP="007E27C2">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Itakura (#3):</w:t>
      </w:r>
      <w:r w:rsidRPr="007E27C2">
        <w:rPr>
          <w:rFonts w:ascii="Times New Roman" w:eastAsia="Times New Roman" w:hAnsi="Times New Roman" w:cs="Times New Roman"/>
          <w:color w:val="000000"/>
          <w:kern w:val="0"/>
          <w:lang w:eastAsia="de-DE"/>
          <w14:ligatures w14:val="none"/>
        </w:rPr>
        <w:t> Zentral leicht hinter Elvedi positioniert, verfügbar für einen Rückpass.</w:t>
      </w:r>
    </w:p>
    <w:p w14:paraId="500356F5" w14:textId="77777777" w:rsidR="007E27C2" w:rsidRPr="007E27C2" w:rsidRDefault="007E27C2" w:rsidP="007E27C2">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Weigl (#8):</w:t>
      </w:r>
      <w:r w:rsidRPr="007E27C2">
        <w:rPr>
          <w:rFonts w:ascii="Times New Roman" w:eastAsia="Times New Roman" w:hAnsi="Times New Roman" w:cs="Times New Roman"/>
          <w:color w:val="000000"/>
          <w:kern w:val="0"/>
          <w:lang w:eastAsia="de-DE"/>
          <w14:ligatures w14:val="none"/>
        </w:rPr>
        <w:t> Zentral und leicht vor Elvedi; potenzieller Empfänger für einen vertikalen Pass.</w:t>
      </w:r>
    </w:p>
    <w:p w14:paraId="2B2BE3F9" w14:textId="77777777" w:rsidR="007E27C2" w:rsidRPr="007E27C2" w:rsidRDefault="007E27C2" w:rsidP="007E27C2">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Sander (#16):</w:t>
      </w:r>
      <w:r w:rsidRPr="007E27C2">
        <w:rPr>
          <w:rFonts w:ascii="Times New Roman" w:eastAsia="Times New Roman" w:hAnsi="Times New Roman" w:cs="Times New Roman"/>
          <w:color w:val="000000"/>
          <w:kern w:val="0"/>
          <w:lang w:eastAsia="de-DE"/>
          <w14:ligatures w14:val="none"/>
        </w:rPr>
        <w:t> Weiter im Zentrum positioniert, mit Blick auf offensive Räume.</w:t>
      </w:r>
    </w:p>
    <w:p w14:paraId="4DD5A1AC" w14:textId="77777777" w:rsidR="007E27C2" w:rsidRPr="007E27C2" w:rsidRDefault="007E27C2" w:rsidP="007E27C2">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Netz (#20):</w:t>
      </w:r>
      <w:r w:rsidRPr="007E27C2">
        <w:rPr>
          <w:rFonts w:ascii="Times New Roman" w:eastAsia="Times New Roman" w:hAnsi="Times New Roman" w:cs="Times New Roman"/>
          <w:color w:val="000000"/>
          <w:kern w:val="0"/>
          <w:lang w:eastAsia="de-DE"/>
          <w14:ligatures w14:val="none"/>
        </w:rPr>
        <w:t> Auf der gegenüberliegenden linken Seite positioniert, keine direkte Verbindung erkennbar.</w:t>
      </w:r>
    </w:p>
    <w:p w14:paraId="17A811A3" w14:textId="77777777" w:rsidR="007E27C2" w:rsidRPr="007E27C2" w:rsidRDefault="007E27C2" w:rsidP="007E27C2">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Scally (#29):</w:t>
      </w:r>
      <w:r w:rsidRPr="007E27C2">
        <w:rPr>
          <w:rFonts w:ascii="Times New Roman" w:eastAsia="Times New Roman" w:hAnsi="Times New Roman" w:cs="Times New Roman"/>
          <w:color w:val="000000"/>
          <w:kern w:val="0"/>
          <w:lang w:eastAsia="de-DE"/>
          <w14:ligatures w14:val="none"/>
        </w:rPr>
        <w:t> Tiefer rechts außen, potenziell freier Raum für einen Flügelpass.</w:t>
      </w:r>
    </w:p>
    <w:p w14:paraId="25B95F00" w14:textId="77777777" w:rsidR="007E27C2" w:rsidRPr="007E27C2" w:rsidRDefault="007E27C2" w:rsidP="007E27C2">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Räumliche Beziehungen:</w:t>
      </w:r>
    </w:p>
    <w:p w14:paraId="537E5319" w14:textId="77777777" w:rsidR="007E27C2" w:rsidRPr="007E27C2" w:rsidRDefault="007E27C2" w:rsidP="007E27C2">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Freiraumanalyse:</w:t>
      </w:r>
      <w:r w:rsidRPr="007E27C2">
        <w:rPr>
          <w:rFonts w:ascii="Times New Roman" w:eastAsia="Times New Roman" w:hAnsi="Times New Roman" w:cs="Times New Roman"/>
          <w:color w:val="000000"/>
          <w:kern w:val="0"/>
          <w:lang w:eastAsia="de-DE"/>
          <w14:ligatures w14:val="none"/>
        </w:rPr>
        <w:t> Rechte Außenbahn weitgehend unbedrängt; Möglichkeiten für einen Vorstoß oder Pass ins Zentrum.</w:t>
      </w:r>
    </w:p>
    <w:p w14:paraId="3046C697" w14:textId="77777777" w:rsidR="007E27C2" w:rsidRPr="007E27C2" w:rsidRDefault="007E27C2" w:rsidP="007E27C2">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Dynamische Raumöffnungen:</w:t>
      </w:r>
      <w:r w:rsidRPr="007E27C2">
        <w:rPr>
          <w:rFonts w:ascii="Times New Roman" w:eastAsia="Times New Roman" w:hAnsi="Times New Roman" w:cs="Times New Roman"/>
          <w:color w:val="000000"/>
          <w:kern w:val="0"/>
          <w:lang w:eastAsia="de-DE"/>
          <w14:ligatures w14:val="none"/>
        </w:rPr>
        <w:t> Zentraler Raum durch Weigl (#8) und Sander (#16) anspielbar.</w:t>
      </w:r>
    </w:p>
    <w:p w14:paraId="263D66E6" w14:textId="77777777" w:rsidR="007E27C2" w:rsidRPr="007E27C2" w:rsidRDefault="007E27C2" w:rsidP="007E27C2">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Deckungssituation:</w:t>
      </w:r>
    </w:p>
    <w:p w14:paraId="1CA14971" w14:textId="77777777" w:rsidR="007E27C2" w:rsidRPr="007E27C2" w:rsidRDefault="007E27C2" w:rsidP="007E27C2">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lastRenderedPageBreak/>
        <w:t>Gegnerische Überwachung: Keine unmittelbare Bedrohung; Verteidigung orientiert sich an Weigl und Sander.</w:t>
      </w:r>
    </w:p>
    <w:p w14:paraId="728B3D41" w14:textId="77777777" w:rsidR="007E27C2" w:rsidRPr="007E27C2" w:rsidRDefault="007E27C2" w:rsidP="007E27C2">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Deckungslücken: Rechte Seite bietet Räume für Vorstöße.</w:t>
      </w:r>
    </w:p>
    <w:p w14:paraId="62B9D235" w14:textId="77777777" w:rsidR="007E27C2" w:rsidRPr="007E27C2" w:rsidRDefault="00B31FD9" w:rsidP="007E27C2">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3E04299A">
          <v:rect id="_x0000_i1026" alt="" style="width:452.25pt;height:.05pt;mso-width-percent:0;mso-height-percent:0;mso-width-percent:0;mso-height-percent:0" o:hrpct="997" o:hralign="center" o:hrstd="t" o:hr="t" fillcolor="#a0a0a0" stroked="f"/>
        </w:pict>
      </w:r>
    </w:p>
    <w:p w14:paraId="0DC2352A" w14:textId="77777777" w:rsidR="007E27C2" w:rsidRPr="007E27C2" w:rsidRDefault="007E27C2" w:rsidP="007E27C2">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7E27C2">
        <w:rPr>
          <w:rFonts w:ascii="Times New Roman" w:eastAsia="Times New Roman" w:hAnsi="Times New Roman" w:cs="Times New Roman"/>
          <w:b/>
          <w:bCs/>
          <w:color w:val="000000"/>
          <w:kern w:val="0"/>
          <w:sz w:val="27"/>
          <w:szCs w:val="27"/>
          <w:lang w:eastAsia="de-DE"/>
          <w14:ligatures w14:val="none"/>
        </w:rPr>
        <w:t>3. Verteidigungskonfiguration:</w:t>
      </w:r>
    </w:p>
    <w:p w14:paraId="6E7E5409" w14:textId="77777777" w:rsidR="007E27C2" w:rsidRPr="007E27C2" w:rsidRDefault="007E27C2" w:rsidP="007E27C2">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Positionelle Verteidigungstopologie:</w:t>
      </w:r>
    </w:p>
    <w:p w14:paraId="7F6ADDEB" w14:textId="77777777" w:rsidR="007E27C2" w:rsidRPr="007E27C2" w:rsidRDefault="007E27C2" w:rsidP="007E27C2">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Defensive Anordnung breit und gut abgestimmt, mit Itakura (#3) zentral und Nicolas (#33) als Absicherung im Tor.</w:t>
      </w:r>
    </w:p>
    <w:p w14:paraId="41D07BEE" w14:textId="77777777" w:rsidR="007E27C2" w:rsidRPr="007E27C2" w:rsidRDefault="007E27C2" w:rsidP="007E27C2">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Scally (#29) tief für mögliche Konterabsicherung.</w:t>
      </w:r>
    </w:p>
    <w:p w14:paraId="762F212A" w14:textId="77777777" w:rsidR="007E27C2" w:rsidRPr="007E27C2" w:rsidRDefault="007E27C2" w:rsidP="007E27C2">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Dynamische Anpassungsfähigkeit:</w:t>
      </w:r>
    </w:p>
    <w:p w14:paraId="091841F2" w14:textId="77777777" w:rsidR="007E27C2" w:rsidRPr="007E27C2" w:rsidRDefault="007E27C2" w:rsidP="007E27C2">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Potenzial für schnelle Seitenverlagerung auf die linke Seite über Netz (#20).</w:t>
      </w:r>
    </w:p>
    <w:p w14:paraId="02A693CB" w14:textId="77777777" w:rsidR="007E27C2" w:rsidRPr="007E27C2" w:rsidRDefault="007E27C2" w:rsidP="007E27C2">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Koordination zwischen den Verteidigern stabil.</w:t>
      </w:r>
    </w:p>
    <w:p w14:paraId="4B809309" w14:textId="77777777" w:rsidR="007E27C2" w:rsidRPr="007E27C2" w:rsidRDefault="007E27C2" w:rsidP="007E27C2">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Verhaltensanalyse Verteidiger:</w:t>
      </w:r>
    </w:p>
    <w:p w14:paraId="1E959445" w14:textId="77777777" w:rsidR="007E27C2" w:rsidRPr="007E27C2" w:rsidRDefault="007E27C2" w:rsidP="007E27C2">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Antizipation: Spieler konzentrieren sich auf geordnete Spielentwicklung.</w:t>
      </w:r>
    </w:p>
    <w:p w14:paraId="6B65D6EF" w14:textId="77777777" w:rsidR="007E27C2" w:rsidRPr="007E27C2" w:rsidRDefault="007E27C2" w:rsidP="007E27C2">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Reaktionsgeschwindigkeit: Flexibel bei gegnerischen Angriffen.</w:t>
      </w:r>
    </w:p>
    <w:p w14:paraId="3CF36DAF" w14:textId="77777777" w:rsidR="007E27C2" w:rsidRPr="007E27C2" w:rsidRDefault="007E27C2" w:rsidP="007E27C2">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Taktische Intention: Spielaufbau durch sichere Kurzpässe.</w:t>
      </w:r>
    </w:p>
    <w:p w14:paraId="61C3AAEA" w14:textId="77777777" w:rsidR="007E27C2" w:rsidRPr="007E27C2" w:rsidRDefault="00B31FD9" w:rsidP="007E27C2">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40BCC094">
          <v:rect id="_x0000_i1025" alt="" style="width:452.25pt;height:.05pt;mso-width-percent:0;mso-height-percent:0;mso-width-percent:0;mso-height-percent:0" o:hrpct="997" o:hralign="center" o:hrstd="t" o:hr="t" fillcolor="#a0a0a0" stroked="f"/>
        </w:pict>
      </w:r>
    </w:p>
    <w:p w14:paraId="2A80B2C5" w14:textId="77777777" w:rsidR="007E27C2" w:rsidRPr="007E27C2" w:rsidRDefault="007E27C2" w:rsidP="007E27C2">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7E27C2">
        <w:rPr>
          <w:rFonts w:ascii="Times New Roman" w:eastAsia="Times New Roman" w:hAnsi="Times New Roman" w:cs="Times New Roman"/>
          <w:b/>
          <w:bCs/>
          <w:color w:val="000000"/>
          <w:kern w:val="0"/>
          <w:sz w:val="27"/>
          <w:szCs w:val="27"/>
          <w:lang w:eastAsia="de-DE"/>
          <w14:ligatures w14:val="none"/>
        </w:rPr>
        <w:t>4. Komplexe Spielfelddynamik:</w:t>
      </w:r>
    </w:p>
    <w:p w14:paraId="2656E84A" w14:textId="77777777" w:rsidR="007E27C2" w:rsidRPr="007E27C2" w:rsidRDefault="007E27C2" w:rsidP="007E27C2">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Raumanalyse:</w:t>
      </w:r>
    </w:p>
    <w:p w14:paraId="6F1A259D" w14:textId="77777777" w:rsidR="007E27C2" w:rsidRPr="007E27C2" w:rsidRDefault="007E27C2" w:rsidP="007E27C2">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Rechte Außenbahn strategisch offen; linker Flügel weniger im Fokus.</w:t>
      </w:r>
    </w:p>
    <w:p w14:paraId="5921E3DB" w14:textId="77777777" w:rsidR="007E27C2" w:rsidRPr="007E27C2" w:rsidRDefault="007E27C2" w:rsidP="007E27C2">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Temporäre Störzonen: Mittelfeld kompakt und auf Passoptionen vorbereitet.</w:t>
      </w:r>
    </w:p>
    <w:p w14:paraId="042F3116" w14:textId="77777777" w:rsidR="007E27C2" w:rsidRPr="007E27C2" w:rsidRDefault="007E27C2" w:rsidP="007E27C2">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b/>
          <w:bCs/>
          <w:color w:val="000000"/>
          <w:kern w:val="0"/>
          <w:lang w:eastAsia="de-DE"/>
          <w14:ligatures w14:val="none"/>
        </w:rPr>
        <w:t>Bewegungsmusteranalyse:</w:t>
      </w:r>
    </w:p>
    <w:p w14:paraId="217ADB61" w14:textId="77777777" w:rsidR="007E27C2" w:rsidRPr="007E27C2" w:rsidRDefault="007E27C2" w:rsidP="007E27C2">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Interdependente Spielerbewegungen: Zentrale Spieler (Weigl, Sander) bieten dynamische Anspielstationen.</w:t>
      </w:r>
    </w:p>
    <w:p w14:paraId="013EEF89" w14:textId="77777777" w:rsidR="007E27C2" w:rsidRPr="007E27C2" w:rsidRDefault="007E27C2" w:rsidP="007E27C2">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Erwartete Laufwege: Scally (#29) könnte die Außenbahn besetzen; Weigl oder Sander könnten in die Tiefe starten.</w:t>
      </w:r>
    </w:p>
    <w:p w14:paraId="6677FF55" w14:textId="77777777" w:rsidR="007E27C2" w:rsidRPr="007E27C2" w:rsidRDefault="007E27C2" w:rsidP="007E27C2">
      <w:pPr>
        <w:numPr>
          <w:ilvl w:val="1"/>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7E27C2">
        <w:rPr>
          <w:rFonts w:ascii="Times New Roman" w:eastAsia="Times New Roman" w:hAnsi="Times New Roman" w:cs="Times New Roman"/>
          <w:color w:val="000000"/>
          <w:kern w:val="0"/>
          <w:lang w:eastAsia="de-DE"/>
          <w14:ligatures w14:val="none"/>
        </w:rPr>
        <w:t>Potenzielle Kombinationen: Kontrollierter Aufbau mit Kurzpässen, keine direkte Bedrohung.</w:t>
      </w:r>
    </w:p>
    <w:p w14:paraId="6C778B6F" w14:textId="77777777" w:rsidR="00970524" w:rsidRDefault="00970524"/>
    <w:p w14:paraId="55031A30" w14:textId="77777777" w:rsidR="00325FD9" w:rsidRPr="00943E3A" w:rsidRDefault="00325FD9" w:rsidP="00325FD9">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73107961" w14:textId="77777777" w:rsidR="00325FD9" w:rsidRDefault="00325FD9" w:rsidP="00325FD9"/>
    <w:p w14:paraId="4BC80F63" w14:textId="77777777" w:rsidR="00325FD9" w:rsidRDefault="00325FD9"/>
    <w:sectPr w:rsidR="00325FD9"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1218DD"/>
    <w:multiLevelType w:val="multilevel"/>
    <w:tmpl w:val="20966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6B5A2E"/>
    <w:multiLevelType w:val="multilevel"/>
    <w:tmpl w:val="ADCE5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8A6758"/>
    <w:multiLevelType w:val="multilevel"/>
    <w:tmpl w:val="CAC20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3C4B04"/>
    <w:multiLevelType w:val="multilevel"/>
    <w:tmpl w:val="53846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5658805">
    <w:abstractNumId w:val="3"/>
  </w:num>
  <w:num w:numId="2" w16cid:durableId="1454859767">
    <w:abstractNumId w:val="0"/>
  </w:num>
  <w:num w:numId="3" w16cid:durableId="1861359155">
    <w:abstractNumId w:val="2"/>
  </w:num>
  <w:num w:numId="4" w16cid:durableId="586037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9A6"/>
    <w:rsid w:val="00024A96"/>
    <w:rsid w:val="00325FD9"/>
    <w:rsid w:val="005D2913"/>
    <w:rsid w:val="006B5844"/>
    <w:rsid w:val="007E27C2"/>
    <w:rsid w:val="00970524"/>
    <w:rsid w:val="00A003AC"/>
    <w:rsid w:val="00B31FD9"/>
    <w:rsid w:val="00B47367"/>
    <w:rsid w:val="00BF2449"/>
    <w:rsid w:val="00D32991"/>
    <w:rsid w:val="00E20DF8"/>
    <w:rsid w:val="00ED564C"/>
    <w:rsid w:val="00FF19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78471"/>
  <w15:chartTrackingRefBased/>
  <w15:docId w15:val="{B8840E5E-81A0-C040-BDCF-F13A0D6C6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F19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F19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FF19A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F19A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F19A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F19A6"/>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F19A6"/>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F19A6"/>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F19A6"/>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F19A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F19A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FF19A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F19A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F19A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F19A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F19A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F19A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F19A6"/>
    <w:rPr>
      <w:rFonts w:eastAsiaTheme="majorEastAsia" w:cstheme="majorBidi"/>
      <w:color w:val="272727" w:themeColor="text1" w:themeTint="D8"/>
    </w:rPr>
  </w:style>
  <w:style w:type="paragraph" w:styleId="Titel">
    <w:name w:val="Title"/>
    <w:basedOn w:val="Standard"/>
    <w:next w:val="Standard"/>
    <w:link w:val="TitelZchn"/>
    <w:uiPriority w:val="10"/>
    <w:qFormat/>
    <w:rsid w:val="00FF19A6"/>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19A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F19A6"/>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F19A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F19A6"/>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FF19A6"/>
    <w:rPr>
      <w:i/>
      <w:iCs/>
      <w:color w:val="404040" w:themeColor="text1" w:themeTint="BF"/>
    </w:rPr>
  </w:style>
  <w:style w:type="paragraph" w:styleId="Listenabsatz">
    <w:name w:val="List Paragraph"/>
    <w:basedOn w:val="Standard"/>
    <w:uiPriority w:val="34"/>
    <w:qFormat/>
    <w:rsid w:val="00FF19A6"/>
    <w:pPr>
      <w:ind w:left="720"/>
      <w:contextualSpacing/>
    </w:pPr>
  </w:style>
  <w:style w:type="character" w:styleId="IntensiveHervorhebung">
    <w:name w:val="Intense Emphasis"/>
    <w:basedOn w:val="Absatz-Standardschriftart"/>
    <w:uiPriority w:val="21"/>
    <w:qFormat/>
    <w:rsid w:val="00FF19A6"/>
    <w:rPr>
      <w:i/>
      <w:iCs/>
      <w:color w:val="0F4761" w:themeColor="accent1" w:themeShade="BF"/>
    </w:rPr>
  </w:style>
  <w:style w:type="paragraph" w:styleId="IntensivesZitat">
    <w:name w:val="Intense Quote"/>
    <w:basedOn w:val="Standard"/>
    <w:next w:val="Standard"/>
    <w:link w:val="IntensivesZitatZchn"/>
    <w:uiPriority w:val="30"/>
    <w:qFormat/>
    <w:rsid w:val="00FF19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F19A6"/>
    <w:rPr>
      <w:i/>
      <w:iCs/>
      <w:color w:val="0F4761" w:themeColor="accent1" w:themeShade="BF"/>
    </w:rPr>
  </w:style>
  <w:style w:type="character" w:styleId="IntensiverVerweis">
    <w:name w:val="Intense Reference"/>
    <w:basedOn w:val="Absatz-Standardschriftart"/>
    <w:uiPriority w:val="32"/>
    <w:qFormat/>
    <w:rsid w:val="00FF19A6"/>
    <w:rPr>
      <w:b/>
      <w:bCs/>
      <w:smallCaps/>
      <w:color w:val="0F4761" w:themeColor="accent1" w:themeShade="BF"/>
      <w:spacing w:val="5"/>
    </w:rPr>
  </w:style>
  <w:style w:type="character" w:customStyle="1" w:styleId="apple-converted-space">
    <w:name w:val="apple-converted-space"/>
    <w:basedOn w:val="Absatz-Standardschriftart"/>
    <w:rsid w:val="007E27C2"/>
  </w:style>
  <w:style w:type="character" w:styleId="Fett">
    <w:name w:val="Strong"/>
    <w:basedOn w:val="Absatz-Standardschriftart"/>
    <w:uiPriority w:val="22"/>
    <w:qFormat/>
    <w:rsid w:val="007E27C2"/>
    <w:rPr>
      <w:b/>
      <w:bCs/>
    </w:rPr>
  </w:style>
  <w:style w:type="table" w:styleId="Tabellenraster">
    <w:name w:val="Table Grid"/>
    <w:basedOn w:val="NormaleTabelle"/>
    <w:uiPriority w:val="39"/>
    <w:rsid w:val="00B473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798457">
      <w:bodyDiv w:val="1"/>
      <w:marLeft w:val="0"/>
      <w:marRight w:val="0"/>
      <w:marTop w:val="0"/>
      <w:marBottom w:val="0"/>
      <w:divBdr>
        <w:top w:val="none" w:sz="0" w:space="0" w:color="auto"/>
        <w:left w:val="none" w:sz="0" w:space="0" w:color="auto"/>
        <w:bottom w:val="none" w:sz="0" w:space="0" w:color="auto"/>
        <w:right w:val="none" w:sz="0" w:space="0" w:color="auto"/>
      </w:divBdr>
    </w:div>
    <w:div w:id="319817047">
      <w:bodyDiv w:val="1"/>
      <w:marLeft w:val="0"/>
      <w:marRight w:val="0"/>
      <w:marTop w:val="0"/>
      <w:marBottom w:val="0"/>
      <w:divBdr>
        <w:top w:val="none" w:sz="0" w:space="0" w:color="auto"/>
        <w:left w:val="none" w:sz="0" w:space="0" w:color="auto"/>
        <w:bottom w:val="none" w:sz="0" w:space="0" w:color="auto"/>
        <w:right w:val="none" w:sz="0" w:space="0" w:color="auto"/>
      </w:divBdr>
    </w:div>
    <w:div w:id="174124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500</Words>
  <Characters>3157</Characters>
  <Application>Microsoft Office Word</Application>
  <DocSecurity>0</DocSecurity>
  <Lines>26</Lines>
  <Paragraphs>7</Paragraphs>
  <ScaleCrop>false</ScaleCrop>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4</cp:revision>
  <dcterms:created xsi:type="dcterms:W3CDTF">2025-01-25T12:12:00Z</dcterms:created>
  <dcterms:modified xsi:type="dcterms:W3CDTF">2025-02-08T18:13:00Z</dcterms:modified>
</cp:coreProperties>
</file>