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414E7F">
              <w:t>’acquisition de l’ADC</w:t>
            </w:r>
          </w:p>
          <w:p w:rsidR="00E76F72" w:rsidRDefault="00E76F72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414E7F">
            <w:r>
              <w:t>L2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14E7F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2017-03-23T18:35:00Z</dcterms:modified>
</cp:coreProperties>
</file>