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Georgia" w:cs="Georgia" w:eastAsia="Georgia" w:hAnsi="Georgia"/>
          <w:b/>
          <w:bCs/>
          <w:color w:val="1A1A1A"/>
          <w:sz w:val="56"/>
          <w:szCs w:val="56"/>
        </w:rPr>
        <w:t xml:space="preserve">BERENBERG BANK</w:t>
      </w:r>
    </w:p>
    <w:p>
      <w:pPr>
        <w:spacing w:after="80" w:before="0"/>
        <w:jc w:val="center"/>
      </w:pPr>
      <w:r>
        <w:rPr>
          <w:rFonts w:ascii="Arial" w:cs="Arial" w:eastAsia="Arial" w:hAnsi="Arial"/>
          <w:color w:val="E8450A"/>
          <w:sz w:val="28"/>
          <w:szCs w:val="28"/>
        </w:rPr>
        <w:t xml:space="preserve">Electronic Trading Division</w:t>
      </w:r>
    </w:p>
    <w:p>
      <w:pPr>
        <w:pBdr>
          <w:top w:val="single" w:color="E8450A" w:sz="12" w:space="10"/>
          <w:bottom w:val="single" w:color="E8450A" w:sz="12" w:space="10"/>
        </w:pBdr>
        <w:spacing w:after="120" w:before="360"/>
        <w:jc w:val="center"/>
      </w:pPr>
      <w:r>
        <w:rPr>
          <w:rFonts w:ascii="Georgia" w:cs="Georgia" w:eastAsia="Georgia" w:hAnsi="Georgia"/>
          <w:b/>
          <w:bCs/>
          <w:color w:val="1A1A1A"/>
          <w:sz w:val="38"/>
          <w:szCs w:val="38"/>
        </w:rPr>
        <w:t xml:space="preserve">TCA Platform — Technical Architecture</w:t>
      </w:r>
    </w:p>
    <w:p>
      <w:pPr>
        <w:spacing w:after="600" w:before="80"/>
        <w:jc w:val="center"/>
      </w:pPr>
      <w:r>
        <w:rPr>
          <w:rFonts w:ascii="Arial" w:cs="Arial" w:eastAsia="Arial" w:hAnsi="Arial"/>
          <w:i/>
          <w:iCs/>
          <w:color w:val="6B6460"/>
          <w:sz w:val="24"/>
          <w:szCs w:val="24"/>
        </w:rPr>
        <w:t xml:space="preserve">Component Design &amp; Implementation Specification  |  Proof of Concept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Attribute</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Value</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Document Type</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Technical Architecture &amp; Component Specification</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Predecessor</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TCA Platform — High-Level Requirements (ETL &amp; Analytics)</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Scope</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End-to-end architecture: Ingestion → Data Vault 2.0 → Marts → Reporting → API</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ETL Framework</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dlt (dlthub) for batch; Faker+FastAPI mock for real-time; dbt for transformation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Vault Model</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Vault 2.0 — Staging → Raw Vault → Business Vault → Information Marts</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Storage</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 per-domain warehouse schemas; consolidated reporting schema</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Orchestration</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Apache Airflow 2.x</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Observability</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anomaly detection layer + quarantine queue + Great Expectations</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Reporting</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Angular 17 SPA with role-based, counterparty-scoped data access</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External API</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with JWT + row-level security enforced at query level</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DRAFT — Internal Review</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22 April 2026</w:t>
            </w:r>
          </w:p>
        </w:tc>
      </w:tr>
    </w:tbl>
    <w:p>
      <w:pPr>
        <w:spacing w:after="40" w:before="40"/>
      </w:pPr>
      <w:r>
        <w:t xml:space="preserve"/>
      </w:r>
    </w:p>
    <w:p>
      <w:pPr>
        <w:pBdr>
          <w:left w:val="single" w:color="E8450A" w:sz="12" w:space="8"/>
        </w:pBdr>
        <w:spacing w:after="100" w:before="80"/>
        <w:ind w:left="360"/>
      </w:pPr>
      <w:r>
        <w:rPr>
          <w:rFonts w:ascii="Arial" w:cs="Arial" w:eastAsia="Arial" w:hAnsi="Arial"/>
          <w:i/>
          <w:iCs/>
          <w:color w:val="6B6460"/>
          <w:sz w:val="20"/>
          <w:szCs w:val="20"/>
        </w:rPr>
        <w:t xml:space="preserve">  This document is the companion technical specification to the High-Level Requirements document. It describes the architecture, data flows, component design, and implementation approach for each layer of the Berenberg TCA platform PoC. No code is included; diagrams illustrate structure and flow.</w:t>
      </w:r>
    </w:p>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1. System Architecture Overview</w:t>
      </w:r>
    </w:p>
    <w:p>
      <w:pPr>
        <w:spacing w:after="100" w:before="80"/>
      </w:pPr>
      <w:r>
        <w:rPr>
          <w:rFonts w:ascii="Arial" w:cs="Arial" w:eastAsia="Arial" w:hAnsi="Arial"/>
          <w:b w:val="false"/>
          <w:bCs w:val="false"/>
          <w:i w:val="false"/>
          <w:iCs w:val="false"/>
          <w:color w:val="1A1A1A"/>
          <w:sz w:val="22"/>
          <w:szCs w:val="22"/>
        </w:rPr>
        <w:t xml:space="preserve">The Berenberg TCA platform is a layered data system comprising ten architectural components, each with a distinct responsibility. Data flows unidirectionally from sources through ingestion, transformation, and storage, into consumption layers served by a reporting front-end and an external API. Cross-cutting concerns — observability, lineage, cataloguing, orchestration, and access control — are applied at every layer.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EXTERNAL DATA SOURCES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OMS/EMS (FIX 4.4)    Market Data (REST)    Ref Data    Fixed Income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 DATA EXTRACTION LAYER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Batch: dlt (dlthub)           Real-time: FastAPI Mock + Redis Streams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Raw landing tables (PostgreSQL)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B. DATA VAULT 2.0  (dbt on PostgreSQL)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STAGING    │→ │  RAW VAULT           │→ │  BUSINESS VAULT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(stg_*)    │  │  Hubs / Links / Sats │  │  Derived / Cleansed rules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INFORMATION MARTS  (star schemas — per-domain warehouses)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mart_trading_risk  |  mart_market_data  |  mart_corporate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mart_consolidated  (entity schemas per legal entity)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C. OBSERVABILITY       │  │  D. LINEAGE &amp;   │  │  E. ORCHESTRATION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Anomaly / Quarantine   │  │     CATALOG     │  │  Airflow DAGs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F. ANGULAR REPORTING   │  │  G. FASTAPI EXTERNAL API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Role + counterparty    │  │  JWT auth + row-level security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scoped SPA             │  │  Counterparty-filtered endpoints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bl>
    <w:p>
      <w:pPr>
        <w:spacing w:after="160" w:before="60"/>
        <w:jc w:val="center"/>
      </w:pPr>
      <w:r>
        <w:rPr>
          <w:rFonts w:ascii="Arial" w:cs="Arial" w:eastAsia="Arial" w:hAnsi="Arial"/>
          <w:i/>
          <w:iCs/>
          <w:color w:val="6B6460"/>
          <w:sz w:val="18"/>
          <w:szCs w:val="18"/>
        </w:rPr>
        <w:t xml:space="preserve">Figure 1 — Berenberg TCA Platform: End-to-End Architecture</w:t>
      </w:r>
    </w:p>
    <w:p>
      <w:pPr>
        <w:spacing w:after="40" w:before="40"/>
      </w:pPr>
      <w:r>
        <w:t xml:space="preserve"/>
      </w:r>
    </w:p>
    <w:p>
      <w:pPr>
        <w:pBdr>
          <w:left w:val="single" w:color="E8450A" w:sz="12" w:space="8"/>
        </w:pBdr>
        <w:spacing w:after="100" w:before="80"/>
        <w:ind w:left="360"/>
      </w:pPr>
      <w:r>
        <w:rPr>
          <w:rFonts w:ascii="Arial" w:cs="Arial" w:eastAsia="Arial" w:hAnsi="Arial"/>
          <w:i/>
          <w:iCs/>
          <w:color w:val="6B6460"/>
          <w:sz w:val="20"/>
          <w:szCs w:val="20"/>
        </w:rPr>
        <w:t xml:space="preserve">  Each layer is described in a dedicated section. Sections A through J map directly to the requirements specification points.</w:t>
      </w:r>
    </w:p>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A. Data Extraction Layer</w:t>
      </w:r>
    </w:p>
    <w:p>
      <w:pPr>
        <w:spacing w:after="100" w:before="80"/>
      </w:pPr>
      <w:r>
        <w:rPr>
          <w:rFonts w:ascii="Arial" w:cs="Arial" w:eastAsia="Arial" w:hAnsi="Arial"/>
          <w:b w:val="false"/>
          <w:bCs w:val="false"/>
          <w:i w:val="false"/>
          <w:iCs w:val="false"/>
          <w:color w:val="1A1A1A"/>
          <w:sz w:val="22"/>
          <w:szCs w:val="22"/>
        </w:rPr>
        <w:t xml:space="preserve">The extraction layer separates batch and real-time concerns. Batch extraction uses dlt (dlthub) to load from structured sources into PostgreSQL landing zones. Real-time simulation uses a lightweight FastAPI mock server with Redis Streams as the message bus — the simplest viable real-time infrastructure for a proof of concept, requiring no Kafka cluster or broker licensing.</w:t>
      </w:r>
    </w:p>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A.1  Batch Extraction — dlt (dlthub)</w:t>
      </w:r>
    </w:p>
    <w:p>
      <w:pPr>
        <w:spacing w:after="100" w:before="80"/>
      </w:pPr>
      <w:r>
        <w:rPr>
          <w:rFonts w:ascii="Arial" w:cs="Arial" w:eastAsia="Arial" w:hAnsi="Arial"/>
          <w:b w:val="false"/>
          <w:bCs w:val="false"/>
          <w:i w:val="false"/>
          <w:iCs w:val="false"/>
          <w:color w:val="1A1A1A"/>
          <w:sz w:val="22"/>
          <w:szCs w:val="22"/>
        </w:rPr>
        <w:t xml:space="preserve">dlt is a Python-native, zero-infrastructure EL (Extract-Load) framework. It connects to sources via declarative pipelines, handles schema inference, incremental loading, and writes directly to PostgreSQL destination tables with automatic normalisation. For the PoC it replaces SQLAlchemy and custom connectors entirely.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dlt PIPELINE STRUCTURE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@dlt.source           @dlt.resource          dlt.pipeline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oms_source   │  →   │ orders_resource  │ → │ pipeline.run()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market_source│      │ fills_resource   │   │ destination=postgres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ref_source   │      │ market_bars      │   │ dataset='stg_raw'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FIX log files /        REST JSON polling        Incremental load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CSV EOD dumps          (vendor API / mock)       _dlt_loads audit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2 — dlt Pipeline Structure</w:t>
      </w:r>
    </w:p>
    <w:p>
      <w:pPr>
        <w:pStyle w:val="Heading3"/>
        <w:spacing w:after="100" w:before="220"/>
      </w:pPr>
      <w:r>
        <w:rPr>
          <w:rFonts w:ascii="Arial" w:cs="Arial" w:eastAsia="Arial" w:hAnsi="Arial"/>
          <w:b/>
          <w:bCs/>
          <w:color w:val="E8450A"/>
          <w:sz w:val="23"/>
          <w:szCs w:val="23"/>
        </w:rPr>
        <w:t xml:space="preserve">A.1.1  dlt Source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00"/>
        <w:gridCol w:w="4860"/>
      </w:tblGrid>
      <w:tr>
        <w:trPr>
          <w:tblHeader/>
        </w:trPr>
        <w:tc>
          <w:tcPr>
            <w:tcW w:type="dxa" w:w="1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dlt Source</w:t>
            </w:r>
          </w:p>
        </w:tc>
        <w:tc>
          <w:tcPr>
            <w:tcW w:type="dxa" w:w="1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Domain</w:t>
            </w:r>
          </w:p>
        </w:tc>
        <w:tc>
          <w:tcPr>
            <w:tcW w:type="dxa" w:w="1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Schedule</w:t>
            </w:r>
          </w:p>
        </w:tc>
        <w:tc>
          <w:tcPr>
            <w:tcW w:type="dxa" w:w="48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oms_source</w:t>
            </w:r>
          </w:p>
        </w:tc>
        <w:tc>
          <w:tcPr>
            <w:tcW w:type="dxa" w:w="1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Trading</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EOD batch</w:t>
            </w:r>
          </w:p>
        </w:tc>
        <w:tc>
          <w:tcPr>
            <w:tcW w:type="dxa" w:w="4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Parses FIX 4.4 ExecutionReport logs. Extracts order lifecycle events. Resources: orders, fills, child_orders. Incremental on order_id + fill_time.</w:t>
            </w:r>
          </w:p>
        </w:tc>
      </w:tr>
      <w:tr>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market_data_source</w:t>
            </w:r>
          </w:p>
        </w:tc>
        <w:tc>
          <w:tcPr>
            <w:tcW w:type="dxa" w:w="1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30s</w:t>
            </w:r>
          </w:p>
        </w:tc>
        <w:tc>
          <w:tcPr>
            <w:tcW w:type="dxa" w:w="48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polling of market data vendor mock. Resources: tick_bars (bid/ask/last/volume), daily_ohlcv, reference_prices. Incremental on timestamp.</w:t>
            </w:r>
          </w:p>
        </w:tc>
      </w:tr>
      <w:tr>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ref_data_source</w:t>
            </w:r>
          </w:p>
        </w:tc>
        <w:tc>
          <w:tcPr>
            <w:tcW w:type="dxa" w:w="1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Corporate</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07:00</w:t>
            </w:r>
          </w:p>
        </w:tc>
        <w:tc>
          <w:tcPr>
            <w:tcW w:type="dxa" w:w="4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Pulls instrument master, client (KYC) reference, legal entity registry. Resources: instruments, clients, legal_entities. Full refresh daily.</w:t>
            </w:r>
          </w:p>
        </w:tc>
      </w:tr>
      <w:tr>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fi_pricing_source</w:t>
            </w:r>
          </w:p>
        </w:tc>
        <w:tc>
          <w:tcPr>
            <w:tcW w:type="dxa" w:w="1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EOD 16:45</w:t>
            </w:r>
          </w:p>
        </w:tc>
        <w:tc>
          <w:tcPr>
            <w:tcW w:type="dxa" w:w="48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income evaluated prices from vendor mock. Resources: bond_prices (mid yield, bid/ask spread, DV01). Incremental on price_date.</w:t>
            </w:r>
          </w:p>
        </w:tc>
      </w:tr>
      <w:tr>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eurex_source</w:t>
            </w:r>
          </w:p>
        </w:tc>
        <w:tc>
          <w:tcPr>
            <w:tcW w:type="dxa" w:w="1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Trading</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EOD 17:15</w:t>
            </w:r>
          </w:p>
        </w:tc>
        <w:tc>
          <w:tcPr>
            <w:tcW w:type="dxa" w:w="4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Eurex EDSP CSV file landing. Resources: edsp_settlements, open_interest. Full refresh per trading day.</w:t>
            </w:r>
          </w:p>
        </w:tc>
      </w:tr>
    </w:tbl>
    <w:p>
      <w:pPr>
        <w:spacing w:after="40" w:before="40"/>
      </w:pPr>
      <w:r>
        <w:t xml:space="preserve"/>
      </w:r>
    </w:p>
    <w:p>
      <w:pPr>
        <w:pStyle w:val="Heading3"/>
        <w:spacing w:after="100" w:before="220"/>
      </w:pPr>
      <w:r>
        <w:rPr>
          <w:rFonts w:ascii="Arial" w:cs="Arial" w:eastAsia="Arial" w:hAnsi="Arial"/>
          <w:b/>
          <w:bCs/>
          <w:color w:val="E8450A"/>
          <w:sz w:val="23"/>
          <w:szCs w:val="23"/>
        </w:rPr>
        <w:t xml:space="preserve">A.1.2  dlt Loading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Aspect</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 Detail</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Destination schema</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dlt pipelines write to the stg_raw PostgreSQL schema. Each resource creates its own table (e.g. stg_raw.orders, stg_raw.tick_bars).</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Incremental loading</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dlt cursor-based incremental loading is used for orders, fills, and market data, keyed on timestamp or sequence_id. Avoids full reloads.</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Schema evolution</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dlt's schema-on-load capability detects new columns from source and adds them to the destination automatically, with an alert raised to the catalog layer.</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_dlt_loads audit table</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dlt writes a _dlt_loads record for every pipeline run containing source, row counts, load_id, and status. This feeds the observability layer.</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Normalisation</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Nested JSON payloads from vendor APIs are automatically flattened by dlt into relational tables using its built-in json_normaliser.</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Secrets management</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connection strings and API keys injected via dlt secrets.toml (PoC) / AWS Secrets Manager (production path).</w:t>
            </w:r>
          </w:p>
        </w:tc>
      </w:tr>
    </w:tbl>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A.2  Real-Time Extraction — FastAPI Mock + Redis Streams</w:t>
      </w:r>
    </w:p>
    <w:p>
      <w:pPr>
        <w:spacing w:after="100" w:before="80"/>
      </w:pPr>
      <w:r>
        <w:rPr>
          <w:rFonts w:ascii="Arial" w:cs="Arial" w:eastAsia="Arial" w:hAnsi="Arial"/>
          <w:b w:val="false"/>
          <w:bCs w:val="false"/>
          <w:i w:val="false"/>
          <w:iCs w:val="false"/>
          <w:color w:val="1A1A1A"/>
          <w:sz w:val="22"/>
          <w:szCs w:val="22"/>
        </w:rPr>
        <w:t xml:space="preserve">For the PoC, real-time OMS/EMS fills are simulated using a lightweight FastAPI mock server that generates synthetic FIX-style execution events. Redis Streams acts as the message bus — a durable, ordered log that consumers can read at their own pace. This combination requires zero external broker infrastructure and runs on the same Docker Compose stack as PostgreSQL.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REAL-TIME MOCK ARCHITECTURE (PoC)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FastAPI Mock Server     │      │  Redis Streams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POST /mock/fill         │  →   │  Stream: brg:fills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POST /mock/order        │      │  Stream: brg:orders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Uses Faker lib to gen   │      │  Stream: brg:market_ticks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realistic payloads      │      │  (durable ordered log, XADD)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Redis Consumer (Python thread)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XREADGROUP consumer group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Writes to stg_raw.rt_fills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(PostgreSQL — same schema as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dlt batch tables)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3 — Real-Time Mock: FastAPI + Redis Streams</w:t>
      </w:r>
    </w:p>
    <w:p>
      <w:pPr>
        <w:pStyle w:val="Heading3"/>
        <w:spacing w:after="100" w:before="220"/>
      </w:pPr>
      <w:r>
        <w:rPr>
          <w:rFonts w:ascii="Arial" w:cs="Arial" w:eastAsia="Arial" w:hAnsi="Arial"/>
          <w:b/>
          <w:bCs/>
          <w:color w:val="E8450A"/>
          <w:sz w:val="23"/>
          <w:szCs w:val="23"/>
        </w:rPr>
        <w:t xml:space="preserve">A.2.1  Why Redis Streams for the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Redis Streams Feature</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Justification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Zero broker overhead</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in Docker container. No cluster or ZooKeeper. Single dependency.</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Durable ordered log</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XADD appends messages; XREADGROUP consumer groups provide at-least-once delivery.</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Replay capability</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XSETID resets consumer offset — critical for TCA re-computation on corrected data.</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Production upgrade path</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Streams maps to Kafka topics. Migration in production is a connector swap only.</w:t>
            </w:r>
          </w:p>
        </w:tc>
      </w:tr>
    </w:tbl>
    <w:p>
      <w:pPr>
        <w:pStyle w:val="Heading3"/>
        <w:spacing w:after="100" w:before="220"/>
      </w:pPr>
      <w:r>
        <w:rPr>
          <w:rFonts w:ascii="Arial" w:cs="Arial" w:eastAsia="Arial" w:hAnsi="Arial"/>
          <w:b/>
          <w:bCs/>
          <w:color w:val="E8450A"/>
          <w:sz w:val="23"/>
          <w:szCs w:val="23"/>
        </w:rPr>
        <w:t xml:space="preserve">A.2.2  Mock Data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Aspect</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Library</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Faker library generates realistic counterparty names, instrument symbols, quantities, prices.</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Scenario scripts</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Configurable scenario runner controls fill rate (fills/min), drift parameters, and adverse selection probabilities.</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Seed control</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NumPy random seed per run ensures reproducible test scenarios for integration testing.</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Latency injection</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Gaussian delay injected on mock events (mean 80ms, std 30ms) simulates realistic OMS latency.</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B. Storage Architecture — PostgreSQL</w:t>
      </w:r>
    </w:p>
    <w:p>
      <w:pPr>
        <w:spacing w:after="100" w:before="80"/>
      </w:pPr>
      <w:r>
        <w:rPr>
          <w:rFonts w:ascii="Arial" w:cs="Arial" w:eastAsia="Arial" w:hAnsi="Arial"/>
          <w:b w:val="false"/>
          <w:bCs w:val="false"/>
          <w:i w:val="false"/>
          <w:iCs w:val="false"/>
          <w:color w:val="1A1A1A"/>
          <w:sz w:val="22"/>
          <w:szCs w:val="22"/>
        </w:rPr>
        <w:t xml:space="preserve">All persistent data lives in a single PostgreSQL 16 instance with TimescaleDB extension for time-series partitioning. The instance hosts multiple schemas, each corresponding to a logical database domain. This allows domain isolation without the operational overhead of multiple database servers in the PoC, while the schema-per-domain design makes a future migration to separate physical servers or cloud warehouses (e.g. Redshift per domain) straightforward.</w:t>
      </w:r>
    </w:p>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B.1  Schema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PostgreSQL Instance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stg_raw                   (dlt landing zone — raw tables, immutable)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orders                (FIX order events)</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fills                 (child order fills)</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rt_fills              (Redis consumer — real-time fills)</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tick_bars             (30s OHLCV bars — TimescaleDB hypertable)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bond_prices           (fixed income evaluated prices)</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edsp_settlements      (Eurex daily settlement)</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clients               (KYC / counterparty reference)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raw_vault                 (Data Vault 2.0 — Hubs, Links, Satellites)</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hub_order             ├── hub_instrument    ├── hub_client</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lnk_order_fill        ├── lnk_order_client  ├── lnk_fill_venue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sat_order_details     ├── sat_fill_execution ├── sat_price_tick</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sat_client_profile    └── sat_instrument_ref</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biz_vault                 (Business Vault — derived, cleansed)</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bv_order_enriched     (arrival price, decision mid joined)</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bv_tca_costs          (slippage, impact, IS decomposition)</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bv_alpha_decay        (per-fill alpha curves, regime tags)</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mart_trading_risk         (Information Mart — Trading &amp; Risk domain)</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fact_order_execution  └── dim_algo  dim_trader  dim_venue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mart_market_data          (Information Mart — Market Data domain)</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fact_price_benchmark  dim_instrument  dim_date  dim_session</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mart_corporate            (Information Mart — Corporate / KYC domain)</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fact_client_activity  dim_client  dim_legal_entity</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mart_consolidated         (Consolidated — all domains unified)</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schema: entity_brg_de   (Berenberg Germany legal entity)</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schema: entity_brg_uk   (Berenberg Capital Markets UK)</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schema: entity_bcm_us   (Berenberg Capital Markets USA)</w:t>
            </w:r>
          </w:p>
        </w:tc>
      </w:tr>
    </w:tbl>
    <w:p>
      <w:pPr>
        <w:spacing w:after="160" w:before="60"/>
        <w:jc w:val="center"/>
      </w:pPr>
      <w:r>
        <w:rPr>
          <w:rFonts w:ascii="Arial" w:cs="Arial" w:eastAsia="Arial" w:hAnsi="Arial"/>
          <w:i/>
          <w:iCs/>
          <w:color w:val="6B6460"/>
          <w:sz w:val="18"/>
          <w:szCs w:val="18"/>
        </w:rPr>
        <w:t xml:space="preserve">Figure 4 — PostgreSQL Schema Layout: Domain Isolation and Data Vault Structure</w:t>
      </w:r>
    </w:p>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B.2  TimescaleDB Hypertables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Table</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TimescaleDB Configuration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tick_bars</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Hypertable partitioned by timestamp (7-day chunks). Enables sub-second range queries over the European session. Continuous aggregate materialises 5-minute VWAP.</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sat_price_tick</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Raw Vault satellite partitioned by load_date. TimescaleDB compression applied after 30-day retention window. Reduces storage ~90% for historical ticks.</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fact_price_benchmark</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Mart fact table partitioned by trade_date. Chunk size 1 month. Used for all benchmark lookup joins in analytics layer.</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C. Data Vault 2.0 Implementation — dbt</w:t>
      </w:r>
    </w:p>
    <w:p>
      <w:pPr>
        <w:spacing w:after="100" w:before="80"/>
      </w:pPr>
      <w:r>
        <w:rPr>
          <w:rFonts w:ascii="Arial" w:cs="Arial" w:eastAsia="Arial" w:hAnsi="Arial"/>
          <w:b w:val="false"/>
          <w:bCs w:val="false"/>
          <w:i w:val="false"/>
          <w:iCs w:val="false"/>
          <w:color w:val="1A1A1A"/>
          <w:sz w:val="22"/>
          <w:szCs w:val="22"/>
        </w:rPr>
        <w:t xml:space="preserve">Data Vault 2.0 (DV2) provides a methodology for loading data with 100% auditability, full historical tracking, and source-agnostic structure. All transformation logic is implemented as dbt models targeting PostgreSQL. The dbt project is structured into four layers: Staging, Raw Vault, Business Vault, and Information Marts.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SOURCE SYSTEMS                  dbt PROJECT STRUCTURE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dlt load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stg_raw.*  │  ──────────►  │  models/staging/         (stg_* views)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(landing)  │               │  Cast types, rename cols, add load metadata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models/raw_vault/       (rv_* tables)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Hubs (business keys + hash keys)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Links (relationships between Hubs)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Satellites (descriptive attributes)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models/biz_vault/       (bv_* tables)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Derived Satellites (soft business rules)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Point-In-Time tables (PIT), Bridge tables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models/marts/           (fact_* dim_*)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mart_trading_risk  mart_market_data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mart_corporate     mart_consolidated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5 — dbt Model Layers: Staging → Raw Vault → Business Vault → Information Marts</w:t>
      </w:r>
    </w:p>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C.1  Staging Layer  (models/staging/)</w:t>
      </w:r>
    </w:p>
    <w:p>
      <w:pPr>
        <w:spacing w:after="100" w:before="80"/>
      </w:pPr>
      <w:r>
        <w:rPr>
          <w:rFonts w:ascii="Arial" w:cs="Arial" w:eastAsia="Arial" w:hAnsi="Arial"/>
          <w:b w:val="false"/>
          <w:bCs w:val="false"/>
          <w:i w:val="false"/>
          <w:iCs w:val="false"/>
          <w:color w:val="1A1A1A"/>
          <w:sz w:val="22"/>
          <w:szCs w:val="22"/>
        </w:rPr>
        <w:t xml:space="preserve">Staging models are lightweight dbt views that sit directly on top of the dlt landing tables. They perform no business logic — only type casting, column renaming to canonical names, and the addition of metadata columns required by the Raw Vault loader. Every staging view is idempotent and fully replaceable.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Staging Model</w:t>
            </w:r>
          </w:p>
        </w:tc>
        <w:tc>
          <w:tcPr>
            <w:tcW w:type="dxa" w:w="2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Source Table(s)</w:t>
            </w:r>
          </w:p>
        </w:tc>
        <w:tc>
          <w:tcPr>
            <w:tcW w:type="dxa" w:w="49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Transformations Applied</w:t>
            </w:r>
          </w:p>
        </w:tc>
      </w:tr>
      <w:tr>
        <w:tc>
          <w:tcPr>
            <w:tcW w:type="dxa" w:w="20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stg_orders</w:t>
            </w:r>
          </w:p>
        </w:tc>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stg_raw.orders</w:t>
            </w:r>
          </w:p>
        </w:tc>
        <w:tc>
          <w:tcPr>
            <w:tcW w:type="dxa" w:w="49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Cast fill_time to TIMESTAMPTZ. Rename oms_order_id → order_id. Add load_date = CURRENT_DATE. Null-safe coerce quantity to DECIMAL.</w:t>
            </w:r>
          </w:p>
        </w:tc>
      </w:tr>
      <w:tr>
        <w:tc>
          <w:tcPr>
            <w:tcW w:type="dxa" w:w="20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stg_fills</w:t>
            </w:r>
          </w:p>
        </w:tc>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stg_raw.fills + stg_raw.rt_fills</w:t>
            </w:r>
          </w:p>
        </w:tc>
        <w:tc>
          <w:tcPr>
            <w:tcW w:type="dxa" w:w="49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UNION ALL batch and real-time fills. Deduplicate on fill_id (DISTINCT ON). Standardise venue to uppercase. Add is_realtime BOOLEAN flag.</w:t>
            </w:r>
          </w:p>
        </w:tc>
      </w:tr>
      <w:tr>
        <w:tc>
          <w:tcPr>
            <w:tcW w:type="dxa" w:w="20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stg_tick_bars</w:t>
            </w:r>
          </w:p>
        </w:tc>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stg_raw.tick_bars</w:t>
            </w:r>
          </w:p>
        </w:tc>
        <w:tc>
          <w:tcPr>
            <w:tcW w:type="dxa" w:w="49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 mid = (bid + ask) / 2. Validate bid &lt;= ask (flag inversion). Normalise symbol to ISIN-mapped canonical ticker.</w:t>
            </w:r>
          </w:p>
        </w:tc>
      </w:tr>
      <w:tr>
        <w:tc>
          <w:tcPr>
            <w:tcW w:type="dxa" w:w="20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stg_clients</w:t>
            </w:r>
          </w:p>
        </w:tc>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stg_raw.clients</w:t>
            </w:r>
          </w:p>
        </w:tc>
        <w:tc>
          <w:tcPr>
            <w:tcW w:type="dxa" w:w="49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Mask PII fields (full_name → client_code hash for Raw Vault). Retain legal_entity_id. Cast onboarding_date.</w:t>
            </w:r>
          </w:p>
        </w:tc>
      </w:tr>
      <w:tr>
        <w:tc>
          <w:tcPr>
            <w:tcW w:type="dxa" w:w="20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stg_instruments</w:t>
            </w:r>
          </w:p>
        </w:tc>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stg_raw.instruments</w:t>
            </w:r>
          </w:p>
        </w:tc>
        <w:tc>
          <w:tcPr>
            <w:tcW w:type="dxa" w:w="49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Resolve asset_class enum. Cast tick_size, lot_size, duration to correct numeric types. Standardise currency codes to ISO 4217.</w:t>
            </w:r>
          </w:p>
        </w:tc>
      </w:tr>
      <w:tr>
        <w:tc>
          <w:tcPr>
            <w:tcW w:type="dxa" w:w="20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stg_bond_prices</w:t>
            </w:r>
          </w:p>
        </w:tc>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stg_raw.bond_prices</w:t>
            </w:r>
          </w:p>
        </w:tc>
        <w:tc>
          <w:tcPr>
            <w:tcW w:type="dxa" w:w="49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 price from yield using stored DV01 function. Flag stale prices (&gt;1 business day old).</w:t>
            </w:r>
          </w:p>
        </w:tc>
      </w:tr>
    </w:tbl>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C.2  Raw Vault  (models/raw_vault/)</w:t>
      </w:r>
    </w:p>
    <w:p>
      <w:pPr>
        <w:spacing w:after="100" w:before="80"/>
      </w:pPr>
      <w:r>
        <w:rPr>
          <w:rFonts w:ascii="Arial" w:cs="Arial" w:eastAsia="Arial" w:hAnsi="Arial"/>
          <w:b w:val="false"/>
          <w:bCs w:val="false"/>
          <w:i w:val="false"/>
          <w:iCs w:val="false"/>
          <w:color w:val="1A1A1A"/>
          <w:sz w:val="22"/>
          <w:szCs w:val="22"/>
        </w:rPr>
        <w:t xml:space="preserve">The Raw Vault stores data exactly as it exists in the staging layer — no business rules applied. Every Hub, Link, and Satellite record is immutable and retains its source record hash for deduplication. Load timestamps and record sources are always present. This layer is the single source of truth for audit and reconciliation.</w:t>
      </w:r>
    </w:p>
    <w:p>
      <w:pPr>
        <w:spacing w:after="40" w:before="40"/>
      </w:pPr>
      <w:r>
        <w:t xml:space="preserve"/>
      </w:r>
    </w:p>
    <w:p>
      <w:pPr>
        <w:pStyle w:val="Heading3"/>
        <w:spacing w:after="100" w:before="220"/>
      </w:pPr>
      <w:r>
        <w:rPr>
          <w:rFonts w:ascii="Arial" w:cs="Arial" w:eastAsia="Arial" w:hAnsi="Arial"/>
          <w:b/>
          <w:bCs/>
          <w:color w:val="E8450A"/>
          <w:sz w:val="23"/>
          <w:szCs w:val="23"/>
        </w:rPr>
        <w:t xml:space="preserve">C.2.1  Hubs — Business Key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Hub Table</w:t>
            </w:r>
          </w:p>
        </w:tc>
        <w:tc>
          <w:tcPr>
            <w:tcW w:type="dxa" w:w="18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Business Key</w:t>
            </w:r>
          </w:p>
        </w:tc>
        <w:tc>
          <w:tcPr>
            <w:tcW w:type="dxa" w:w="1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Type</w:t>
            </w:r>
          </w:p>
        </w:tc>
        <w:tc>
          <w:tcPr>
            <w:tcW w:type="dxa" w:w="38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hub_order</w:t>
            </w:r>
          </w:p>
        </w:tc>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order_id</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VARCHAR(32)</w:t>
            </w:r>
          </w:p>
        </w:tc>
        <w:tc>
          <w:tcPr>
            <w:tcW w:type="dxa" w:w="3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row per unique order. Hash key = MD5(order_id). Load_date, record_source (OMS_FIX / EMS_RT).</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hub_fill</w:t>
            </w:r>
          </w:p>
        </w:tc>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fill_id</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VARCHAR(40)</w:t>
            </w:r>
          </w:p>
        </w:tc>
        <w:tc>
          <w:tcPr>
            <w:tcW w:type="dxa" w:w="38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row per unique fill execution event.</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hub_instrument</w:t>
            </w:r>
          </w:p>
        </w:tc>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symbol + currency</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VARCHAR(25)</w:t>
            </w:r>
          </w:p>
        </w:tc>
        <w:tc>
          <w:tcPr>
            <w:tcW w:type="dxa" w:w="3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Composite business key. Represents one tradable instrument.</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hub_client</w:t>
            </w:r>
          </w:p>
        </w:tc>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client_code</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VARCHAR(20)</w:t>
            </w:r>
          </w:p>
        </w:tc>
        <w:tc>
          <w:tcPr>
            <w:tcW w:type="dxa" w:w="38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Hashed client identifier. PII-free. Links to KYC satellite.</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hub_venue</w:t>
            </w:r>
          </w:p>
        </w:tc>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venue_code</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VARCHAR(30)</w:t>
            </w:r>
          </w:p>
        </w:tc>
        <w:tc>
          <w:tcPr>
            <w:tcW w:type="dxa" w:w="3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Execution venue registry (LSE, XETRA, EUREX, BRG_SI, etc.).</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hub_trader</w:t>
            </w:r>
          </w:p>
        </w:tc>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trader_id</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VARCHAR(30)</w:t>
            </w:r>
          </w:p>
        </w:tc>
        <w:tc>
          <w:tcPr>
            <w:tcW w:type="dxa" w:w="38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 trader identifier.</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hub_algo</w:t>
            </w:r>
          </w:p>
        </w:tc>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algo_id</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VARCHAR(30)</w:t>
            </w:r>
          </w:p>
        </w:tc>
        <w:tc>
          <w:tcPr>
            <w:tcW w:type="dxa" w:w="3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Algorithm identifier (VWAP_BRG, IS_BRG, TWAP_BRG, etc.).</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hub_legal_entity</w:t>
            </w:r>
          </w:p>
        </w:tc>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entity_code</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VARCHAR(20)</w:t>
            </w:r>
          </w:p>
        </w:tc>
        <w:tc>
          <w:tcPr>
            <w:tcW w:type="dxa" w:w="38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 entity registry (BRG_DE, BRG_UK, BCM_US).</w:t>
            </w:r>
          </w:p>
        </w:tc>
      </w:tr>
    </w:tbl>
    <w:p>
      <w:pPr>
        <w:spacing w:after="40" w:before="40"/>
      </w:pPr>
      <w:r>
        <w:t xml:space="preserve"/>
      </w:r>
    </w:p>
    <w:p>
      <w:pPr>
        <w:pStyle w:val="Heading3"/>
        <w:spacing w:after="100" w:before="220"/>
      </w:pPr>
      <w:r>
        <w:rPr>
          <w:rFonts w:ascii="Arial" w:cs="Arial" w:eastAsia="Arial" w:hAnsi="Arial"/>
          <w:b/>
          <w:bCs/>
          <w:color w:val="E8450A"/>
          <w:sz w:val="23"/>
          <w:szCs w:val="23"/>
        </w:rPr>
        <w:t xml:space="preserve">C.2.2  Links —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Link Table</w:t>
            </w:r>
          </w:p>
        </w:tc>
        <w:tc>
          <w:tcPr>
            <w:tcW w:type="dxa" w:w="28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Connected Hubs</w:t>
            </w:r>
          </w:p>
        </w:tc>
        <w:tc>
          <w:tcPr>
            <w:tcW w:type="dxa" w:w="1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Relationship Type</w:t>
            </w:r>
          </w:p>
        </w:tc>
        <w:tc>
          <w:tcPr>
            <w:tcW w:type="dxa" w:w="28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lnk_order_fill</w:t>
            </w:r>
          </w:p>
        </w:tc>
        <w:tc>
          <w:tcPr>
            <w:tcW w:type="dxa" w:w="2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hub_order + hub_fill</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Parent-child</w:t>
            </w:r>
          </w:p>
        </w:tc>
        <w:tc>
          <w:tcPr>
            <w:tcW w:type="dxa" w:w="2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Each fill references its parent order. Enables order-to-fill lineage.</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lnk_order_client</w:t>
            </w:r>
          </w:p>
        </w:tc>
        <w:tc>
          <w:tcPr>
            <w:tcW w:type="dxa" w:w="2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hub_order + hub_client</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Counterparty</w:t>
            </w:r>
          </w:p>
        </w:tc>
        <w:tc>
          <w:tcPr>
            <w:tcW w:type="dxa" w:w="28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Associates each order with the initiating client/counterparty. Drives row-level security.</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lnk_order_instrument</w:t>
            </w:r>
          </w:p>
        </w:tc>
        <w:tc>
          <w:tcPr>
            <w:tcW w:type="dxa" w:w="2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hub_order + hub_instrument</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Instrument ref</w:t>
            </w:r>
          </w:p>
        </w:tc>
        <w:tc>
          <w:tcPr>
            <w:tcW w:type="dxa" w:w="2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 placed on a specific instrument.</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lnk_fill_venue</w:t>
            </w:r>
          </w:p>
        </w:tc>
        <w:tc>
          <w:tcPr>
            <w:tcW w:type="dxa" w:w="2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hub_fill + hub_venue</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Venue routing</w:t>
            </w:r>
          </w:p>
        </w:tc>
        <w:tc>
          <w:tcPr>
            <w:tcW w:type="dxa" w:w="28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Each fill execution associated with a venue. Multiple fills per order possible.</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lnk_order_algo</w:t>
            </w:r>
          </w:p>
        </w:tc>
        <w:tc>
          <w:tcPr>
            <w:tcW w:type="dxa" w:w="2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hub_order + hub_algo + hub_trader</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Attribution</w:t>
            </w:r>
          </w:p>
        </w:tc>
        <w:tc>
          <w:tcPr>
            <w:tcW w:type="dxa" w:w="28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Three-way link enabling independent trader vs algo attribution.</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lnk_order_entity</w:t>
            </w:r>
          </w:p>
        </w:tc>
        <w:tc>
          <w:tcPr>
            <w:tcW w:type="dxa" w:w="2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hub_order + hub_legal_entity</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 entity</w:t>
            </w:r>
          </w:p>
        </w:tc>
        <w:tc>
          <w:tcPr>
            <w:tcW w:type="dxa" w:w="28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Associates order with Berenberg legal entity. Determines which mart schema data lands in.</w:t>
            </w:r>
          </w:p>
        </w:tc>
      </w:tr>
    </w:tbl>
    <w:p>
      <w:pPr>
        <w:spacing w:after="40" w:before="40"/>
      </w:pPr>
      <w:r>
        <w:t xml:space="preserve"/>
      </w:r>
    </w:p>
    <w:p>
      <w:pPr>
        <w:pStyle w:val="Heading3"/>
        <w:spacing w:after="100" w:before="220"/>
      </w:pPr>
      <w:r>
        <w:rPr>
          <w:rFonts w:ascii="Arial" w:cs="Arial" w:eastAsia="Arial" w:hAnsi="Arial"/>
          <w:b/>
          <w:bCs/>
          <w:color w:val="E8450A"/>
          <w:sz w:val="23"/>
          <w:szCs w:val="23"/>
        </w:rPr>
        <w:t xml:space="preserve">C.2.3  Satellites — Descriptive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Satellite Table</w:t>
            </w:r>
          </w:p>
        </w:tc>
        <w:tc>
          <w:tcPr>
            <w:tcW w:type="dxa" w:w="19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Anchored Hub</w:t>
            </w:r>
          </w:p>
        </w:tc>
        <w:tc>
          <w:tcPr>
            <w:tcW w:type="dxa" w:w="50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Descriptive Content</w:t>
            </w:r>
          </w:p>
        </w:tc>
      </w:tr>
      <w:tr>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sat_order_details</w:t>
            </w:r>
          </w:p>
        </w:tc>
        <w:tc>
          <w:tcPr>
            <w:tcW w:type="dxa" w:w="19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hub_order</w:t>
            </w:r>
          </w:p>
        </w:tc>
        <w:tc>
          <w:tcPr>
            <w:tcW w:type="dxa" w:w="5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order attributes: side, quantity, decision_time, submission_time, order_type, venue_type, target_participation, mifid_class.</w:t>
            </w:r>
          </w:p>
        </w:tc>
      </w:tr>
      <w:tr>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sat_fill_execution</w:t>
            </w:r>
          </w:p>
        </w:tc>
        <w:tc>
          <w:tcPr>
            <w:tcW w:type="dxa" w:w="19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hub_fill</w:t>
            </w:r>
          </w:p>
        </w:tc>
        <w:tc>
          <w:tcPr>
            <w:tcW w:type="dxa" w:w="5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Fill execution: fill_time, fill_price, fill_quantity, fees_bps, is_dark, is_si, liquidity_flag. Immutable, append-only.</w:t>
            </w:r>
          </w:p>
        </w:tc>
      </w:tr>
      <w:tr>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sat_price_tick</w:t>
            </w:r>
          </w:p>
        </w:tc>
        <w:tc>
          <w:tcPr>
            <w:tcW w:type="dxa" w:w="19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hub_instrument</w:t>
            </w:r>
          </w:p>
        </w:tc>
        <w:tc>
          <w:tcPr>
            <w:tcW w:type="dxa" w:w="5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Per-tick market data: bid, ask, mid, last, volume, vwap_cumulative. TimescaleDB hypertable partition.</w:t>
            </w:r>
          </w:p>
        </w:tc>
      </w:tr>
      <w:tr>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sat_instrument_ref</w:t>
            </w:r>
          </w:p>
        </w:tc>
        <w:tc>
          <w:tcPr>
            <w:tcW w:type="dxa" w:w="19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hub_instrument</w:t>
            </w:r>
          </w:p>
        </w:tc>
        <w:tc>
          <w:tcPr>
            <w:tcW w:type="dxa" w:w="5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Instrument metadata: tick_size, lot_size, contract_size, duration, bond_type, primary_exchange. SCD Type 2.</w:t>
            </w:r>
          </w:p>
        </w:tc>
      </w:tr>
      <w:tr>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sat_client_profile</w:t>
            </w:r>
          </w:p>
        </w:tc>
        <w:tc>
          <w:tcPr>
            <w:tcW w:type="dxa" w:w="19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hub_client</w:t>
            </w:r>
          </w:p>
        </w:tc>
        <w:tc>
          <w:tcPr>
            <w:tcW w:type="dxa" w:w="5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KYC/client reference: legal_entity_id, onboarding_date, client_tier. SCD Type 2. PII managed separately.</w:t>
            </w:r>
          </w:p>
        </w:tc>
      </w:tr>
      <w:tr>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sat_venue_detail</w:t>
            </w:r>
          </w:p>
        </w:tc>
        <w:tc>
          <w:tcPr>
            <w:tcW w:type="dxa" w:w="19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hub_venue</w:t>
            </w:r>
          </w:p>
        </w:tc>
        <w:tc>
          <w:tcPr>
            <w:tcW w:type="dxa" w:w="5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Venue metadata: exchange_type (lit/dark/SI/RFQ), mifid_venue_id, trading_hours, fee_schedule.</w:t>
            </w:r>
          </w:p>
        </w:tc>
      </w:tr>
      <w:tr>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sat_algo_version</w:t>
            </w:r>
          </w:p>
        </w:tc>
        <w:tc>
          <w:tcPr>
            <w:tcW w:type="dxa" w:w="19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hub_algo</w:t>
            </w:r>
          </w:p>
        </w:tc>
        <w:tc>
          <w:tcPr>
            <w:tcW w:type="dxa" w:w="5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Algo version, parameter snapshot, deploy_date. SCD Type 2 — captures parameter changes over time.</w:t>
            </w:r>
          </w:p>
        </w:tc>
      </w:tr>
    </w:tbl>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C.3  Business Vault  (models/biz_vault/)</w:t>
      </w:r>
    </w:p>
    <w:p>
      <w:pPr>
        <w:spacing w:after="100" w:before="80"/>
      </w:pPr>
      <w:r>
        <w:rPr>
          <w:rFonts w:ascii="Arial" w:cs="Arial" w:eastAsia="Arial" w:hAnsi="Arial"/>
          <w:b w:val="false"/>
          <w:bCs w:val="false"/>
          <w:i w:val="false"/>
          <w:iCs w:val="false"/>
          <w:color w:val="1A1A1A"/>
          <w:sz w:val="22"/>
          <w:szCs w:val="22"/>
        </w:rPr>
        <w:t xml:space="preserve">The Business Vault extends the Raw Vault with soft business rules — computations and derivations that are subject to change or interpretation, but must themselves be fully auditable. Every Business Vault model records its own load_date and derivation_rule_version so changes can be tracked. No data is deleted — new versions are appended.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39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Business Vault Model</w:t>
            </w:r>
          </w:p>
        </w:tc>
        <w:tc>
          <w:tcPr>
            <w:tcW w:type="dxa" w:w="1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Rule Type</w:t>
            </w:r>
          </w:p>
        </w:tc>
        <w:tc>
          <w:tcPr>
            <w:tcW w:type="dxa" w:w="1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DV2 Pattern</w:t>
            </w:r>
          </w:p>
        </w:tc>
        <w:tc>
          <w:tcPr>
            <w:tcW w:type="dxa" w:w="39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Derivation Logic</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bv_order_enriched</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rule</w:t>
            </w:r>
          </w:p>
        </w:tc>
        <w:tc>
          <w:tcPr>
            <w:tcW w:type="dxa" w:w="17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Derived Satellite</w:t>
            </w:r>
          </w:p>
        </w:tc>
        <w:tc>
          <w:tcPr>
            <w:tcW w:type="dxa" w:w="39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Joins sat_order_details with sat_price_tick to attach arrival_price, decision_price, close_price, and interval_vwap to each order. Rule version tracked.</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bv_tca_costs</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Calculation</w:t>
            </w:r>
          </w:p>
        </w:tc>
        <w:tc>
          <w:tcPr>
            <w:tcW w:type="dxa" w:w="17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Derived Satellite</w:t>
            </w:r>
          </w:p>
        </w:tc>
        <w:tc>
          <w:tcPr>
            <w:tcW w:type="dxa" w:w="39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Applies Almgren-Chriss market impact, spread cost, timing cost, opportunity cost, and full Implementation Shortfall formula. Parameterised by algo_version.</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bv_alpha_decay</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Calculation</w:t>
            </w:r>
          </w:p>
        </w:tc>
        <w:tc>
          <w:tcPr>
            <w:tcW w:type="dxa" w:w="17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Derived Satellite</w:t>
            </w:r>
          </w:p>
        </w:tc>
        <w:tc>
          <w:tcPr>
            <w:tcW w:type="dxa" w:w="39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Per-fill alpha bps, fill_cost_bps, net_alpha_bps. Joined to volatility regime lookup. Output: alpha curve per order with regime tag.</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bv_adverse_selection</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Calculation</w:t>
            </w:r>
          </w:p>
        </w:tc>
        <w:tc>
          <w:tcPr>
            <w:tcW w:type="dxa" w:w="17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Derived Satellite</w:t>
            </w:r>
          </w:p>
        </w:tc>
        <w:tc>
          <w:tcPr>
            <w:tcW w:type="dxa" w:w="39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Post-fill 5/15/30-minute price reversion. Uses sat_price_tick with time-offset joins. OTC instruments flagged as indicative.</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pit_order_snapshot</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PIT table</w:t>
            </w:r>
          </w:p>
        </w:tc>
        <w:tc>
          <w:tcPr>
            <w:tcW w:type="dxa" w:w="17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Point-in-Time</w:t>
            </w:r>
          </w:p>
        </w:tc>
        <w:tc>
          <w:tcPr>
            <w:tcW w:type="dxa" w:w="39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Point-in-time snapshot table joining all satellites for hub_order at a given as-of date. Enables time-travel queries without complex satellite joins.</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bv_trader_attribution</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Attribution</w:t>
            </w:r>
          </w:p>
        </w:tc>
        <w:tc>
          <w:tcPr>
            <w:tcW w:type="dxa" w:w="17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Derived Satellite</w:t>
            </w:r>
          </w:p>
        </w:tc>
        <w:tc>
          <w:tcPr>
            <w:tcW w:type="dxa" w:w="39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Decomposes IS into timing_cost (trader), execution_cost (algo), market_cost (adverse selection). Aggregated over rolling 30-day windows.</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bv_peer_benchmark</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Enrichment</w:t>
            </w:r>
          </w:p>
        </w:tc>
        <w:tc>
          <w:tcPr>
            <w:tcW w:type="dxa" w:w="17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Derived Satellite</w:t>
            </w:r>
          </w:p>
        </w:tc>
        <w:tc>
          <w:tcPr>
            <w:tcW w:type="dxa" w:w="39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Joins tca_costs to European industry medians table. Computes vs_median_bps, percentile bucket, and A-F grade.</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bv_mifid_fields</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Regulatory</w:t>
            </w:r>
          </w:p>
        </w:tc>
        <w:tc>
          <w:tcPr>
            <w:tcW w:type="dxa" w:w="17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Derived Satellite</w:t>
            </w:r>
          </w:p>
        </w:tc>
        <w:tc>
          <w:tcPr>
            <w:tcW w:type="dxa" w:w="39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Populates all MiFID II RTS 27/28 fields: price improvement, best_ex_compliant flag, instrument_type_code, execution_time_ms.</w:t>
            </w:r>
          </w:p>
        </w:tc>
      </w:tr>
    </w:tbl>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C.4  Information Marts  (models/marts/)</w:t>
      </w:r>
    </w:p>
    <w:p>
      <w:pPr>
        <w:spacing w:after="100" w:before="80"/>
      </w:pPr>
      <w:r>
        <w:rPr>
          <w:rFonts w:ascii="Arial" w:cs="Arial" w:eastAsia="Arial" w:hAnsi="Arial"/>
          <w:b w:val="false"/>
          <w:bCs w:val="false"/>
          <w:i w:val="false"/>
          <w:iCs w:val="false"/>
          <w:color w:val="1A1A1A"/>
          <w:sz w:val="22"/>
          <w:szCs w:val="22"/>
        </w:rPr>
        <w:t xml:space="preserve">Information Marts are the consumption-facing layer. They reshape Business Vault data into star schemas optimised for query performance by the Angular reporting suite and the FastAPI layer. Each mart corresponds to a source-system domain. A consolidated mart unifies all domains. Each legal entity gets its own PostgreSQL schema within its mart.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mart_trading_risk schema                mart_market_data schema</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fact_order_execution      │          │  fact_price_benchmark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│order_key │trade_date │  │          │  │inst_key  │price_date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│fill_key  │slippage_* │  │          │  │date_key  │vwap/twap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│client_key│impact_*   │  │          │  │          │edsp/close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│algo_key  │is_bps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│venue_key │peer_grade │  │          │  dim_instrument  dim_date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dim_algo  dim_trader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dim_venue dim_mifid        │          mart_corporate schema</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fact_client_activity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mart_consolidated schema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│client_key│trade_date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schema: entity_brg_de     │          │  │          │order_count│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schema: entity_brg_uk     │          │  │          │notional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schema: entity_bcm_us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(each mirrors mart_trading│          │  dim_client  dim_entity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_risk for that entity)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6 — Information Mart Star Schemas: Domain Warehouses and Legal Entity Schemas</w:t>
      </w:r>
    </w:p>
    <w:p>
      <w:pPr>
        <w:pStyle w:val="Heading3"/>
        <w:spacing w:after="100" w:before="220"/>
      </w:pPr>
      <w:r>
        <w:rPr>
          <w:rFonts w:ascii="Arial" w:cs="Arial" w:eastAsia="Arial" w:hAnsi="Arial"/>
          <w:b/>
          <w:bCs/>
          <w:color w:val="E8450A"/>
          <w:sz w:val="23"/>
          <w:szCs w:val="23"/>
        </w:rPr>
        <w:t xml:space="preserve">C.4.1  Legal Entity Schema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Aspect</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Why per-entity schemas</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MiFID II and internal risk governance require clean separation of trading books per legal entity. PostgreSQL schemas provide logical isolation without separate databases.</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How enforced in dbt</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dbt uses a custom schema macro that appends the legal_entity_id suffix to the target schema name. Each mart model receives a legal_entity variable at run-time from Airflow.</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mart_consolidated joining</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consolidated mart uses UNION ALL views across entity schemas with an entity_code discriminator column. Row-level security (see Section J) then filters by client.</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Adding a new legal entity</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entity_code to the hub_legal_entity Hub. Add a new schema to the mart_consolidated dbt project. Run dbt run --select marts.consolidated with the new entity variable.</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D. Multi-Domain Warehouse Architecture</w:t>
      </w:r>
    </w:p>
    <w:p>
      <w:pPr>
        <w:spacing w:after="100" w:before="80"/>
      </w:pPr>
      <w:r>
        <w:rPr>
          <w:rFonts w:ascii="Arial" w:cs="Arial" w:eastAsia="Arial" w:hAnsi="Arial"/>
          <w:b w:val="false"/>
          <w:bCs w:val="false"/>
          <w:i w:val="false"/>
          <w:iCs w:val="false"/>
          <w:color w:val="1A1A1A"/>
          <w:sz w:val="22"/>
          <w:szCs w:val="22"/>
        </w:rPr>
        <w:t xml:space="preserve">Each data source family maps to its own Information Mart (domain warehouse), maintaining separation of concerns and enabling independent access controls. A consolidated mart provides the unified view for cross-domain analytics and client-facing reporting.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DOMAIN WAREHOUSES                                 CONSOLIDATED WAREHOUSE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mart_trading_risk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Source: OMS, EMS,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Algo Engine, Eurex      │                   ├─►│  mart_consolidated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schema.entity_brg_de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mart_market_data        │ ──────────────────┤  │  schema.entity_brg_uk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Source: Tick data,      │                   │  │  schema.entity_bcm_us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FI Pricing, Eurex EDSP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UNION ALL across domains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legal entity filter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mart_corporate          │ ──────────────────┘  │  + counterparty RLS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Source: KYC/Client ref,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Legal entity registry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7 — Domain Warehouse Topology: Three Source Families + Consolidated 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Mart Schema</w:t>
            </w:r>
          </w:p>
        </w:tc>
        <w:tc>
          <w:tcPr>
            <w:tcW w:type="dxa" w:w="1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Domain</w:t>
            </w:r>
          </w:p>
        </w:tc>
        <w:tc>
          <w:tcPr>
            <w:tcW w:type="dxa" w:w="2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Primary Sources</w:t>
            </w:r>
          </w:p>
        </w:tc>
        <w:tc>
          <w:tcPr>
            <w:tcW w:type="dxa" w:w="33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mart_trading_risk</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Trading &amp; Risk</w:t>
            </w:r>
          </w:p>
        </w:tc>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OMS, EMS, Algo Engine, Eurex SI</w:t>
            </w:r>
          </w:p>
        </w:tc>
        <w:tc>
          <w:tcPr>
            <w:tcW w:type="dxa" w:w="33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 execution facts, cost decomposition, algo performance, MiFID II compliance fields, adverse selection, peer benchmarking.</w:t>
            </w:r>
          </w:p>
        </w:tc>
      </w:tr>
      <w:tr>
        <w:tc>
          <w:tcPr>
            <w:tcW w:type="dxa" w:w="20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mart_market_data</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 Data</w:t>
            </w:r>
          </w:p>
        </w:tc>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Tick data vendor, FI pricing, EDSP</w:t>
            </w:r>
          </w:p>
        </w:tc>
        <w:tc>
          <w:tcPr>
            <w:tcW w:type="dxa" w:w="33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Price benchmarks (VWAP, TWAP, arrival, close, EDSP), volatility regime tags, instrument reference prices.</w:t>
            </w:r>
          </w:p>
        </w:tc>
      </w:tr>
      <w:tr>
        <w:tc>
          <w:tcPr>
            <w:tcW w:type="dxa" w:w="20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mart_corporate</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Corporate / KYC</w:t>
            </w:r>
          </w:p>
        </w:tc>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reference, Legal entity reg</w:t>
            </w:r>
          </w:p>
        </w:tc>
        <w:tc>
          <w:tcPr>
            <w:tcW w:type="dxa" w:w="33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profiles, legal entity registry, counterparty activity aggregates, onboarding metadata.</w:t>
            </w:r>
          </w:p>
        </w:tc>
      </w:tr>
      <w:tr>
        <w:tc>
          <w:tcPr>
            <w:tcW w:type="dxa" w:w="20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mart_consolidated</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domains</w:t>
            </w:r>
          </w:p>
        </w:tc>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UNION ALL from three marts</w:t>
            </w:r>
          </w:p>
        </w:tc>
        <w:tc>
          <w:tcPr>
            <w:tcW w:type="dxa" w:w="33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Unified cross-domain view. Legal entity schemas isolate Berenberg Germany, UK, and US. Row-level security applied here.</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E. Data Observability Layer</w:t>
      </w:r>
    </w:p>
    <w:p>
      <w:pPr>
        <w:spacing w:after="100" w:before="80"/>
      </w:pPr>
      <w:r>
        <w:rPr>
          <w:rFonts w:ascii="Arial" w:cs="Arial" w:eastAsia="Arial" w:hAnsi="Arial"/>
          <w:b w:val="false"/>
          <w:bCs w:val="false"/>
          <w:i w:val="false"/>
          <w:iCs w:val="false"/>
          <w:color w:val="1A1A1A"/>
          <w:sz w:val="22"/>
          <w:szCs w:val="22"/>
        </w:rPr>
        <w:t xml:space="preserve">The observability layer runs automated quality checks at every stage of the pipeline and routes anomalous records to a quarantine queue rather than silently failing. Checks are implemented using Great Expectations (integrated into dbt as dbt tests) and a custom Python anomaly detection service.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OBSERVABILITY ARCHITECTURE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Every dbt model run         Every dlt pipeline run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triggers dbt tests ──────►  triggers dlt load audit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(Great Expectations)        (_dlt_loads table)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ANOMALY DETECTION SERVICE (Python — runs post-dbt)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Statistical checks    Schema drift     Volume checks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Z-score on   │     │ New column   │  │ Row count vs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slippage_bps │     │ detected →   │  │ 30-day avg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vs 30d mean  │     │ alert+catalog│  │ ±3 sigma flag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RESULT ROUTING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PASS → proceed to next layer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WARN → log to obs_warnings table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FAIL → route to quarantine_queue table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8 — Observability: Anomaly Detection, Routing, and Quarantine</w:t>
      </w:r>
    </w:p>
    <w:p>
      <w:pPr>
        <w:pStyle w:val="Heading2"/>
        <w:spacing w:after="140" w:before="320"/>
      </w:pPr>
      <w:r>
        <w:rPr>
          <w:rFonts w:ascii="Georgia" w:cs="Georgia" w:eastAsia="Georgia" w:hAnsi="Georgia"/>
          <w:b/>
          <w:bCs/>
          <w:color w:val="2D2D2D"/>
          <w:sz w:val="28"/>
          <w:szCs w:val="28"/>
        </w:rPr>
        <w:t xml:space="preserve">E.1  Check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Check Type</w:t>
            </w:r>
          </w:p>
        </w:tc>
        <w:tc>
          <w:tcPr>
            <w:tcW w:type="dxa" w:w="1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Detects</w:t>
            </w:r>
          </w:p>
        </w:tc>
        <w:tc>
          <w:tcPr>
            <w:tcW w:type="dxa" w:w="2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c>
          <w:tcPr>
            <w:tcW w:type="dxa" w:w="3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Threshold &amp; Action</w:t>
            </w:r>
          </w:p>
        </w:tc>
      </w:tr>
      <w:tr>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Completeness</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Missing data</w:t>
            </w:r>
          </w:p>
        </w:tc>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dbt test: not_null</w:t>
            </w:r>
          </w:p>
        </w:tc>
        <w:tc>
          <w:tcPr>
            <w:tcW w:type="dxa" w:w="3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non-nullable column in Hubs and Satellites. Fails if NULL rate &gt; 0.5%.</w:t>
            </w:r>
          </w:p>
        </w:tc>
      </w:tr>
      <w:tr>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Uniqueness</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Duplicates</w:t>
            </w:r>
          </w:p>
        </w:tc>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dbt test: unique</w:t>
            </w:r>
          </w:p>
        </w:tc>
        <w:tc>
          <w:tcPr>
            <w:tcW w:type="dxa" w:w="3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primary keys (hub hash keys, fill_id, order_id). Custom: cross-source dedup check on fill_id.</w:t>
            </w:r>
          </w:p>
        </w:tc>
      </w:tr>
      <w:tr>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Referential integrity</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Orphan records</w:t>
            </w:r>
          </w:p>
        </w:tc>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dbt test: relationships</w:t>
            </w:r>
          </w:p>
        </w:tc>
        <w:tc>
          <w:tcPr>
            <w:tcW w:type="dxa" w:w="3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Link tables: both FK hash keys must exist in their respective Hubs.</w:t>
            </w:r>
          </w:p>
        </w:tc>
      </w:tr>
      <w:tr>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Range validation</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Out-of-bounds</w:t>
            </w:r>
          </w:p>
        </w:tc>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dbt test: accepted_range</w:t>
            </w:r>
          </w:p>
        </w:tc>
        <w:tc>
          <w:tcPr>
            <w:tcW w:type="dxa" w:w="3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slippage_bps in [-500, 500]. fees_bps in [0, 20]. fill_price &gt; 0. quantities &gt; 0.</w:t>
            </w:r>
          </w:p>
        </w:tc>
      </w:tr>
      <w:tr>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Temporal ordering</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Bad timestamps</w:t>
            </w:r>
          </w:p>
        </w:tc>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SQL test</w:t>
            </w:r>
          </w:p>
        </w:tc>
        <w:tc>
          <w:tcPr>
            <w:tcW w:type="dxa" w:w="3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fill_time &gt; submission_time &gt; decision_time for all orders.</w:t>
            </w:r>
          </w:p>
        </w:tc>
      </w:tr>
      <w:tr>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Statistical anomaly</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Unusual values</w:t>
            </w:r>
          </w:p>
        </w:tc>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Z-score (window 30d)</w:t>
            </w:r>
          </w:p>
        </w:tc>
        <w:tc>
          <w:tcPr>
            <w:tcW w:type="dxa" w:w="3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Per-asset-class daily mean slippage Z-score. Threshold |Z| &gt; 3 triggers WARN. |Z| &gt; 5 triggers QUARANTINE.</w:t>
            </w:r>
          </w:p>
        </w:tc>
      </w:tr>
      <w:tr>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Volume anomaly</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Missing batches</w:t>
            </w:r>
          </w:p>
        </w:tc>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count vs 30d avg</w:t>
            </w:r>
          </w:p>
        </w:tc>
        <w:tc>
          <w:tcPr>
            <w:tcW w:type="dxa" w:w="3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order count, fill count, and tick bar count compared to rolling 30-day average. ±3 sigma = WARN.</w:t>
            </w:r>
          </w:p>
        </w:tc>
      </w:tr>
      <w:tr>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Schema drift</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Unexpected cols</w:t>
            </w:r>
          </w:p>
        </w:tc>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dlt schema contract check</w:t>
            </w:r>
          </w:p>
        </w:tc>
        <w:tc>
          <w:tcPr>
            <w:tcW w:type="dxa" w:w="3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columns in landing tables trigger a catalog alert and WARN. Removed required columns trigger FAIL.</w:t>
            </w:r>
          </w:p>
        </w:tc>
      </w:tr>
      <w:tr>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Price sanity</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Stale/inverted</w:t>
            </w:r>
          </w:p>
        </w:tc>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SQL test</w:t>
            </w:r>
          </w:p>
        </w:tc>
        <w:tc>
          <w:tcPr>
            <w:tcW w:type="dxa" w:w="3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bid &lt;= ask always. last within [bid*0.95, ask*1.05]. EDSP within ±5% of prior day.</w:t>
            </w:r>
          </w:p>
        </w:tc>
      </w:tr>
    </w:tbl>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E.2  Quarantine Queue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 Detail</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quarantine_queue table</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table in the obs schema. Records: record_id, source_table, failed_check, original_payload (JSONB), quarantine_reason, quarantine_time, resolution_status.</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Resolution workflow</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engineering team reviews quarantine daily via a simple Airflow UI task. Records either corrected (re-inserted to source) or rejected (marked as permanently excluded).</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Impact on downstream</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Quarantined records are excluded from all Raw Vault loads via a LEFT JOIN exclusion on quarantine_queue. Re-inserted records trigger a re-run of affected dbt models.</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obs_warnings table</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WARN-level issues logged here with: check_name, affected_table, affected_rows, warn_value, warn_time. Summarised in the daily Warning Report.</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Warning Report</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Airflow DAG generates a daily HTML warning report from obs_warnings and quarantine_queue. Sent via SMTP to the data engineering distribution list before 19:00 CET.</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F. Lineage &amp; Catalog Layer</w:t>
      </w:r>
    </w:p>
    <w:p>
      <w:pPr>
        <w:spacing w:after="100" w:before="80"/>
      </w:pPr>
      <w:r>
        <w:rPr>
          <w:rFonts w:ascii="Arial" w:cs="Arial" w:eastAsia="Arial" w:hAnsi="Arial"/>
          <w:b w:val="false"/>
          <w:bCs w:val="false"/>
          <w:i w:val="false"/>
          <w:iCs w:val="false"/>
          <w:color w:val="1A1A1A"/>
          <w:sz w:val="22"/>
          <w:szCs w:val="22"/>
        </w:rPr>
        <w:t xml:space="preserve">Data lineage tracks the complete journey of every record from source system to Information Mart. The catalog provides a human-readable register of all datasets, their owners, refresh schedules, and quality status. For the PoC, dbt's built-in lineage graph and documentation site serve as the catalog, supplemented by a lightweight custom metadata store.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LINEAGE GRAPH (auto-generated by dbt docs)         METADATA CATALOG</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catalog.datasets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stg_raw.fills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name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 owner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stg_fills (view)                        │       │  │ domain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refresh_freq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quality_status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rv_hub_fill → rv_sat_fill_execution     │       │  │ last_updated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row_count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schema_version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bv_tca_costs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mart_trading_risk.fact_order_execution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Angular report / FastAPI response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9 — Lineage Graph and Metadata Catalog: dbt docs + Custom Metadata Store</w:t>
      </w:r>
    </w:p>
    <w:p>
      <w:pPr>
        <w:pStyle w:val="Heading2"/>
        <w:spacing w:after="140" w:before="320"/>
      </w:pPr>
      <w:r>
        <w:rPr>
          <w:rFonts w:ascii="Georgia" w:cs="Georgia" w:eastAsia="Georgia" w:hAnsi="Georgia"/>
          <w:b/>
          <w:bCs/>
          <w:color w:val="2D2D2D"/>
          <w:sz w:val="28"/>
          <w:szCs w:val="28"/>
        </w:rPr>
        <w:t xml:space="preserve">F.1  dbt-native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Lineage Feature</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dbt DAG</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dbt model's ref() and source() calls create a directed acyclic graph. dbt docs generate an interactive lineage graph browsable by table, column, or tag.</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Column-level lineage</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dbt's column-level lineage (available in dbt 1.6+) tracks individual column transformations from source through to mart. Used to trace which source column feeds each mart measure.</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Model tags</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dbt models tagged with: domain (trading_risk, market_data, corporate), vault_layer (staging, raw_vault, biz_vault, mart), and pii_sensitive (true/false).</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dbt docs site</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Served as a static site from the Airflow host (port 8081). Accessible to data engineering and compliance teams. Updated on every dbt run.</w:t>
            </w:r>
          </w:p>
        </w:tc>
      </w:tr>
    </w:tbl>
    <w:p>
      <w:pPr>
        <w:pStyle w:val="Heading2"/>
        <w:spacing w:after="140" w:before="320"/>
      </w:pPr>
      <w:r>
        <w:rPr>
          <w:rFonts w:ascii="Georgia" w:cs="Georgia" w:eastAsia="Georgia" w:hAnsi="Georgia"/>
          <w:b/>
          <w:bCs/>
          <w:color w:val="2D2D2D"/>
          <w:sz w:val="28"/>
          <w:szCs w:val="28"/>
        </w:rPr>
        <w:t xml:space="preserve">F.2  Metadata Catalog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Catalog Feature</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catalog.datasets</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table auto-populated by a post-dbt-run Python hook. Records: table_name, schema, domain, owner_team, row_count, last_dbt_run, quality_status (GREEN/AMBER/RED), schema_hash.</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Schema change tracking</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schema_hash (MD5 of column names + types) is compared on every run. Hash mismatch triggers a WARN alert and creates a new catalog version record.</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PII register</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Tables tagged pii_sensitive=true are flagged in the catalog with access_tier=RESTRICTED. FastAPI and Angular both check this flag before exposing data.</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Observability linkage</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catalog.datasets.quality_status is updated by the observability layer. GREEN = all dbt tests pass. AMBER = WARNs present. RED = quarantine records or FAIL tests.</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G. Orchestration Layer — Apache Airflow</w:t>
      </w:r>
    </w:p>
    <w:p>
      <w:pPr>
        <w:spacing w:after="100" w:before="80"/>
      </w:pPr>
      <w:r>
        <w:rPr>
          <w:rFonts w:ascii="Arial" w:cs="Arial" w:eastAsia="Arial" w:hAnsi="Arial"/>
          <w:b w:val="false"/>
          <w:bCs w:val="false"/>
          <w:i w:val="false"/>
          <w:iCs w:val="false"/>
          <w:color w:val="1A1A1A"/>
          <w:sz w:val="22"/>
          <w:szCs w:val="22"/>
        </w:rPr>
        <w:t xml:space="preserve">All pipeline scheduling and task dependency management is handled by Apache Airflow 2.x with the TaskFlow API. The PoC uses a single-node Airflow instance deployed in Docker Compose alongside PostgreSQL and Redis. DAGs are organised by domain and frequency.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AIRFLOW DAG REGISTRY</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dag_ingest_batch          (daily 06:45 CET — runs before market open)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dlt run │→ │ dbt run │→ │ observability│→ │ catalog update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all src │  │ staging │  │ checks       │  │ + warning report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dag_raw_vault             (daily 07:15 CET — after staging)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dbt run --select raw_vault → observability → catalog update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dag_biz_vault_eod         (daily 17:30 CET — after market close)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dlt fi_pricing + eurex → dbt biz_vault (TCA calcs) → obs checks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dag_marts_eod             (daily 18:15 CET)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dbt run --select marts (all 4) → obs → catalog → mifid export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dag_rt_consumer           (continuous — sensor task, 30s interval)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Reads Redis Streams → writes stg_raw.rt_fills → triggers micro-dbt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dag_weekly_reports        (Monday 07:00 CET)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Algo performance digest, trader attribution report, venue scorecard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10 — Airflow DAG Registry: Schedules and Task Chains</w:t>
      </w:r>
    </w:p>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G.1  DAG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Principle</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Idempotency</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task in every DAG is idempotent. dlt incremental loads skip already-loaded records. dbt models use CREATE OR REPLACE. Re-runs never create duplicates.</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Failure isolation</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dbt models are run with --fail-fast=false. A failed satellite model does not block mart models that do not depend on it. Observability checks gate downstream tasks explicitly.</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SLA monitoring</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Each DAG has an SLA callback: if dag_marts_eod has not completed by 19:00 CET, an SLA miss alert is sent to the data engineering team.</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On-demand trigger</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endpoint POST /pipeline/run triggers dag_biz_vault_eod for a specific order_id via the Airflow REST API. Used for same-day TCA on high-priority orders.</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Legal entity variable</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mart DAGs accept a legal_entities Airflow Variable (JSON list). New entities are added without code changes by updating the Variable.</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Retry policy</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dlt and dbt tasks: 2 retries, 5-minute delay. Observability and catalog tasks: 1 retry, 2-minute delay. Redis consumer task: continuous restart on failure.</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H. Angular Reporting Suite</w:t>
      </w:r>
    </w:p>
    <w:p>
      <w:pPr>
        <w:spacing w:after="100" w:before="80"/>
      </w:pPr>
      <w:r>
        <w:rPr>
          <w:rFonts w:ascii="Arial" w:cs="Arial" w:eastAsia="Arial" w:hAnsi="Arial"/>
          <w:b w:val="false"/>
          <w:bCs w:val="false"/>
          <w:i w:val="false"/>
          <w:iCs w:val="false"/>
          <w:color w:val="1A1A1A"/>
          <w:sz w:val="22"/>
          <w:szCs w:val="22"/>
        </w:rPr>
        <w:t xml:space="preserve">The consumption-facing reporting layer is an Angular 17 Single-Page Application (SPA). It provides role-based dashboards for four user types: Trader, Compliance Officer, Head of Trading, and Client (institutional counterparty). Critically, client users are restricted to viewing only their own transactions — they cannot see data for any other counterparty.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ANGULAR SPA ARCHITECTURE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app/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core/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auth/         AuthService (JWT), AuthGuard, RoleGuard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interceptors/ HttpInterceptor adds Bearer token to all requests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services/     ApiService (wraps FastAPI calls)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shared/           Reusable components (DataTable, Chart, Filter bar)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features/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dashboard/    Role-aware landing: trader vs client vs compliance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order-tca/    Order-level TCA drilldown (slippage decomposition)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algo-perf/    Algo performance — trader/compliance only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alpha-decay/  Alpha decay curves and regime analysis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venue-sor/    Venue/SOR scorecard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mifid/        MiFID II RTS export — compliance only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client-view/  Client portal — counterparty-filtered ONLY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store/            NgRx state management for auth token + user profile│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11 — Angular SPA Module Structure</w:t>
      </w:r>
    </w:p>
    <w:p>
      <w:pPr>
        <w:pStyle w:val="Heading2"/>
        <w:spacing w:after="140" w:before="320"/>
      </w:pPr>
      <w:r>
        <w:rPr>
          <w:rFonts w:ascii="Georgia" w:cs="Georgia" w:eastAsia="Georgia" w:hAnsi="Georgia"/>
          <w:b/>
          <w:bCs/>
          <w:color w:val="2D2D2D"/>
          <w:sz w:val="28"/>
          <w:szCs w:val="28"/>
        </w:rPr>
        <w:t xml:space="preserve">H.1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4460"/>
      </w:tblGrid>
      <w:tr>
        <w:trPr>
          <w:tblHeader/>
        </w:trPr>
        <w:tc>
          <w:tcPr>
            <w:tcW w:type="dxa" w:w="1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dxa" w:w="18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Audience</w:t>
            </w:r>
          </w:p>
        </w:tc>
        <w:tc>
          <w:tcPr>
            <w:tcW w:type="dxa" w:w="1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Order Scope</w:t>
            </w:r>
          </w:p>
        </w:tc>
        <w:tc>
          <w:tcPr>
            <w:tcW w:type="dxa" w:w="44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Feature Access</w:t>
            </w:r>
          </w:p>
        </w:tc>
      </w:tr>
      <w:tr>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TRADER</w:t>
            </w:r>
          </w:p>
        </w:tc>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Trading Desk</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Own orders</w:t>
            </w:r>
          </w:p>
        </w:tc>
        <w:tc>
          <w:tcPr>
            <w:tcW w:type="dxa" w:w="44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TCA decomposition, algo performance, alpha decay, venue SOR.</w:t>
            </w:r>
          </w:p>
        </w:tc>
      </w:tr>
      <w:tr>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HEAD_OF_TRADING</w:t>
            </w:r>
          </w:p>
        </w:tc>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Management</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traders</w:t>
            </w:r>
          </w:p>
        </w:tc>
        <w:tc>
          <w:tcPr>
            <w:tcW w:type="dxa" w:w="44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Aggregated cost/performance. No individual client data.</w:t>
            </w:r>
          </w:p>
        </w:tc>
      </w:tr>
      <w:tr>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COMPLIANCE</w:t>
            </w:r>
          </w:p>
        </w:tc>
        <w:tc>
          <w:tcPr>
            <w:tcW w:type="dxa" w:w="18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Compliance</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orders</w:t>
            </w:r>
          </w:p>
        </w:tc>
        <w:tc>
          <w:tcPr>
            <w:tcW w:type="dxa" w:w="44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MiFID II export, quarantine viewer, warning reports, audit trail.</w:t>
            </w:r>
          </w:p>
        </w:tc>
      </w:tr>
      <w:tr>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CLIENT</w:t>
            </w:r>
          </w:p>
        </w:tc>
        <w:tc>
          <w:tcPr>
            <w:tcW w:type="dxa" w:w="18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Institutional CP</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Own orders only</w:t>
            </w:r>
          </w:p>
        </w:tc>
        <w:tc>
          <w:tcPr>
            <w:tcW w:type="dxa" w:w="44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counterparty_id = their client_code. Read-only. No internal metrics.</w:t>
            </w:r>
          </w:p>
        </w:tc>
      </w:tr>
    </w:tbl>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H.2  Client Counterparty Isolation (Angular Implementation)</w:t>
      </w:r>
    </w:p>
    <w:p>
      <w:pPr>
        <w:spacing w:after="100" w:before="80"/>
      </w:pPr>
      <w:r>
        <w:rPr>
          <w:rFonts w:ascii="Arial" w:cs="Arial" w:eastAsia="Arial" w:hAnsi="Arial"/>
          <w:b w:val="false"/>
          <w:bCs w:val="false"/>
          <w:i w:val="false"/>
          <w:iCs w:val="false"/>
          <w:color w:val="1A1A1A"/>
          <w:sz w:val="22"/>
          <w:szCs w:val="22"/>
        </w:rPr>
        <w:t xml:space="preserve">Client users can only see their own transactions. This is enforced at three independent levels: the JWT token, the Angular route guard, and the API (see Section J). Angular implements the first and second levels.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Enforcement Point</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 Detail</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JWT claims</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On login, the FastAPI auth server issues a JWT containing: role=CLIENT and counterparty_id=&lt;client_code&gt;. The Angular AuthService decodes and stores this in NgRx state.</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API calls scoped by token</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HttpInterceptor appends the JWT Bearer token to every API request. FastAPI extracts counterparty_id from the token and applies it as a WHERE clause filter server-side.</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RouteGuard</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role users are redirected to /client-view and cannot navigate to /algo-perf, /mifid, /alpha-decay, or any route guarded by the TRADER or COMPLIANCE RoleGuard.</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 client-side filtering</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Angular never filters data client-side to implement access control. The API only returns data the client is authorised to see. Angular trusts API response scope entirely.</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UI indication</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client dashboard header displays 'Viewing: [Client Name] transactions only' with an orange info bar, making the scope visually clear.</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I. FastAPI External API</w:t>
      </w:r>
    </w:p>
    <w:p>
      <w:pPr>
        <w:spacing w:after="100" w:before="80"/>
      </w:pPr>
      <w:r>
        <w:rPr>
          <w:rFonts w:ascii="Arial" w:cs="Arial" w:eastAsia="Arial" w:hAnsi="Arial"/>
          <w:b w:val="false"/>
          <w:bCs w:val="false"/>
          <w:i w:val="false"/>
          <w:iCs w:val="false"/>
          <w:color w:val="1A1A1A"/>
          <w:sz w:val="22"/>
          <w:szCs w:val="22"/>
        </w:rPr>
        <w:t xml:space="preserve">The external API provides structured, authenticated access to TCA results for both the Angular SPA and external institutional clients. It is built with FastAPI and enforces row-level security at the database query layer for every endpoint.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FASTAPI APPLICATION STRUCTURE</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app/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main.py              FastAPI app, CORS config, router includes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auth/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jwt_handler.py   Issue / verify JWT (RS256, 8h expiry)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dependencies.py  get_current_user() → UserClaims dataclass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rbac.py          require_role() dependency factory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routers/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tca.py           /tca/* endpoints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orders.py        /orders/* endpoints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reports.py       /reports/* endpoints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mifid.py         /mifid/* endpoints (compliance only)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pipeline.py      /pipeline/run (internal trigger)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services/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tca_service.py   Queries marts; applies RLS filter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db/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 session.py       SQLAlchemy async session, schema routing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schemas/             Pydantic response models (TCAResult, etc.)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12 — FastAPI Application Structure</w:t>
      </w:r>
    </w:p>
    <w:p>
      <w:pPr>
        <w:pStyle w:val="Heading2"/>
        <w:spacing w:after="140" w:before="320"/>
      </w:pPr>
      <w:r>
        <w:rPr>
          <w:rFonts w:ascii="Georgia" w:cs="Georgia" w:eastAsia="Georgia" w:hAnsi="Georgia"/>
          <w:b/>
          <w:bCs/>
          <w:color w:val="2D2D2D"/>
          <w:sz w:val="28"/>
          <w:szCs w:val="28"/>
        </w:rPr>
        <w:t xml:space="preserve">I.1  Authentication — JWT (RS256)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 Aspect</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Token issuance</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/auth/token accepts client_id + client_secret (client credential flow). Returns JWT signed with RS256. Payload includes: sub, role, counterparty_id, legal_entity, exp (8h).</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Token verification</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protected endpoint uses Depends(get_current_user). The JWT is verified against the public RS256 key. Expired or tampered tokens return HTTP 401.</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Role claim</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get_current_user() returns a UserClaims dataclass with role and counterparty_id. The require_role() dependency factory enforces role-based endpoint access.</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Refresh tokens</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/auth/refresh accepts a long-lived (7-day) refresh token and returns a new JWT. Refresh tokens are stored in PostgreSQL auth.refresh_tokens and rotated on each use.</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Client credential flow</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Institutional clients authenticate with their client_id and a rotating secret. Berenberg internal users authenticate via SSO integration (SAML2 → JWT bridge, production path).</w:t>
            </w:r>
          </w:p>
        </w:tc>
      </w:tr>
    </w:tbl>
    <w:p>
      <w:pPr>
        <w:pStyle w:val="Heading2"/>
        <w:spacing w:after="140" w:before="320"/>
      </w:pPr>
      <w:r>
        <w:rPr>
          <w:rFonts w:ascii="Georgia" w:cs="Georgia" w:eastAsia="Georgia" w:hAnsi="Georgia"/>
          <w:b/>
          <w:bCs/>
          <w:color w:val="2D2D2D"/>
          <w:sz w:val="28"/>
          <w:szCs w:val="28"/>
        </w:rPr>
        <w:t xml:space="preserve">I.2  Row-Level Security — Counterparty Isolation</w:t>
      </w:r>
    </w:p>
    <w:p>
      <w:pPr>
        <w:spacing w:after="100" w:before="80"/>
      </w:pPr>
      <w:r>
        <w:rPr>
          <w:rFonts w:ascii="Arial" w:cs="Arial" w:eastAsia="Arial" w:hAnsi="Arial"/>
          <w:b w:val="false"/>
          <w:bCs w:val="false"/>
          <w:i w:val="false"/>
          <w:iCs w:val="false"/>
          <w:color w:val="1A1A1A"/>
          <w:sz w:val="22"/>
          <w:szCs w:val="22"/>
        </w:rPr>
        <w:t xml:space="preserve">Counterparty isolation is enforced at the SQL query level inside each service function. It is not a middleware filter — it is a mandatory WHERE clause injected into every query that touches order or fill data.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ROW-LEVEL SECURITY FLOW</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HTTP Request + Bearer JWT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get_current_user()  →  UserClaims(role='CLIENT',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counterparty_id='CP_A')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tca_service.get_order_tca(order_id, user: UserClaims)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SQL:  SELECT * FROM mart_consolidated.fact_order_execution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WHERE order_id = :order_id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AND   counterparty_id = :counterparty_id   ← ALWAYS injected│</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AND   legal_entity = :legal_entity         ← From JWT claim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If counterparty_id does not match → zero rows → HTTP 404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(Not HTTP 403 — do not reveal existence of other clients' orders)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t>
            </w:r>
          </w:p>
        </w:tc>
      </w:tr>
    </w:tbl>
    <w:p>
      <w:pPr>
        <w:spacing w:after="160" w:before="60"/>
        <w:jc w:val="center"/>
      </w:pPr>
      <w:r>
        <w:rPr>
          <w:rFonts w:ascii="Arial" w:cs="Arial" w:eastAsia="Arial" w:hAnsi="Arial"/>
          <w:i/>
          <w:iCs/>
          <w:color w:val="6B6460"/>
          <w:sz w:val="18"/>
          <w:szCs w:val="18"/>
        </w:rPr>
        <w:t xml:space="preserve">Figure 13 — Row-Level Security: Counterparty Isolation at Query Layer</w:t>
      </w:r>
    </w:p>
    <w:p>
      <w:pPr>
        <w:spacing w:after="40" w:before="40"/>
      </w:pPr>
      <w:r>
        <w:t xml:space="preserve"/>
      </w:r>
    </w:p>
    <w:p>
      <w:pPr>
        <w:pBdr>
          <w:left w:val="single" w:color="E8450A" w:sz="12" w:space="8"/>
        </w:pBdr>
        <w:spacing w:after="100" w:before="80"/>
        <w:ind w:left="360"/>
      </w:pPr>
      <w:r>
        <w:rPr>
          <w:rFonts w:ascii="Arial" w:cs="Arial" w:eastAsia="Arial" w:hAnsi="Arial"/>
          <w:i/>
          <w:iCs/>
          <w:color w:val="6B6460"/>
          <w:sz w:val="20"/>
          <w:szCs w:val="20"/>
        </w:rPr>
        <w:t xml:space="preserve">  Returning HTTP 404 (not 403) when a CLIENT queries an order that exists but belongs to another counterparty prevents information leakage. The client cannot infer whether an order exists or whether they are unauthorised.</w:t>
      </w:r>
    </w:p>
    <w:p>
      <w:pPr>
        <w:pStyle w:val="Heading2"/>
        <w:spacing w:after="140" w:before="320"/>
      </w:pPr>
      <w:r>
        <w:rPr>
          <w:rFonts w:ascii="Georgia" w:cs="Georgia" w:eastAsia="Georgia" w:hAnsi="Georgia"/>
          <w:b/>
          <w:bCs/>
          <w:color w:val="2D2D2D"/>
          <w:sz w:val="28"/>
          <w:szCs w:val="28"/>
        </w:rPr>
        <w:t xml:space="preserve">I.3  API Endpoint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500"/>
        <w:gridCol w:w="40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w:t>
            </w:r>
          </w:p>
        </w:tc>
        <w:tc>
          <w:tcPr>
            <w:tcW w:type="dxa" w:w="1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Roles</w:t>
            </w:r>
          </w:p>
        </w:tc>
        <w:tc>
          <w:tcPr>
            <w:tcW w:type="dxa" w:w="40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 &amp; Scoping</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POST /auth/token</w:t>
            </w:r>
          </w:p>
        </w:tc>
        <w:tc>
          <w:tcPr>
            <w:tcW w:type="dxa" w:w="1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Exchange client_id + secret for JWT. Returns access_token + refresh_token.</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GET /tca/order/{order_id}</w:t>
            </w:r>
          </w:p>
        </w:tc>
        <w:tc>
          <w:tcPr>
            <w:tcW w:type="dxa" w:w="1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(scoped)</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TCA result. CLIENT role: only if counterparty_id matches JWT claim.</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GET /tca/summary</w:t>
            </w:r>
          </w:p>
        </w:tc>
        <w:tc>
          <w:tcPr>
            <w:tcW w:type="dxa" w:w="1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TRADER+</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aggregated TCA by asset_class, algo, side. Params: date, asset_class, legal_entity.</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GET /tca/algo-performance</w:t>
            </w:r>
          </w:p>
        </w:tc>
        <w:tc>
          <w:tcPr>
            <w:tcW w:type="dxa" w:w="1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TRADER+</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 algo performance. Params: algo_id, window_days. TRADER sees own algos.</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GET /tca/trader/{trader_id}</w:t>
            </w:r>
          </w:p>
        </w:tc>
        <w:tc>
          <w:tcPr>
            <w:tcW w:type="dxa" w:w="1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HEAD+COMPLY</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Trader attribution: timing_cost vs execution_cost breakdown.</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GET /tca/alpha-decay</w:t>
            </w:r>
          </w:p>
        </w:tc>
        <w:tc>
          <w:tcPr>
            <w:tcW w:type="dxa" w:w="1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TRADER+</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Alpha decay curves. Params: regime (low/med/high), algo_id, date_range.</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GET /tca/peer-benchmark</w:t>
            </w:r>
          </w:p>
        </w:tc>
        <w:tc>
          <w:tcPr>
            <w:tcW w:type="dxa" w:w="1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TRADER+</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European median comparison for order or date range.</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GET /orders</w:t>
            </w:r>
          </w:p>
        </w:tc>
        <w:tc>
          <w:tcPr>
            <w:tcW w:type="dxa" w:w="1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(scoped)</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 list with TCA summary. CLIENT: own orders only. TRADER: desk orders.</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GET /reports/warning</w:t>
            </w:r>
          </w:p>
        </w:tc>
        <w:tc>
          <w:tcPr>
            <w:tcW w:type="dxa" w:w="1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COMPLY+</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day observability warning report (JSON).</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GET /mifid/export</w:t>
            </w:r>
          </w:p>
        </w:tc>
        <w:tc>
          <w:tcPr>
            <w:tcW w:type="dxa" w:w="1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Protected</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COMPLY only</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MiFID II RTS 27/28 JSON/CSV for a given date range.</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POST /pipeline/run</w:t>
            </w:r>
          </w:p>
        </w:tc>
        <w:tc>
          <w:tcPr>
            <w:tcW w:type="dxa" w:w="1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 only</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only</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 Airflow DAG for specific order_id re-computation.</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J. Client Access Control — Counterparty Isolation</w:t>
      </w:r>
    </w:p>
    <w:p>
      <w:pPr>
        <w:spacing w:after="100" w:before="80"/>
      </w:pPr>
      <w:r>
        <w:rPr>
          <w:rFonts w:ascii="Arial" w:cs="Arial" w:eastAsia="Arial" w:hAnsi="Arial"/>
          <w:b w:val="false"/>
          <w:bCs w:val="false"/>
          <w:i w:val="false"/>
          <w:iCs w:val="false"/>
          <w:color w:val="1A1A1A"/>
          <w:sz w:val="22"/>
          <w:szCs w:val="22"/>
        </w:rPr>
        <w:t xml:space="preserve">Each transaction in the TCA system is associated with a counterparty (the institutional client on the other side of the trade). A client user must only ever see their own transactions. This section describes how this invariant is enforced end-to-end across every system layer, from the data model through to the user interface.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COUNTERPARTY ISOLATION — DEFENCE IN DEPTH</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Layer 1: DATA MODEL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lnk_order_client (Raw Vault Link)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counterparty_id stored as a HASH KEY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Every order has exactly one counterparty_id row in this Link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Layer 2: INFORMATION MART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fact_order_execution includes counterparty_id as a non-nullable column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mart_consolidated.entity_* schemas also carry counterparty_id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Layer 3: FASTAPI SERVICE LAYER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Every SQL query has AND counterparty_id = :user.counterparty_id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This WHERE clause is injected by the service layer — not optional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Zero rows returned if counterparty_id does not match → HTTP 404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Layer 4: JWT TOKEN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counterparty_id embedded in JWT payload at login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Token signed RS256 — cannot be tampered with by client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8-hour expiry — limits exposure window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Layer 5: ANGULAR ROUTE GUARD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CLIENT role users routed to /client-view ONLY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Cannot navigate to internal trading/compliance views                     </w:t>
            </w:r>
          </w:p>
        </w:tc>
      </w:tr>
      <w:tr>
        <w:tc>
          <w:tcPr>
            <w:tcW w:type="dxa" w:w="9360"/>
            <w:tcBorders>
              <w:top w:val="single" w:color="D8D4CF" w:sz="1"/>
              <w:left w:val="single" w:color="D8D4CF" w:sz="1"/>
              <w:bottom w:val="single" w:color="D8D4CF" w:sz="1"/>
              <w:right w:val="single" w:color="D8D4CF" w:sz="1"/>
            </w:tcBorders>
            <w:shd w:fill="F0EDE9" w:val="clear"/>
            <w:tcMar>
              <w:top w:type="dxa" w:w="0"/>
              <w:left w:type="dxa" w:w="180"/>
              <w:bottom w:type="dxa" w:w="0"/>
              <w:right w:type="dxa" w:w="180"/>
            </w:tcMar>
          </w:tcPr>
          <w:p>
            <w:r>
              <w:rPr>
                <w:rFonts w:ascii="Courier New" w:cs="Courier New" w:eastAsia="Courier New" w:hAnsi="Courier New"/>
                <w:color w:val="1A1A1A"/>
                <w:sz w:val="18"/>
                <w:szCs w:val="18"/>
              </w:rPr>
              <w:t xml:space="preserve">  UI shows 'Viewing: [Client Name] transactions only' orange header bar    </w:t>
            </w:r>
          </w:p>
        </w:tc>
      </w:tr>
    </w:tbl>
    <w:p>
      <w:pPr>
        <w:spacing w:after="160" w:before="60"/>
        <w:jc w:val="center"/>
      </w:pPr>
      <w:r>
        <w:rPr>
          <w:rFonts w:ascii="Arial" w:cs="Arial" w:eastAsia="Arial" w:hAnsi="Arial"/>
          <w:i/>
          <w:iCs/>
          <w:color w:val="6B6460"/>
          <w:sz w:val="18"/>
          <w:szCs w:val="18"/>
        </w:rPr>
        <w:t xml:space="preserve">Figure 14 — Counterparty Isolation: Five-Layer Defence in Depth</w:t>
      </w:r>
    </w:p>
    <w:p>
      <w:pPr>
        <w:spacing w:after="40" w:before="40"/>
      </w:pPr>
      <w:r>
        <w:t xml:space="preserve"/>
      </w:r>
    </w:p>
    <w:p>
      <w:pPr>
        <w:pStyle w:val="Heading2"/>
        <w:spacing w:after="140" w:before="320"/>
      </w:pPr>
      <w:r>
        <w:rPr>
          <w:rFonts w:ascii="Georgia" w:cs="Georgia" w:eastAsia="Georgia" w:hAnsi="Georgia"/>
          <w:b/>
          <w:bCs/>
          <w:color w:val="2D2D2D"/>
          <w:sz w:val="28"/>
          <w:szCs w:val="28"/>
        </w:rPr>
        <w:t xml:space="preserve">J.1  Data Model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Layer Control</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lnk_order_client (Raw Vault)</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order has exactly one row in this Link table mapping hub_order_hk → hub_client_hk. No order can exist in the Raw Vault without a counterparty association. This is enforced by a NOT NULL constraint and a dbt relationship test.</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counterparty_id in marts</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fact_order_execution in all mart schemas carries counterparty_id as a non-nullable denormalised column. This allows single-table WHERE filtering without joins at query time.</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Hash key privacy</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hub_client_hk is an MD5 hash of client_code — not the raw client identifier. The sat_client_profile satellite contains the readable name. This limits exposure of PII in the raw vault.</w:t>
            </w:r>
          </w:p>
        </w:tc>
      </w:tr>
    </w:tbl>
    <w:p>
      <w:pPr>
        <w:pStyle w:val="Heading2"/>
        <w:spacing w:after="140" w:before="320"/>
      </w:pPr>
      <w:r>
        <w:rPr>
          <w:rFonts w:ascii="Georgia" w:cs="Georgia" w:eastAsia="Georgia" w:hAnsi="Georgia"/>
          <w:b/>
          <w:bCs/>
          <w:color w:val="2D2D2D"/>
          <w:sz w:val="28"/>
          <w:szCs w:val="28"/>
        </w:rPr>
        <w:t xml:space="preserve">J.2  PostgreSQL Row-Level Security (Production Path)</w:t>
      </w:r>
    </w:p>
    <w:p>
      <w:pPr>
        <w:spacing w:after="100" w:before="80"/>
      </w:pPr>
      <w:r>
        <w:rPr>
          <w:rFonts w:ascii="Arial" w:cs="Arial" w:eastAsia="Arial" w:hAnsi="Arial"/>
          <w:b w:val="false"/>
          <w:bCs w:val="false"/>
          <w:i w:val="false"/>
          <w:iCs w:val="false"/>
          <w:color w:val="1A1A1A"/>
          <w:sz w:val="22"/>
          <w:szCs w:val="22"/>
        </w:rPr>
        <w:t xml:space="preserve">For the PoC, counterparty filtering is handled in the FastAPI service layer (application-level). The production architecture plan includes enabling PostgreSQL's native Row-Level Security (RLS) as an additional backstop.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RLS Aspect</w:t>
            </w:r>
          </w:p>
        </w:tc>
        <w:tc>
          <w:tcPr>
            <w:tcW w:type="dxa" w:w="6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RLS Policy</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 PostgreSQL RLS POLICY on fact_order_execution: USING (counterparty_id = current_setting('app.counterparty_id')). The FastAPI session sets this parameter via SET LOCAL before each query.</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Why application + RLS</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Application-level filtering is the first line. Database RLS is the backstop — it catches any query that bypasses the service layer, e.g. a future direct database connection or misconfigured query.</w:t>
            </w:r>
          </w:p>
        </w:tc>
      </w:tr>
      <w:tr>
        <w:tc>
          <w:tcPr>
            <w:tcW w:type="dxa" w:w="2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TRADER and COMPLIANCE</w:t>
            </w:r>
          </w:p>
        </w:tc>
        <w:tc>
          <w:tcPr>
            <w:tcW w:type="dxa" w:w="6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Non-CLIENT roles have BYPASS RLS privilege on their specific role. The SET LOCAL is not performed for internal roles — they see all counterparties for their legal entity scope.</w:t>
            </w:r>
          </w:p>
        </w:tc>
      </w:tr>
      <w:tr>
        <w:tc>
          <w:tcPr>
            <w:tcW w:type="dxa" w:w="2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Audit logging</w:t>
            </w:r>
          </w:p>
        </w:tc>
        <w:tc>
          <w:tcPr>
            <w:tcW w:type="dxa" w:w="6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pgaudit extension logs all SELECT queries on fact tables. Counterparty_id filter applied / not applied is visible in the audit log. Reviewed by compliance monthly.</w:t>
            </w:r>
          </w:p>
        </w:tc>
      </w:tr>
    </w:tbl>
    <w:p>
      <w:pPr>
        <w:pStyle w:val="Heading2"/>
        <w:spacing w:after="140" w:before="320"/>
      </w:pPr>
      <w:r>
        <w:rPr>
          <w:rFonts w:ascii="Georgia" w:cs="Georgia" w:eastAsia="Georgia" w:hAnsi="Georgia"/>
          <w:b/>
          <w:bCs/>
          <w:color w:val="2D2D2D"/>
          <w:sz w:val="28"/>
          <w:szCs w:val="28"/>
        </w:rPr>
        <w:t xml:space="preserve">J.3  Multi-Tenancy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rPr>
          <w:tblHeader/>
        </w:trPr>
        <w:tc>
          <w:tcPr>
            <w:tcW w:type="dxa" w:w="1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Layer</w:t>
            </w:r>
          </w:p>
        </w:tc>
        <w:tc>
          <w:tcPr>
            <w:tcW w:type="dxa" w:w="1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Mechanism</w:t>
            </w:r>
          </w:p>
        </w:tc>
        <w:tc>
          <w:tcPr>
            <w:tcW w:type="dxa" w:w="37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Data model</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Raw Vault</w:t>
            </w:r>
          </w:p>
        </w:tc>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lnk_order_client</w:t>
            </w:r>
          </w:p>
        </w:tc>
        <w:tc>
          <w:tcPr>
            <w:tcW w:type="dxa" w:w="3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order linked to exactly one counterparty. Non-nullable. dbt test enforced.</w:t>
            </w:r>
          </w:p>
        </w:tc>
      </w:tr>
      <w:tr>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Information Mart</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Mart layer</w:t>
            </w:r>
          </w:p>
        </w:tc>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counterparty_id column</w:t>
            </w:r>
          </w:p>
        </w:tc>
        <w:tc>
          <w:tcPr>
            <w:tcW w:type="dxa" w:w="3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Denormalised into all fact tables. Non-nullable. Used for WHERE filtering.</w:t>
            </w:r>
          </w:p>
        </w:tc>
      </w:tr>
      <w:tr>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API auth</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w:t>
            </w:r>
          </w:p>
        </w:tc>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counterparty_id claim</w:t>
            </w:r>
          </w:p>
        </w:tc>
        <w:tc>
          <w:tcPr>
            <w:tcW w:type="dxa" w:w="3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RS256-signed JWT. counterparty_id injected into every query. Returns 404 on mismatch.</w:t>
            </w:r>
          </w:p>
        </w:tc>
      </w:tr>
      <w:tr>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Database RLS</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w:t>
            </w:r>
          </w:p>
        </w:tc>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RLS POLICY (production path)</w:t>
            </w:r>
          </w:p>
        </w:tc>
        <w:tc>
          <w:tcPr>
            <w:tcW w:type="dxa" w:w="3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Backstop policy. SET LOCAL per session. pgaudit logging of all fact table selects.</w:t>
            </w:r>
          </w:p>
        </w:tc>
      </w:tr>
      <w:tr>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UI routing</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Angular</w:t>
            </w:r>
          </w:p>
        </w:tc>
        <w:tc>
          <w:tcPr>
            <w:tcW w:type="dxa" w:w="24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RoleGuard + client-view module</w:t>
            </w:r>
          </w:p>
        </w:tc>
        <w:tc>
          <w:tcPr>
            <w:tcW w:type="dxa" w:w="37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role limited to /client-view. All internal routes blocked. Scope banner displayed.</w:t>
            </w:r>
          </w:p>
        </w:tc>
      </w:tr>
      <w:tr>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Observability</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obs schema</w:t>
            </w:r>
          </w:p>
        </w:tc>
        <w:tc>
          <w:tcPr>
            <w:tcW w:type="dxa" w:w="24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counterparty_id in quarantine log</w:t>
            </w:r>
          </w:p>
        </w:tc>
        <w:tc>
          <w:tcPr>
            <w:tcW w:type="dxa" w:w="37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anomalous CLIENT data access logged. Daily review by compliance.</w:t>
            </w:r>
          </w:p>
        </w:tc>
      </w:tr>
    </w:tbl>
    <w:p>
      <w:r>
        <w:br w:type="page"/>
      </w:r>
    </w:p>
    <w:p>
      <w:pPr>
        <w:pStyle w:val="Heading1"/>
        <w:pBdr>
          <w:bottom w:val="single" w:color="E8450A" w:sz="10" w:space="8"/>
        </w:pBdr>
        <w:spacing w:after="200" w:before="400"/>
      </w:pPr>
      <w:r>
        <w:rPr>
          <w:rFonts w:ascii="Georgia" w:cs="Georgia" w:eastAsia="Georgia" w:hAnsi="Georgia"/>
          <w:b/>
          <w:bCs/>
          <w:color w:val="1A1A1A"/>
          <w:sz w:val="38"/>
          <w:szCs w:val="38"/>
        </w:rPr>
        <w:t xml:space="preserve">Appendix —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40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1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Layer</w:t>
            </w:r>
          </w:p>
        </w:tc>
        <w:tc>
          <w:tcPr>
            <w:tcW w:type="dxa" w:w="1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Language / Type</w:t>
            </w:r>
          </w:p>
        </w:tc>
        <w:tc>
          <w:tcPr>
            <w:tcW w:type="dxa" w:w="40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 in Architecture</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dlt (dlthub)</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Extraction</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Batch EL pipelines. Zero-infra, declarative sources, PostgreSQL destination, incremental loading.</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FastAPI + Faker</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 RT</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Synthetic FIX event generation. Faker for realistic payloads. Publishes to Redis Streams.</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Redis Streams</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RT Message Bus</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7</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Durable ordered log for real-time fills. XADD/XREADGROUP. Zero-broker PoC transport.</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PostgreSQL 16</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Storage</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schemas. TimescaleDB extension for hypertables. pgaudit for SQL audit logging.</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TimescaleDB</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Time-series</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ext</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Hypertable partitioning on tick data. Continuous aggregates for VWAP materialisation.</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dbt 1.7+</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 + Jinja</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Vault 2.0 models (staging, raw vault, biz vault, marts). Great Expectations integration.</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Great Expectations</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Quality</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dbt test backend. Schema + range + uniqueness checks. Generates HTML quality reports.</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Apache Airflow 2.x</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Orchestration</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TaskFlow API. Domain DAGs with SLA monitoring. Airflow REST API for on-demand triggers.</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FastAPI</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External API</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RS256 auth. Row-level security. Pydantic response models. Async SQLAlchemy sessions.</w:t>
            </w:r>
          </w:p>
        </w:tc>
      </w:tr>
      <w:tr>
        <w:tc>
          <w:tcPr>
            <w:tcW w:type="dxa" w:w="22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Angular 17</w:t>
            </w:r>
          </w:p>
        </w:tc>
        <w:tc>
          <w:tcPr>
            <w:tcW w:type="dxa" w:w="16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150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TypeScript</w:t>
            </w:r>
          </w:p>
        </w:tc>
        <w:tc>
          <w:tcPr>
            <w:tcW w:type="dxa" w:w="4060"/>
            <w:tcBorders>
              <w:top w:val="single" w:color="D8D4CF" w:sz="1"/>
              <w:left w:val="single" w:color="D8D4CF" w:sz="1"/>
              <w:bottom w:val="single" w:color="D8D4CF" w:sz="1"/>
              <w:right w:val="single" w:color="D8D4C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NgRx state. Role + counterparty guards. HttpInterceptor for auth. Berenberg brand styling.</w:t>
            </w:r>
          </w:p>
        </w:tc>
      </w:tr>
      <w:tr>
        <w:tc>
          <w:tcPr>
            <w:tcW w:type="dxa" w:w="22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bCs/>
                <w:color w:val="1A1A1A"/>
                <w:sz w:val="20"/>
                <w:szCs w:val="20"/>
              </w:rPr>
              <w:t xml:space="preserve">Docker Compose</w:t>
            </w:r>
          </w:p>
        </w:tc>
        <w:tc>
          <w:tcPr>
            <w:tcW w:type="dxa" w:w="16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PoC Infra</w:t>
            </w:r>
          </w:p>
        </w:tc>
        <w:tc>
          <w:tcPr>
            <w:tcW w:type="dxa" w:w="150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YAML</w:t>
            </w:r>
          </w:p>
        </w:tc>
        <w:tc>
          <w:tcPr>
            <w:tcW w:type="dxa" w:w="4060"/>
            <w:tcBorders>
              <w:top w:val="single" w:color="D8D4CF" w:sz="1"/>
              <w:left w:val="single" w:color="D8D4CF" w:sz="1"/>
              <w:bottom w:val="single" w:color="D8D4CF" w:sz="1"/>
              <w:right w:val="single" w:color="D8D4CF" w:sz="1"/>
            </w:tcBorders>
            <w:shd w:fill="FDF1EC"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Single-host: PostgreSQL + Redis + Airflow + FastAPI + Angular dev server. One docker-compose up.</w:t>
            </w:r>
          </w:p>
        </w:tc>
      </w:tr>
    </w:tbl>
    <w:p>
      <w:pPr>
        <w:spacing w:after="40" w:before="40"/>
      </w:pPr>
      <w:r>
        <w:t xml:space="preserve"/>
      </w:r>
    </w:p>
    <w:p>
      <w:pPr>
        <w:spacing w:after="40" w:before="40"/>
      </w:pPr>
      <w:r>
        <w:t xml:space="preserve"/>
      </w:r>
    </w:p>
    <w:p>
      <w:pPr>
        <w:pBdr>
          <w:top w:val="single" w:color="E8450A" w:sz="6" w:space="8"/>
        </w:pBdr>
        <w:spacing w:after="100" w:before="200"/>
        <w:jc w:val="center"/>
      </w:pPr>
      <w:r>
        <w:rPr>
          <w:rFonts w:ascii="Arial" w:cs="Arial" w:eastAsia="Arial" w:hAnsi="Arial"/>
          <w:b/>
          <w:bCs/>
          <w:color w:val="E8450A"/>
          <w:sz w:val="20"/>
          <w:szCs w:val="20"/>
        </w:rPr>
        <w:t xml:space="preserve">END OF DOCUMENT</w:t>
      </w:r>
    </w:p>
    <w:p>
      <w:pPr>
        <w:jc w:val="center"/>
      </w:pPr>
      <w:r>
        <w:rPr>
          <w:rFonts w:ascii="Arial" w:cs="Arial" w:eastAsia="Arial" w:hAnsi="Arial"/>
          <w:i/>
          <w:iCs/>
          <w:color w:val="6B6460"/>
          <w:sz w:val="18"/>
          <w:szCs w:val="18"/>
        </w:rPr>
        <w:t xml:space="preserve">Joh. Berenberg, Gossler &amp; Co. KG  |  Electronic Trading  |  Confidential &amp; Internal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450A" w:sz="4" w:space="6"/>
      </w:pBdr>
      <w:tabs>
        <w:tab w:val="right" w:pos="9026"/>
      </w:tabs>
      <w:spacing w:before="80"/>
    </w:pPr>
    <w:r>
      <w:rPr>
        <w:rFonts w:ascii="Arial" w:cs="Arial" w:eastAsia="Arial" w:hAnsi="Arial"/>
        <w:color w:val="6B6460"/>
        <w:sz w:val="16"/>
        <w:szCs w:val="16"/>
      </w:rPr>
      <w:t xml:space="preserve">Joh. Berenberg, Gossler &amp; Co. KG  |  Electronic Trading  |  Internal Use Only</w:t>
    </w:r>
    <w:r>
      <w:rPr>
        <w:rFonts w:ascii="Arial" w:cs="Arial" w:eastAsia="Arial" w:hAnsi="Arial"/>
      </w:rPr>
      <w:t xml:space="preserve">	</w:t>
    </w:r>
    <w:r>
      <w:rPr>
        <w:rFonts w:ascii="Arial" w:cs="Arial" w:eastAsia="Arial" w:hAnsi="Arial"/>
        <w:color w:val="6B64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50A" w:sz="6" w:space="6"/>
      </w:pBdr>
      <w:tabs>
        <w:tab w:val="right" w:pos="9026"/>
      </w:tabs>
      <w:spacing w:after="100"/>
    </w:pPr>
    <w:r>
      <w:rPr>
        <w:rFonts w:ascii="Arial" w:cs="Arial" w:eastAsia="Arial" w:hAnsi="Arial"/>
        <w:b/>
        <w:bCs/>
        <w:color w:val="1A1A1A"/>
        <w:sz w:val="18"/>
        <w:szCs w:val="18"/>
      </w:rPr>
      <w:t xml:space="preserve">BERENBERG BANK  |  TCA Platform — Technical Architecture</w:t>
    </w:r>
    <w:r>
      <w:rPr>
        <w:rFonts w:ascii="Arial" w:cs="Arial" w:eastAsia="Arial" w:hAnsi="Arial"/>
        <w:i/>
        <w:iCs/>
        <w:color w:val="6B6460"/>
        <w:sz w:val="16"/>
        <w:szCs w:val="16"/>
      </w:rPr>
      <w:t xml:space="preserve">	 CONFIDENTIAL  |  PROOF OF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lvl w:ilvl="2" w15:tentative="1">
      <w:start w:val="1"/>
      <w:numFmt w:val="bullet"/>
      <w:lvlText w:val="▪"/>
      <w:lvlJc w:val="left"/>
      <w:pPr>
        <w:ind w:left="12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1A"/>
      <w:sz w:val="38"/>
      <w:szCs w:val="38"/>
    </w:rPr>
  </w:style>
  <w:style w:type="paragraph" w:styleId="Heading2">
    <w:name w:val="Heading 2"/>
    <w:basedOn w:val="Normal"/>
    <w:next w:val="Normal"/>
    <w:qFormat/>
    <w:pPr>
      <w:spacing w:after="140" w:before="320"/>
      <w:outlineLvl w:val="1"/>
    </w:pPr>
    <w:rPr>
      <w:rFonts w:ascii="Georgia" w:cs="Georgia" w:eastAsia="Georgia" w:hAnsi="Georgia"/>
      <w:b/>
      <w:bCs/>
      <w:color w:val="2D2D2D"/>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E845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2026-04-22T09:22:46.387Z</dcterms:created>
  <dcterms:modified xsi:type="dcterms:W3CDTF">2026-04-22T09:22:46.387Z</dcterms:modified>
</cp:coreProperties>
</file>

<file path=docProps/custom.xml><?xml version="1.0" encoding="utf-8"?>
<Properties xmlns="http://schemas.openxmlformats.org/officeDocument/2006/custom-properties" xmlns:vt="http://schemas.openxmlformats.org/officeDocument/2006/docPropsVTypes"/>
</file>