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BERENBERG BANK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E8450A"/>
          <w:sz w:val="28"/>
          <w:szCs w:val="28"/>
        </w:rPr>
        <w:t xml:space="preserve">Electronic Trading Division</w:t>
      </w:r>
    </w:p>
    <w:p>
      <w:pPr>
        <w:pBdr>
          <w:top w:val="single" w:color="E8450A" w:sz="12" w:space="10"/>
          <w:bottom w:val="single" w:color="E8450A" w:sz="12" w:space="10"/>
        </w:pBdr>
        <w:spacing w:after="120" w:before="400"/>
        <w:jc w:val="center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TCA Platform — ETL &amp; Analytics System</w:t>
      </w: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6B6460"/>
          <w:sz w:val="24"/>
          <w:szCs w:val="24"/>
        </w:rPr>
        <w:t xml:space="preserve">High-Level Requirements  |  Proof of Concept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High-Level Requirements — Proof of Concept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Pan-European Equities (primary); Eurex Equity Derivatives; Fixed Income; FX Derivatives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— Internal Review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Electronic Trading / Technology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Division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Investment Banking — Equity Execution &amp; Electronic Trading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Regulatory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MiFID II / MiFIR compliant framework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 April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E8450A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6B6460"/>
          <w:sz w:val="20"/>
          <w:szCs w:val="20"/>
        </w:rPr>
        <w:t xml:space="preserve">  This document defines the high-level ETL and analytics system requirements for a Transaction Cost Analysis (TCA) platform scoped to Berenberg's equities-focused broker business. Spot FX is excluded (not a MiFID II financial instrument for Berenberg).</w:t>
      </w:r>
    </w:p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Berenberg's Investment Banking division uses Transaction Cost Analysis (TCA) as a strategic competitive differentiator within its pan-European equity execution and electronic trading business. Rather than a compliance afterthought, TCA is an active profit driver.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defines the high-level requirements for a proof-of-concept ETL and Analytics system that automates the data pipeline, cost attribution, and analytics reporting needed to operationalise TCA at scale for Berenberg's equities-focused institutional broker business.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1.1  How TCA Drives Berenberg's Profitability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Driver</w:t>
            </w:r>
          </w:p>
        </w:tc>
        <w:tc>
          <w:tcPr>
            <w:tcW w:type="dxa" w:w="1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Type</w:t>
            </w:r>
          </w:p>
        </w:tc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Lowering Slippage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1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Analyse per-order slippage and feed insights back into algo parameter tuning. Superior execution quality wins more institutional flow.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Algo Optimisation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 Generation</w:t>
            </w:r>
          </w:p>
        </w:tc>
        <w:tc>
          <w:tcPr>
            <w:tcW w:type="dxa" w:w="1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Independently attribute P&amp;L contribution to trader vs algorithm. Fine-tune algos continuously based on empirical fill data.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Alpha Decay Curves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Signal Capture</w:t>
            </w:r>
          </w:p>
        </w:tc>
        <w:tc>
          <w:tcPr>
            <w:tcW w:type="dxa" w:w="1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 price action over short horizons using trader, algo, and volatility regime factors to identify optimal liquidity capture windows.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Institutional Flow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1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Transparent, auditable slippage attribution builds client trust, securing high-volume institutional mandate flow.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1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 market impact modelling and attribution — eliminates dependency on large quant/data engineering teams per trade.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8450A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6B6460"/>
          <w:sz w:val="20"/>
          <w:szCs w:val="20"/>
        </w:rPr>
        <w:t xml:space="preserve">  All five business drivers are addressed by the ETL + Analytics platform described in this document.</w:t>
      </w:r>
    </w:p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2. Scope &amp; Instrument Coverage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PoC platform covers the instruments Berenberg actively trades and provides formal best-execution (MiFID II) TCA for. Coverage is tiered by analytical depth.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 Class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 Code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TCA Coverage</w:t>
            </w:r>
          </w:p>
        </w:tc>
        <w:tc>
          <w:tcPr>
            <w:tcW w:type="dxa" w:w="4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Cash Equities &amp; ETFs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43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Pan-European. Continuous lit markets. All 12 analytical modules apply. Primary revenue driver for Berenberg's electronic trading desk.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Listed Equity Derivatives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equity_future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43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Eurex (EuroStoxx50, DAX, single-stock options/futures). EDSP settlement benchmark. Block trade detection.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Fixed Income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fixed_income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Government bonds (Bunds, Gilts, OATs), covered bonds, IG corporates, sub-sovereigns (KfW, EIB). DV01-adjusted TCA. D2C vs electronic breakdown.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FX Derivatives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fx_derivative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Currency forwards and options only. Berenberg acts as Systematic Internaliser. Tenor-adjusted spread, forward points slippage.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Spot FX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EXCLUDED</w:t>
            </w:r>
          </w:p>
        </w:tc>
        <w:tc>
          <w:tcPr>
            <w:tcW w:type="dxa" w:w="43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a MiFID II financial instrument for Berenberg. Outside formal best-execution scope. No TCA system coverage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8450A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6B6460"/>
          <w:sz w:val="20"/>
          <w:szCs w:val="20"/>
        </w:rPr>
        <w:t xml:space="preserve">  The proof of concept prioritises the Equity and Equity Derivatives modules. Fixed Income and FX Derivative modules are included at a simplified level.</w:t>
      </w:r>
    </w:p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3. System Architecture Overview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consists of four logical tiers: Data Ingestion (ETL), Data Storage, Analytics Engine, and Reporting &amp; API Layer. For the PoC, each tier is implemented with a single, pragmatic technology choice.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Tier</w:t>
            </w:r>
          </w:p>
        </w:tc>
        <w:tc>
          <w:tcPr>
            <w:tcW w:type="dxa" w:w="6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1 — Ingestion (ETL)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Collects raw order, fill, and market data from OMS, EMS, and market data vendors. Normalises, validates, and enriches records before loading to storage.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2 — Storage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Time-series and relational store for enriched trade data, benchmark prices, and analytical results. Partitioned by date and asset class for query performance.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3 — Analytics Engine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all TCA modules: cost decomposition, pre-trade estimates, adverse selection, venue/SOR analysis, fill pattern, peer benchmarking, and regulatory compliance fields.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4 — Reporting &amp; API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Produces order-level reports, aggregated dashboards, MiFID II RTS 27/28 outputs, and an API for front-end consumption by traders, compliance, and clients.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3.1  PoC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Technology Choice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Ingestion / ETL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(pandas, SQLAlchemy). FIX 4.4 message parser for OMS/EMS feeds. REST polling for market data vendors (Bloomberg B-PIPE or Refinitiv mock for PoC).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(timescaledb extension for time-series partitioning). Single database, schema-per-asset-class. Redis for real-time tick cache.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(numpy, pandas, scipy). Modular class architecture (matching tca_berenberg.py). Scheduled via Airflow DAG (daily EOD) or triggered per fill event.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Reporting / API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(REST endpoints). Pandas-based report generation to CSV/Excel. MiFID II RTS fields serialised to JSON for downstream regulatory reporting system.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Airflow (single-node PoC). DAGs for: EOD enrichment run, daily MiFID II report, weekly algo performance digest.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Infrastructure (PoC)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AWS EC2 instance (t3.xlarge). PostgreSQL RDS. S3 for raw file archive. Containerised with Docker Compose.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4. ETL System Requirements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4.1  Data Sources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ETL pipeline must ingest from the following source systems. All sources are internal to Berenberg or via existing vendor agreements.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OMS (Order Mgmt System)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/ EOD batch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lifecycle events: new, partial fill, fill, cancel. FIX 4.4 ExecutionReport (MsgType=8).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EMS (Execution Mgmt)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Fills / Child orders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 order fills with venue, fill price, quantity, liquidity flag (maker/taker), fees.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Berenberg Algo Engine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 metadata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 ID, algo version, target participation rate, VWAP/IS/TWAP parameters per order slice.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 Data Vendor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 / OHLCV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+ EOD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Bid/ask/mid/last/volume per 30-second bar. Bloomberg B-PIPE or Refinitiv TREP. European session 08:00–16:30 CET.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Eurex Market Data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Derivatives ticks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+ EOD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EDSP (daily settlement price), bid/ask, volume. Product families: FESX, FDAX, OESX, ODAX.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Fixed Income Pricing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Bond prices/yields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EOD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TradeWeb, Bloomberg evaluated prices for Bunds, Gilts, KfW, IG corporates. Mid-yield, bid/ask spread.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Berenberg SI Engine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fills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Systematic Internaliser execution events with IS flag. Equity and FX derivative SI fills.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 Data</w:t>
            </w:r>
          </w:p>
        </w:tc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 master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3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Symbol, ISIN, currency, tick size, lot size, primary exchange, asset class, duration (FI), contract size (ETD).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4.2  ETL Pipeline —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4.2.1 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Subscribe to OMS and EMS via FIX 4.4 session for real-time order/fill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Poll market data API every 30 seconds during European session (08:00–16:30 CET).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Pull EOD EDSP from Eurex data file (CSV/FTP) within 30 minutes of market close.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Pull fixed income evaluated prices from vendor API at 16:45 CET (post-close).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Pull reference data snapshot daily at 07:00 CET before market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Archive all raw inbound messages to S3 (date-partitioned) for audit trail.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4.2.2  Transformation &amp; Enrichment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Normalise all timestamps to UTC. Store CET session boundaries as metadata.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Link fill records to parent order via order_id foreign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Enrich each fill with the following benchmark prices at fill time: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Arrival mid (at submission_time)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Decision mid (at decision_time)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Interval VWAP and TWAP (between first and last fill of parent order)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EOD close price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EDSP (Eurex settlement) for equity derivatives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Compute slippage vs each benchmark in bps immediately after fill enrichment.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Classify fills by: asset class, algo ID, venue, liquidity flag, SI flag, dark pool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Apply instrument reference data (tick size, lot size, duration, contract size) to each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Flag any fill where fee data is missing — hold in quarantine queue, alert 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Apply MiFID II instrument classification (EQTY, BOND, DERV, FXDR) per instrument.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4.2.3 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3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 price within daily high-low</w:t>
            </w:r>
          </w:p>
        </w:tc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 fill if price outside [day_low * 0.98, day_high * 1.02]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reject</w:t>
            </w:r>
          </w:p>
        </w:tc>
        <w:tc>
          <w:tcPr>
            <w:tcW w:type="dxa" w:w="2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to validation_errors table, alert ops.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 qty &lt;= remaining order qty</w:t>
            </w:r>
          </w:p>
        </w:tc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quantity cannot exceed unfilled parent quantity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reject</w:t>
            </w:r>
          </w:p>
        </w:tc>
        <w:tc>
          <w:tcPr>
            <w:tcW w:type="dxa" w:w="2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Flag as overfill, route to exception queue.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Timestamp sequence</w:t>
            </w:r>
          </w:p>
        </w:tc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fill_time &gt; submission_time &gt; decision_time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reject</w:t>
            </w:r>
          </w:p>
        </w:tc>
        <w:tc>
          <w:tcPr>
            <w:tcW w:type="dxa" w:w="2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 record, alert data engineering.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 in approved list</w:t>
            </w:r>
          </w:p>
        </w:tc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Venue must be in Berenberg approved execution venue master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warn</w:t>
            </w:r>
          </w:p>
        </w:tc>
        <w:tc>
          <w:tcPr>
            <w:tcW w:type="dxa" w:w="2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warning, allow through with flag.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Benchmark price availability</w:t>
            </w:r>
          </w:p>
        </w:tc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5 benchmarks must be present before analytics run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warn</w:t>
            </w:r>
          </w:p>
        </w:tc>
        <w:tc>
          <w:tcPr>
            <w:tcW w:type="dxa" w:w="2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analytics with available benchmarks, flag missing.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Fee bps in plausible range</w:t>
            </w:r>
          </w:p>
        </w:tc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 must be between 0 and 20 bps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warn</w:t>
            </w:r>
          </w:p>
        </w:tc>
        <w:tc>
          <w:tcPr>
            <w:tcW w:type="dxa" w:w="2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Flag outlier, include in report with caveat.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4.2.4 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Load enriched fill records to orders and fills tables in PostgreSQL.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Upsert benchmark prices to benchmarks table (keyed by symbol + timestamp).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Write computed slippage fields to tca_results table after analytics engine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Maintain a pipeline_runs audit log: source, records_in, records_out, errors, latency.</w:t>
      </w:r>
    </w:p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5. Core Data Model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tables form the minimal PoC schema. PostgreSQL with TimescaleDB hypertable extension on tick_data and tca_results.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5.1 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Unique order identifier from OMS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 ticker (e.g. SAP, FESX_Z4)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asset_class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 | equity_future | fixed_income | fx_derivative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CHAR(3)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 currency (EUR, GBP, USD)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side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CHAR(4)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 | sell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order quantity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decision_time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decision timestamp (UTC)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submission_time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OMS submission timestamp (UTC)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 | limit | algo_vwap | algo_is | rfq | rfs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algo_id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 identifier (VWAP_BRG, IS_BRG, etc.)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trader_id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Berenberg trader identifier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target_part_pct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algo participation rate (%)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venue_type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 | dark | si | rfq | rfs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mifid_class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MiFID II instrument classification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5.2  fills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fill_id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Unique fill identifier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 order reference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fill_time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execution timestamp (UTC)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fill_price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DECIMAL(18,6)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Executed price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fill_quantity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Filled quantity for this child order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Execution venue (LSE, XETRA, EUREX, etc.)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fees_bps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All-in explicit fee in basis points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is_dark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pool / off-book execution flag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is_si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Berenberg Systematic Internaliser flag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liquidity_flag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CHAR(5)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maker | taker</w:t>
            </w:r>
          </w:p>
        </w:tc>
      </w:tr>
      <w:tr>
        <w:tc>
          <w:tcPr>
            <w:tcW w:type="dxa" w:w="1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child_order_id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 order ID from EMS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5.3  benchmarks  (TimescaleDB hypertable on timestamp)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 ticker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snapshot timestamp (UTC)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bid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bid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ask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ask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traded price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mid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Computed mid-price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at this bar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vwap_cumulative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Cumulative intraday VWAP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edsp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Eurex settlement price (derivatives only)</w:t>
            </w:r>
          </w:p>
        </w:tc>
      </w:tr>
      <w:tr>
        <w:tc>
          <w:tcPr>
            <w:tcW w:type="dxa" w:w="20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yield_mid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 yield (fixed income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5.4  tca_results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8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result_id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Auto-incrementing result ID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 order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run_date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 run date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avg_fill_price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Weighted average fill price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arrival_price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Benchmark: arrival mid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decision_price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Benchmark: decision mid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interval_vwap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Benchmark: interval VWAP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interval_twap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Benchmark: interval TWAP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close_price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Benchmark: EOD close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slippage_vs_arrival_bps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slippage metric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slippage_vs_vwap_bps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 benchmark slippage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market_impact_bps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Almgren-Chriss impact estimate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timing_cost_bps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 → arrival timing cost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opportunity_cost_bps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Unfilled quantity cost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explicit_fees_bps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Commission + exchange fees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implementation_shortfall_bps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IS cost (realized + opportunity)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adverse_sel_5min_bps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reversion 5 min post-fill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adverse_sel_15min_bps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reversion 15 min post-fill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adverse_sel_30min_bps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reversion 30 min post-fill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si_fill_pct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filled via Berenberg SI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dark_pool_pct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filled in dark pools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maker_pct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maker liquidity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sor_quality_score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 quality composite score (0-100)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fill_rate_pct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of order filled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peer_grade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A-F grade vs European industry median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mifid_best_ex_compliant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MiFID II best execution flag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mifid_price_improvement_bps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MiFID II RTS27 price improvement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6. Analytics Engine Requirements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analytics engine processes enriched order and fill records through a modular pipeline of TCA modules. Each module maps directly to a business driver. The engine runs as a scheduled Airflow DAG (EOD) and optionally on-demand via API trigger.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6.1  Analytical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 Scope</w:t>
            </w:r>
          </w:p>
        </w:tc>
        <w:tc>
          <w:tcPr>
            <w:tcW w:type="dxa" w:w="1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Decomposition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1, 4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Slippage vs arrival/VWAP/TWAP/close. Market impact (Almgren-Chriss). Spread cost. Timing cost. Opportunity cost. Explicit fees. Full Implementation Shortfall.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Pre-Trade Analytics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Equities, Eq.Fut.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2, 5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ADV participation rate. Almgren-Chriss impact forecast. Urgency score. Optimal horizon. Berenberg algo recommendation (VWAP_BRG, IS_BRG, TWAP_BRG, POV_BRG).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Adverse Selection &amp; Alpha Decay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3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reversion at 5, 15, 30 minutes post-fill. Per-fill alpha decay curve. Information ratio. Identifies optimal liquidity capture timing.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 / SOR Analysis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2, 4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Per-venue slippage and fill %. SI fill %. Dark pool %. Maker/taker %. SOR quality score (0-100). Best/worst venue ranking.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Fill Pattern Analysis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Equities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2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 order uniformity (CV). Inter-fill interval. Front vs back-loading ratio. Fill clustering score. Identifies execution shape anomalies.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Peer Benchmarking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4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Compares slippage and impact vs European industry medians by ADV bucket. A-F grade. Percentile ranking. Used in client reporting.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Eurex Derivatives TCA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 Futures/Opts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1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EDSP slippage. Basis vs underlying. Contract-adjusted notional. Block trade flag (&gt;50 contracts). Eurex-specific benchmarks.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Fixed Income TCA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Income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1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DV01-adjusted cost (EUR). Yield slippage (bps). Dealer-to-client vs electronic venue breakdown. Bond type classification.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FX Derivatives TCA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FX Derivatives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Driver 1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Forward points slippage. Tenor-adjusted expected spread. Berenberg SI quality score. Scope note: spot FX excluded.</w:t>
            </w:r>
          </w:p>
        </w:tc>
      </w:tr>
      <w:tr>
        <w:tc>
          <w:tcPr>
            <w:tcW w:type="dxa" w:w="2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 II Compliance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15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RTS 27/28 fields. Instrument classification. Price improvement vs arrival. Best execution flag. Execution time (ms). Fill rate. FINRA N/A.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6.2  Alpha Decay &amp; Regime Analysis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module directly addresses Business Driver 3 (Generating Alpha Curves). It maps price action over concise time horizons using multiple factor dimensions.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Compute per-fill net alpha: market mid movement since decision minus fill cost at that child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Aggregate alpha decay curves by: trader ID, algo ID, asset class, volatility regime bucket.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Volatility regime buckets (daily implied vol): Low (&lt;80 bps), Medium (80–150 bps), High (&gt;150 bps).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Identify the time-of-day windows with highest and lowest average adverse selection across the European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Output: regime-tagged alpha curve table, queryable by trader / algo / date range.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6.3  Trader vs Algo Attribution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module directly addresses Business Driver 2 (Optimising Algo Performance). It provides independent attribution of slippage contributions.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Decision price to arrival price gap = Timing Cost = TRADER contribution (pre-submission alpha decay).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Arrival price to avg fill price gap = Execution Cost = ALGO contribution (in-market execution quality).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Post-fill reversion = Adverse Selection = market conditions / signal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Output per order: trader_cost_bps, algo_cost_bps, market_cost_bps, total_is_bps.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Aggregate by trader_id and algo_id over rolling 30-day windows for performance review.</w:t>
      </w:r>
    </w:p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7. Reporting Requirements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reporting layer serves three distinct audiences: the electronic trading desk (real-time performance feedback), compliance (MiFID II audit trail), and institutional clients (execution quality transparency).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7.1  Standard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6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3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Order-Level TCA Report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EOD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Trading Desk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cost decomposition per order. All benchmarks and slippage metrics. Venue/SOR breakdown. Fill pattern analysis. Algo recommendation vs actual.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Trader Performance Digest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 of Trading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Trader attribution (timing cost) vs algo attribution (execution cost). Rolling 30-day vs last week. Ranked by IS cost.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Algo Performance Report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 Dev Team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Per-algo slippage, impact, IS cost. Participation rate vs outcome. Fill clustering scores. Recommendations for param tuning.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Alpha Decay Report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Trading Desk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 curves by regime, algo, and time-of-day. Optimal liquidity capture windows. Adverse selection heatmap.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 / SOR Scorecard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Trading Desk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Ranked venue scorecard. Dark pool vs lit vs SI split. Maker/taker fee analysis. Best/worst venue trends.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 II RTS 27/28 Export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MiFID II fields per order in JSON/CSV. Price improvement. Top-5 venue breakdown. Instrument classification. Best-exec flag.</w:t>
            </w:r>
          </w:p>
        </w:tc>
      </w:tr>
      <w:tr>
        <w:tc>
          <w:tcPr>
            <w:tcW w:type="dxa" w:w="2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Client Execution Quality PDF</w:t>
            </w:r>
          </w:p>
        </w:tc>
        <w:tc>
          <w:tcPr>
            <w:tcW w:type="dxa" w:w="13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demand</w:t>
            </w:r>
          </w:p>
        </w:tc>
        <w:tc>
          <w:tcPr>
            <w:tcW w:type="dxa" w:w="16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/ Clients</w:t>
            </w:r>
          </w:p>
        </w:tc>
        <w:tc>
          <w:tcPr>
            <w:tcW w:type="dxa" w:w="4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Peer benchmarking results. Grade vs European median. IS breakdown. Demonstrates execution quality to institutional clients.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7.2  API Endpoints (FastAPI — PoC)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&amp; Description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/tca/order/{order_id}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Order-level full TCA result including all benchmarks, cost decomposition, venue breakdown.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/tca/summary?date=&amp;asset_class=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Aggregated daily summary by asset class, algo, and side.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/tca/algo-performance?window=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Rolling algo performance metrics for a specified lookback window (days).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/tca/trader/{trader_id}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Trader attribution report: timing cost vs algo cost breakdown.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/tca/alpha-decay?regime=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Alpha decay curves filtered by volatility regime and algo.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/tca/peer-benchmark/{order_id}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Peer benchmarking result with European industry median comparison and A-F grade.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/tca/mifid-export?date=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JSON/CSV — MiFID II RTS 27/28 fields for all orders on a given date.</w:t>
            </w:r>
          </w:p>
        </w:tc>
      </w:tr>
      <w:tr>
        <w:tc>
          <w:tcPr>
            <w:tcW w:type="dxa" w:w="3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/tca/run?order_id=</w:t>
            </w:r>
          </w:p>
        </w:tc>
        <w:tc>
          <w:tcPr>
            <w:tcW w:type="dxa" w:w="5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— Trigger on-demand analytics run for a specific order (returns job_id).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8.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Latency — Real-time enrichment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enrichment (slippage vs arrival) within 500ms of fill event receipt.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Latency — EOD analytics run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EOD analytics run (all orders, all modules) complete by 18:30 CET.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completeness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 than 0.5% of fills missing benchmark price data on any given day.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Historical depth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3 years of tick data and TCA results retained online (queryable).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raw inbound messages archived to S3. Immutable. Retained 7 years (MiFID II).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 II report delivery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RTS 27/28 exports available within 5 business days of quarter end.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99% uptime during European session (08:00–18:00 CET) on business days.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Role-based access: trader, compliance, client, admin. No client sees other client data.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Scalability (PoC)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PoC should handle up to 10,000 orders/day. Production target: 100,000+ orders/day.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14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Modular design — new asset classes or analytics modules addable without ETL redesign.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9. PoC Implementation Plan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proof of concept is structured in four short sprints. The goal is a working end-to-end pipeline with synthetic data, demonstrating all five business drivers.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9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1 — Wk 1-2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ETL Foundation</w:t>
            </w:r>
          </w:p>
        </w:tc>
        <w:tc>
          <w:tcPr>
            <w:tcW w:type="dxa" w:w="9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OMS/EMS FIX parser (synthetic). Market data polling (30s bars). PostgreSQL + TimescaleDB schema. S3 archive. Reference data load.</w:t>
            </w:r>
          </w:p>
        </w:tc>
      </w:tr>
      <w:tr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2 — Wk 3-4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 Core</w:t>
            </w:r>
          </w:p>
        </w:tc>
        <w:tc>
          <w:tcPr>
            <w:tcW w:type="dxa" w:w="9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tca_berenberg.py modules into service layer. Cost decomposition, benchmarks, adverse selection, fill pattern, venue/SOR. Write to tca_results.</w:t>
            </w:r>
          </w:p>
        </w:tc>
      </w:tr>
      <w:tr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3 — Wk 5-6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 &amp; Attribution</w:t>
            </w:r>
          </w:p>
        </w:tc>
        <w:tc>
          <w:tcPr>
            <w:tcW w:type="dxa" w:w="9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Trader vs algo attribution. Alpha decay by regime. Pre-trade analytics. Peer benchmarking vs European medians. MiFID II compliance fields.</w:t>
            </w:r>
          </w:p>
        </w:tc>
      </w:tr>
      <w:tr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4 — Wk 7-8</w:t>
            </w:r>
          </w:p>
        </w:tc>
        <w:tc>
          <w:tcPr>
            <w:tcW w:type="dxa" w:w="17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 &amp; API</w:t>
            </w:r>
          </w:p>
        </w:tc>
        <w:tc>
          <w:tcPr>
            <w:tcW w:type="dxa" w:w="9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endpoints. Order-level TCA report (JSON + Excel). Trader/algo digest. MiFID II RTS export. Airflow DAG. Basic summary dashboard.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9.1  Out of Scope for PoC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Real-time streaming dashboard (deferred to production phase).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Direct integration with live OMS/EMS (synthetic FIX feed used in PoC).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Client-facing portal (internal API only in PoC).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Spot FX — excluded permanently from Berenberg TCA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Machine learning-based impact prediction (manual Almgren-Chriss model used in PoC).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Multi-region / DR infrastructure (single-node PoC deployment).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9.2 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ETL pipeline processes synthetic order/fill feed end-to-end with &lt; 1% validation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TCA analytics modules produce results within 30 seconds for a batch of 100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Cost decomposition accurately attributes slippage to trader, algo, market, and fees independently.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MiFID II RTS 27/28 fields generated correctly for all in-scope instrument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Peer benchmarking grades are consistent with European industry median calibration.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API delivers order-level TCA result in under 200ms for a single order query.</w:t>
      </w:r>
    </w:p>
    <w:p>
      <w:r>
        <w:br w:type="page"/>
      </w:r>
    </w:p>
    <w:p>
      <w:pPr>
        <w:pStyle w:val="Heading1"/>
        <w:pBdr>
          <w:bottom w:val="single" w:color="E8450A" w:sz="10" w:space="8"/>
        </w:pBdr>
        <w:spacing w:after="180" w:before="38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Arrival Price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Mid-quote at the time of order submission to the market. The most common TCA benchmark.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Daily Volume. Used to calculate order participation rate.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Adverse Selection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moving against the trader after fills are complete, indicating the other side had better information.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Almgren-Chriss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Industry-standard market impact model estimating execution cost as a function of participation rate and volatility.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Alpha Decay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erosion of a trading signal's predictive value over the period between investment decision and execution completion.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Best Execution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MiFID II obligation to take all sufficient steps to obtain the best possible result for the client when executing orders.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DV01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Dollar Value of 1 basis point. Measures fixed income price sensitivity to a 1bp yield move.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EDSP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Eurex Daily Settlement Price. The official reference price for Eurex-listed derivatives at end of day.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Implementation Shortfall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cost of a trade vs the decision price, including both realized and opportunity costs.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(algo)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Implementation Shortfall algorithm. Minimises total cost by trading off market impact vs timing risk.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MiFID II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Markets in Financial Instruments Directive II. EU/UK regulation requiring best execution and trade reporting.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RTS 27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Regulatory Technical Standard 27: execution venue quality reporting, published quarterly by venues.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RTS 28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Regulatory Technical Standard 28: top-5 venue reporting, published annually by investment firms.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Systematic Internaliser. Berenberg acts as SI for equities and FX derivatives, providing firm two-way quotes.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Slippage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difference between a benchmark price (e.g. arrival mid) and the actual average fill price, in basis points.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SOR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Order Router. Automated system routing child orders to execution venues to optimise fill quality.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VWAP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D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Volume-Weighted Average Price. Market benchmark used to assess execution quality for passive strategies.</w:t>
            </w:r>
          </w:p>
        </w:tc>
      </w:tr>
      <w:tr>
        <w:tc>
          <w:tcPr>
            <w:tcW w:type="dxa" w:w="280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TWAP</w:t>
            </w:r>
          </w:p>
        </w:tc>
        <w:tc>
          <w:tcPr>
            <w:tcW w:type="dxa" w:w="6560"/>
            <w:tcBorders>
              <w:top w:val="single" w:color="D8D4CF" w:sz="1"/>
              <w:left w:val="single" w:color="D8D4CF" w:sz="1"/>
              <w:bottom w:val="single" w:color="D8D4CF" w:sz="1"/>
              <w:right w:val="single" w:color="D8D4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Time-Weighted Average Price. Equal-weighted time-average used for uniform execution strategies.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8450A" w:sz="6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E8450A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460"/>
          <w:sz w:val="18"/>
          <w:szCs w:val="18"/>
        </w:rPr>
        <w:t xml:space="preserve">Joh. Berenberg, Gossler &amp; Co. KG  |  Electronic Trading  |  Confidential &amp; 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4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6B6460"/>
        <w:sz w:val="16"/>
        <w:szCs w:val="16"/>
      </w:rPr>
      <w:t xml:space="preserve">Joh. Berenberg, Gossler &amp; Co. KG  |  Electronic Trading  | 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46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50A" w:sz="6" w:space="6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A1A1A"/>
        <w:sz w:val="18"/>
        <w:szCs w:val="18"/>
      </w:rPr>
      <w:t xml:space="preserve">BERENBERG BANK  |  TCA Platform — High-Level Requirements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i/>
        <w:iCs/>
        <w:color w:val="6B6460"/>
        <w:sz w:val="16"/>
        <w:szCs w:val="16"/>
      </w:rPr>
      <w:t xml:space="preserve">CONFIDENTIAL  |  PROOF OF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Georgia" w:cs="Georgia" w:eastAsia="Georgia" w:hAnsi="Georgia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Georgia" w:cs="Georgia" w:eastAsia="Georgia" w:hAnsi="Georgia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45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2026-04-22T08:48:58.583Z</dcterms:created>
  <dcterms:modified xsi:type="dcterms:W3CDTF">2026-04-22T08:48:58.583Z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