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Ines Roussel</w:t>
      </w:r>
    </w:p>
    <w:p>
      <w:r>
        <w:t xml:space="preserve">Responsable : Julien Caron</w:t>
      </w:r>
    </w:p>
    <w:p>
      <w:pPr>
        <w:pStyle w:val="Titre1"/>
      </w:pPr>
      <w:r>
        <w:t xml:space="preserve">9.4 Description de la solution</w:t>
      </w:r>
    </w:p>
    <w:p>
      <w:r>
        <w:t xml:space="preserve">Plateforme de réservation de salles de réunion.</w:t>
      </w:r>
    </w:p>
    <w:p>
      <w:pPr>
        <w:pStyle w:val="Titre1"/>
      </w:pPr>
      <w:r>
        <w:t xml:space="preserve">2.1 Architecture technique</w:t>
      </w:r>
    </w:p>
    <w:p>
      <w:r>
        <w:t xml:space="preserve">Application .NET hébergée sur IIS, base SQL Server.</w:t>
      </w:r>
    </w:p>
    <w:p>
      <w:pPr>
        <w:pStyle w:val="Titre1"/>
      </w:pPr>
      <w:r>
        <w:t xml:space="preserve">Annexe B Supervision</w:t>
      </w:r>
    </w:p>
    <w:p>
      <w:r>
        <w:t xml:space="preserve">Supervision via Nagios, vérification toutes les 10 minutes.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/Relationships>
</file>