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Claire Dubois</w:t>
      </w:r>
    </w:p>
    <w:p>
      <w:r>
        <w:t xml:space="preserve">Responsable : David Nguyen</w:t>
      </w:r>
    </w:p>
    <w:p>
      <w:pPr>
        <w:pStyle w:val="Titre1"/>
      </w:pPr>
      <w:r>
        <w:t xml:space="preserve">2.1 Description de la solution</w:t>
      </w:r>
    </w:p>
    <w:p>
      <w:r>
        <w:t xml:space="preserve">Portail interne de suivi des incidents.</w:t>
      </w:r>
    </w:p>
    <w:p>
      <w:pPr>
        <w:pStyle w:val="Titre1"/>
      </w:pPr>
      <w:r>
        <w:t xml:space="preserve">4.1 Architecture technique</w:t>
      </w:r>
    </w:p>
    <w:p>
      <w:r>
        <w:t xml:space="preserve">Application monolithique Java déployée sur 2 serveurs Tomcat.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/Relationships>
</file>