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Karim Haddad</w:t>
      </w:r>
    </w:p>
    <w:p>
      <w:r>
        <w:t xml:space="preserve">Responsable : Léa Fontaine</w:t>
      </w:r>
    </w:p>
    <w:p>
      <w:pPr>
        <w:pStyle w:val="Titre1"/>
      </w:pPr>
      <w:r>
        <w:t xml:space="preserve">2.1 Description de la solution</w:t>
      </w:r>
    </w:p>
    <w:p>
      <w:r>
        <w:t xml:space="preserve">Application de gestion des congés. Voir schéma applicatif ADU3003.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DAP4004</w:t>
        </w:r>
      </w:hyperlink>
    </w:p>
    <w:p>
      <w:r>
        <w:t xml:space="preserve">Architecture en 3 tiers classique.</w:t>
      </w:r>
    </w:p>
    <w:p>
      <w:pPr>
        <w:pStyle w:val="Titre1"/>
      </w:pPr>
      <w:r>
        <w:t xml:space="preserve">4.1 Architecture technique</w:t>
      </w:r>
    </w:p>
    <w:p>
      <w:r>
        <w:t xml:space="preserve">Frontend Angular, backend Spring Boot, PostgreSQL.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4004" TargetMode="External"/></Relationships>
</file>