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rPr>
          <w:i/>
          <w:color w:val="0070C0"/>
        </w:rPr>
        <w:t xml:space="preserve">Rappel : decrire l'outillage de supervision.</w:t>
      </w:r>
    </w:p>
    <w:p>
      <w:r>
        <w:t xml:space="preserve">Supervisee par Centreon ; sondes HTTP sur les services exposes.</w:t>
      </w:r>
    </w:p>
    <w:p>
      <w:r>
        <w:rPr>
          <w:i/>
          <w:color w:val="0070C0"/>
        </w:rPr>
        <w:t xml:space="preserve">Astuce : ne pas oublier les seuils.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r>
        <w:rPr>
          <w:i/>
          <w:color w:val="0070C0"/>
        </w:rPr>
        <w:t xml:space="preserve">Modele : preciser la retention.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