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Auteur : Alice Martin</w:t>
      </w:r>
    </w:p>
    <w:p>
      <w:r>
        <w:t xml:space="preserve">Responsable : Bob Lefevre</w:t>
      </w:r>
    </w:p>
    <w:p>
      <w:pPr>
        <w:pStyle w:val="Titre1"/>
      </w:pPr>
      <w:r>
        <w:t xml:space="preserve">2.1 Description de la solution</w:t>
      </w:r>
    </w:p>
    <w:p>
      <w:r>
        <w:t xml:space="preserve">La solution gere les commandes clients en temps reel via une API REST.</w:t>
      </w:r>
    </w:p>
    <w:p>
      <w:pPr>
        <w:pStyle w:val="Titre1"/>
      </w:pPr>
      <w:r>
        <w:t xml:space="preserve">2.2 Architecture fonctionnelle &amp; applicative</w:t>
      </w:r>
    </w:p>
    <w:p>
      <w:hyperlink r:id="rId1">
        <w:r>
          <w:t xml:space="preserve">DAP1001</w:t>
        </w:r>
      </w:hyperlink>
    </w:p>
    <w:p>
      <w:r>
        <w:t xml:space="preserve">Schema applicatif : ADU2002 (microservices conteneurises).</w:t>
      </w:r>
    </w:p>
    <w:p>
      <w:pPr>
        <w:pStyle w:val="Titre1"/>
      </w:pPr>
      <w:r>
        <w:t xml:space="preserve">2.3 Donnees</w:t>
      </w:r>
    </w:p>
    <w:p>
      <w:r>
        <w:t xml:space="preserve">Base Oracle, schema CMD_PROD, retention 36 mois.</w:t>
      </w:r>
    </w:p>
    <w:p>
      <w:pPr>
        <w:pStyle w:val="Titre1"/>
      </w:pPr>
      <w:r>
        <w:t xml:space="preserve">Principes et decisions</w:t>
      </w:r>
    </w:p>
    <w:p>
      <w:r>
        <w:t xml:space="preserve">Decision : adoption du pattern CQRS pour la lecture/ecriture.</w:t>
      </w:r>
    </w:p>
    <w:p>
      <w:pPr>
        <w:pStyle w:val="Titre1"/>
      </w:pPr>
      <w:r>
        <w:t xml:space="preserve">Architecture technique</w:t>
      </w:r>
    </w:p>
    <w:p>
      <w:r>
        <w:t xml:space="preserve">Cluster Kubernetes 3 noeuds, ingress NGINX, stockage NFS.</w:t>
      </w:r>
    </w:p>
    <w:p>
      <w:pPr>
        <w:pStyle w:val="Titre1"/>
      </w:pPr>
      <w:r>
        <w:t xml:space="preserve">Plages de fonctionnement / maintenance</w:t>
      </w:r>
    </w:p>
    <w:p>
      <w:r>
        <w:t xml:space="preserve">Service 24/7, fenetre de maintenance le dimanche 2h-4h.</w:t>
      </w:r>
    </w:p>
    <w:p>
      <w:pPr>
        <w:pStyle w:val="Titre1"/>
      </w:pPr>
      <w:r>
        <w:t xml:space="preserve">Supervision</w:t>
      </w:r>
    </w:p>
    <w:p>
      <w:r>
        <w:rPr>
          <w:i/>
        </w:rPr>
        <w:t xml:space="preserve">Phrase en italique simple, a CONSERVER.</w:t>
      </w:r>
    </w:p>
    <w:p>
      <w:r>
        <w:t xml:space="preserve">Supervisee par Centreon ; sondes HTTP sur les services exposes.</w:t>
      </w:r>
    </w:p>
    <w:p>
      <w:pPr>
        <w:pStyle w:val="Titre1"/>
      </w:pPr>
      <w:r>
        <w:t xml:space="preserve">Metrologie</w:t>
      </w:r>
    </w:p>
    <w:p>
      <w:r>
        <w:t xml:space="preserve">Metriques Prometheus, tableaux Grafana, retention 15 jours.</w:t>
      </w:r>
    </w:p>
    <w:p>
      <w:pPr>
        <w:pStyle w:val="Titre1"/>
      </w:pPr>
      <w:r>
        <w:t xml:space="preserve">Logs et diagnostic</w:t>
      </w:r>
    </w:p>
    <w:p>
      <w:r>
        <w:t xml:space="preserve">Logs centralises ELK, niveau INFO en production, rotation quotidienne.</w:t>
      </w:r>
    </w:p>
    <w:p>
      <w:pPr>
        <w:pStyle w:val="Titre1"/>
      </w:pPr>
      <w:r>
        <w:t xml:space="preserve">Sauvegardes</w:t>
      </w:r>
    </w:p>
    <w:p>
      <w:r>
        <w:t xml:space="preserve">Sauvegarde Oracle RMAN quotidienne, retention 30 jours, copie hors-site.</w:t>
      </w:r>
    </w:p>
    <w:p>
      <w:pPr>
        <w:pStyle w:val="Titre1"/>
      </w:pPr>
      <w:r>
        <w:t xml:space="preserve">Servitudes et ordonnancements</w:t>
      </w:r>
    </w:p>
    <w:p>
      <w:r>
        <w:t xml:space="preserve">Ordonnancement Control-M, chaine CMD_NIGHTLY a 1h.</w:t>
      </w:r>
    </w:p>
    <w:p>
      <w:pPr>
        <w:pStyle w:val="Titre1"/>
      </w:pPr>
      <w:r>
        <w:t xml:space="preserve">Comptes de service</w:t>
      </w:r>
    </w:p>
    <w:p>
      <w:r>
        <w:t xml:space="preserve">Compte svc_cmd_app (LDAP), compte svc_cmd_batch pour l'ordonnanceur.</w:t>
      </w:r>
    </w:p>
    <w:p>
      <w:pPr>
        <w:pStyle w:val="Titre1"/>
      </w:pPr>
      <w:r>
        <w:t xml:space="preserve">Certificats</w:t>
      </w:r>
    </w:p>
    <w:p>
      <w:r>
        <w:t xml:space="preserve">Certificat TLS *.cmd.intra, echeance 2027-03, renouvellement automatise.</w:t>
      </w:r>
    </w:p>
    <w:p>
      <w:pPr>
        <w:pStyle w:val="Titre1"/>
      </w:pPr>
      <w:r>
        <w:t xml:space="preserve">Liste blanche</w:t>
      </w:r>
    </w:p>
    <w:p>
      <w:r>
        <w:t xml:space="preserve">Whitelist IP : 10.20.0.0/16 et 10.21.4.10 pour l'admin.</w:t>
      </w:r>
    </w:p>
    <w:p>
      <w:pPr>
        <w:pStyle w:val="Titre1"/>
      </w:pPr>
      <w:r>
        <w:t xml:space="preserve">Flux et interdependances</w:t>
      </w:r>
    </w:p>
    <w:p>
      <w:r>
        <w:t xml:space="preserve">Flux entrant depuis le portail web, flux sortant vers le SI facturation.</w:t>
      </w:r>
    </w:p>
    <w:p>
      <w:pPr>
        <w:pStyle w:val="Titre1"/>
      </w:pPr>
      <w:r>
        <w:t xml:space="preserve">Matrice des responsabilites (RACI)</w:t>
      </w:r>
    </w:p>
    <w:p>
      <w:r>
        <w:t xml:space="preserve">RACI : exploitation responsable, etudes consultee, metier informee.</w:t>
      </w:r>
    </w:p>
    <w:p>
      <w:pPr>
        <w:pStyle w:val="Titre1"/>
      </w:pPr>
      <w:r>
        <w:t xml:space="preserve">Changements et MEP</w:t>
      </w:r>
    </w:p>
    <w:p>
      <w:r>
        <w:t xml:space="preserve">Controle des operations : MEP mensuelle validee en CAB.</w:t>
      </w:r>
    </w:p>
    <w:p>
      <w:pPr>
        <w:pStyle w:val="Titre1"/>
      </w:pPr>
      <w:r>
        <w:t xml:space="preserve">Referentiel (depot de code)</w:t>
      </w:r>
    </w:p>
    <w:p>
      <w:r>
        <w:t xml:space="preserve">Repository Git interne, depot de code gitlab/cmd, CI GitLab.</w:t>
      </w:r>
    </w:p>
    <w:p>
      <w:pPr>
        <w:pStyle w:val="Titre1"/>
      </w:pPr>
      <w:r>
        <w:t xml:space="preserve">Procedure de restauration</w:t>
      </w:r>
    </w:p>
    <w:p>
      <w:r>
        <w:t xml:space="preserve">Restauration : restore RMAN du dernier backup, controle d'integrite.</w:t>
      </w:r>
    </w:p>
    <w:p>
      <w:pPr>
        <w:pStyle w:val="Titre1"/>
      </w:pPr>
      <w:r>
        <w:t xml:space="preserve">Procedure de reconstruction</w:t>
      </w:r>
    </w:p>
    <w:p>
      <w:r>
        <w:t xml:space="preserve">Reconstruction : redeploiement Helm depuis les manifestes versionnes.</w:t>
      </w:r>
    </w:p>
    <w:p>
      <w:pPr>
        <w:pStyle w:val="Titre1"/>
      </w:pPr>
      <w:r>
        <w:t xml:space="preserve">Procedure de resynchronisation</w:t>
      </w:r>
    </w:p>
    <w:p>
      <w:r>
        <w:t xml:space="preserve">Resynchronisation : rejeu des evenements depuis le bus Kafka.</w:t>
      </w:r>
    </w:p>
    <w:p>
      <w:pPr>
        <w:pStyle w:val="Titre1"/>
      </w:pPr>
      <w:r>
        <w:t xml:space="preserve">Assets mainframe</w:t>
      </w:r>
    </w:p>
    <w:p>
      <w:r>
        <w:t xml:space="preserve">Assets mainframe : aucun (solution full cloud).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archi.example.com/DAP1001" TargetMode="External"/></Relationships>
</file>