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80"/>
        <w:jc w:val="center"/>
        <w:rPr/>
      </w:pPr>
      <w:r>
        <w:rPr>
          <w:rFonts w:eastAsia="Calibri" w:cs="Calibri"/>
          <w:b/>
          <w:bCs/>
          <w:color w:val="1B4F72"/>
          <w:sz w:val="60"/>
          <w:szCs w:val="60"/>
        </w:rPr>
        <w:t>Auditaccess</w:t>
      </w:r>
    </w:p>
    <w:p>
      <w:pPr>
        <w:pStyle w:val="normal1"/>
        <w:pBdr>
          <w:bottom w:val="single" w:sz="4" w:space="8" w:color="2E86C1"/>
        </w:pBdr>
        <w:spacing w:lineRule="auto" w:line="240" w:before="0" w:after="200"/>
        <w:jc w:val="center"/>
        <w:rPr/>
      </w:pPr>
      <w:r>
        <w:rPr>
          <w:rFonts w:eastAsia="Calibri" w:cs="Calibri"/>
          <w:i/>
          <w:iCs/>
          <w:color w:val="2E86C1"/>
          <w:sz w:val="28"/>
          <w:szCs w:val="28"/>
        </w:rPr>
        <w:t>Moteur d’audit en accessibilité de sites web</w:t>
      </w:r>
    </w:p>
    <w:p>
      <w:pPr>
        <w:pStyle w:val="normal1"/>
        <w:spacing w:lineRule="auto" w:line="240" w:before="0" w:after="80"/>
        <w:jc w:val="center"/>
        <w:rPr/>
      </w:pPr>
      <w:r>
        <w:rPr>
          <w:rFonts w:eastAsia="Calibri" w:cs="Calibri"/>
          <w:b/>
          <w:bCs/>
          <w:color w:val="1B4F72"/>
          <w:sz w:val="36"/>
          <w:szCs w:val="36"/>
        </w:rPr>
        <w:t>Documentation</w:t>
      </w:r>
    </w:p>
    <w:p>
      <w:pPr>
        <w:pStyle w:val="normal1"/>
        <w:spacing w:lineRule="auto" w:line="240" w:before="100" w:after="0"/>
        <w:rPr/>
      </w:pPr>
      <w:r>
        <w:rPr/>
      </w:r>
    </w:p>
    <w:p>
      <w:pPr>
        <w:pStyle w:val="normal1"/>
        <w:spacing w:lineRule="auto" w:line="240" w:before="0" w:after="60"/>
        <w:jc w:val="center"/>
        <w:rPr>
          <w:rFonts w:ascii="Calibri" w:hAnsi="Calibri" w:eastAsia="Calibri" w:cs="Calibri"/>
          <w:color w:val="E67E22"/>
          <w:sz w:val="24"/>
          <w:szCs w:val="24"/>
        </w:rPr>
      </w:pPr>
      <w:r>
        <w:rPr>
          <w:rFonts w:eastAsia="Calibri" w:cs="Calibri"/>
          <w:color w:val="E67E22"/>
          <w:sz w:val="24"/>
          <w:szCs w:val="24"/>
        </w:rPr>
        <w:t>Mode d’emploi • Guide fonctionnel • Guide technique</w:t>
      </w:r>
    </w:p>
    <w:p>
      <w:pPr>
        <w:pStyle w:val="normal1"/>
        <w:spacing w:lineRule="auto" w:line="240" w:before="0" w:after="60"/>
        <w:jc w:val="center"/>
        <w:rPr>
          <w:rFonts w:ascii="Calibri" w:hAnsi="Calibri" w:eastAsia="Calibri" w:cs="Calibri"/>
          <w:color w:val="E67E22"/>
          <w:sz w:val="24"/>
          <w:szCs w:val="24"/>
        </w:rPr>
      </w:pPr>
      <w:r>
        <w:rPr>
          <w:rFonts w:eastAsia="Calibri" w:cs="Calibri"/>
          <w:color w:val="E67E22"/>
          <w:sz w:val="24"/>
          <w:szCs w:val="24"/>
        </w:rPr>
      </w:r>
    </w:p>
    <w:p>
      <w:pPr>
        <w:pStyle w:val="normal1"/>
        <w:spacing w:lineRule="auto" w:line="240" w:before="0" w:after="57"/>
        <w:jc w:val="center"/>
        <w:rPr>
          <w:rFonts w:ascii="Calibri" w:hAnsi="Calibri" w:eastAsia="Calibri" w:cs="Calibri"/>
          <w:b/>
          <w:bCs/>
          <w:color w:val="5D6D7E"/>
          <w:sz w:val="22"/>
          <w:szCs w:val="22"/>
        </w:rPr>
      </w:pPr>
      <w:r>
        <w:rPr>
          <w:rFonts w:eastAsia="Calibri" w:cs="Calibri"/>
          <w:b/>
          <w:bCs/>
          <w:color w:val="5D6D7E"/>
          <w:sz w:val="22"/>
          <w:szCs w:val="22"/>
        </w:rPr>
        <w:t>Auditaccess x ServiceNow × SailPoint</w:t>
      </w:r>
    </w:p>
    <w:p>
      <w:pPr>
        <w:pStyle w:val="normal1"/>
        <w:spacing w:lineRule="auto" w:line="240" w:before="0" w:after="57"/>
        <w:jc w:val="center"/>
        <w:rPr>
          <w:rFonts w:ascii="Calibri" w:hAnsi="Calibri" w:eastAsia="Calibri" w:cs="Calibri"/>
          <w:color w:val="5D6D7E"/>
          <w:sz w:val="22"/>
          <w:szCs w:val="22"/>
        </w:rPr>
      </w:pPr>
      <w:r>
        <w:rPr>
          <w:rFonts w:eastAsia="Calibri" w:cs="Calibri"/>
          <w:color w:val="5D6D7E"/>
          <w:sz w:val="22"/>
          <w:szCs w:val="22"/>
        </w:rPr>
      </w:r>
    </w:p>
    <w:p>
      <w:pPr>
        <w:pStyle w:val="Normal"/>
        <w:rPr>
          <w:rFonts w:ascii="Calibri" w:hAnsi="Calibri"/>
          <w:color w:val="000000"/>
          <w:sz w:val="22"/>
          <w:szCs w:val="22"/>
        </w:rPr>
      </w:pPr>
      <w:r>
        <w:rPr>
          <w:b w:val="false"/>
          <w:color w:val="000000"/>
          <w:sz w:val="22"/>
          <w:szCs w:val="22"/>
          <w:shd w:fill="FFFFFE" w:val="clear"/>
        </w:rPr>
        <w:t>Auditaccess est une plateforme construite sur Spring Boot pour l'audit d'accessibilité web qui évalue les sites selon trois référentiels (RGAA 4.1, WCAG 2.2, DSFR), implémente un cycle Devops auto-adaptatif a 7 phases (Évaluer Élaborer Exécuter Examiner Évoluer Émettre Équilibrer), et s'intègre avec ServiceNow (ITSM) et SailPoint (Gouvernance des identités) pour un suivi unifié des tickets de securité et d’accessibilité.</w:t>
      </w:r>
    </w:p>
    <w:p>
      <w:pPr>
        <w:pStyle w:val="Heading2"/>
        <w:rPr>
          <w:sz w:val="24"/>
          <w:szCs w:val="24"/>
        </w:rPr>
      </w:pPr>
      <w:r>
        <w:rPr>
          <w:sz w:val="24"/>
          <w:szCs w:val="24"/>
        </w:rPr>
        <w:t>Évaluer -&gt; Élaborer -&gt; Exécuter -&gt; Examiner -&gt; Évoluer -&gt; Émettre -&gt; Équilibrer</w:t>
      </w:r>
    </w:p>
    <w:p>
      <w:pPr>
        <w:pStyle w:val="Heading2"/>
        <w:rPr/>
      </w:pPr>
      <w:r>
        <w:rPr/>
        <w:t>C</w:t>
      </w:r>
      <w:r>
        <w:rPr/>
        <w:t>e cycle en 7 phases fait référence aux 3 voies de la méthodologie Devops :</w:t>
      </w:r>
    </w:p>
    <w:p>
      <w:pPr>
        <w:pStyle w:val="normal1"/>
        <w:spacing w:lineRule="auto" w:line="240" w:before="0" w:after="57"/>
        <w:rPr/>
      </w:pPr>
      <w:r>
        <w:rPr/>
        <w:t>É</w:t>
      </w:r>
      <w:r>
        <w:rPr/>
        <w:t xml:space="preserve">valuer l’existant et les métriques </w:t>
      </w:r>
      <w:r>
        <w:rPr/>
        <w:t>permet d’obtenir</w:t>
      </w:r>
      <w:r>
        <w:rPr/>
        <w:t xml:space="preserve"> la capacité à élaborer les pipelines et l’architecture, pour exécuter les déploiements, examiner en continu via tests et observabilités, évoluer par itérations rapides, émettre des retours exploitables et équilibrer durablement la performance, la fiabilité et la sécurité. </w:t>
      </w:r>
    </w:p>
    <w:p>
      <w:pPr>
        <w:pStyle w:val="normal1"/>
        <w:spacing w:lineRule="auto" w:line="240" w:before="0" w:after="57"/>
        <w:rPr/>
      </w:pPr>
      <w:r>
        <w:rPr/>
      </w:r>
    </w:p>
    <w:p>
      <w:pPr>
        <w:pStyle w:val="Heading3"/>
        <w:rPr/>
      </w:pPr>
      <w:r>
        <w:rPr/>
        <w:t>La Première Voie : Le Flux</w:t>
      </w:r>
    </w:p>
    <w:p>
      <w:pPr>
        <w:pStyle w:val="Blocdecitationuser"/>
        <w:rPr/>
      </w:pPr>
      <w:r>
        <w:rPr>
          <w:i/>
          <w:sz w:val="24"/>
          <w:szCs w:val="24"/>
        </w:rPr>
        <w:t>"élaborer les pipelines et l’architecture, pour exécuter les déploiements"</w:t>
      </w:r>
    </w:p>
    <w:p>
      <w:pPr>
        <w:pStyle w:val="Heading3"/>
        <w:rPr/>
      </w:pPr>
      <w:r>
        <w:rPr/>
        <w:t>La Deuxième Voie : Le Feedback (Boucle de rétroaction)</w:t>
      </w:r>
    </w:p>
    <w:p>
      <w:pPr>
        <w:pStyle w:val="Blocdecitationuser"/>
        <w:rPr/>
      </w:pPr>
      <w:r>
        <w:rPr>
          <w:i/>
          <w:sz w:val="24"/>
          <w:szCs w:val="24"/>
        </w:rPr>
        <w:t>"examiner en continu via tests et observabilité  - émettre des retours exploitables"</w:t>
      </w:r>
    </w:p>
    <w:p>
      <w:pPr>
        <w:pStyle w:val="Heading3"/>
        <w:rPr/>
      </w:pPr>
      <w:r>
        <w:rPr/>
        <w:t>La Troisième Voie : L'Apprentissage et l'Expérimentation Continus</w:t>
      </w:r>
    </w:p>
    <w:p>
      <w:pPr>
        <w:pStyle w:val="Blocdecitationuser"/>
        <w:rPr>
          <w:sz w:val="24"/>
          <w:szCs w:val="24"/>
        </w:rPr>
      </w:pPr>
      <w:r>
        <w:rPr>
          <w:i/>
          <w:sz w:val="24"/>
          <w:szCs w:val="24"/>
        </w:rPr>
        <w:t>"évoluer par itérations rapides, équilibrer durablement performance, fiabilité et sécurité"</w:t>
      </w:r>
    </w:p>
    <w:p>
      <w:pPr>
        <w:pStyle w:val="normal1"/>
        <w:jc w:val="center"/>
        <w:rPr>
          <w:rFonts w:ascii="Calibri" w:hAnsi="Calibri" w:eastAsia="Calibri" w:cs="Calibri"/>
          <w:color w:val="5D6D7E"/>
          <w:sz w:val="22"/>
          <w:szCs w:val="22"/>
        </w:rPr>
      </w:pPr>
      <w:r>
        <w:rPr>
          <w:rFonts w:eastAsia="Calibri" w:cs="Calibri"/>
          <w:color w:val="5D6D7E"/>
          <w:sz w:val="22"/>
          <w:szCs w:val="22"/>
        </w:rPr>
      </w:r>
    </w:p>
    <w:p>
      <w:pPr>
        <w:pStyle w:val="normal1"/>
        <w:jc w:val="center"/>
        <w:rPr>
          <w:rFonts w:ascii="Calibri" w:hAnsi="Calibri" w:eastAsia="Calibri" w:cs="Calibri"/>
          <w:color w:val="5D6D7E"/>
          <w:sz w:val="22"/>
          <w:szCs w:val="22"/>
        </w:rPr>
      </w:pPr>
      <w:r>
        <w:rPr>
          <w:rFonts w:eastAsia="Calibri" w:cs="Calibri"/>
          <w:color w:val="5D6D7E"/>
          <w:sz w:val="22"/>
          <w:szCs w:val="22"/>
        </w:rPr>
      </w:r>
    </w:p>
    <w:p>
      <w:pPr>
        <w:pStyle w:val="normal1"/>
        <w:jc w:val="center"/>
        <w:rPr>
          <w:rFonts w:ascii="Calibri" w:hAnsi="Calibri" w:eastAsia="Calibri" w:cs="Calibri"/>
          <w:color w:val="5D6D7E"/>
          <w:sz w:val="22"/>
          <w:szCs w:val="22"/>
        </w:rPr>
      </w:pPr>
      <w:r>
        <w:rPr>
          <w:rFonts w:eastAsia="Calibri" w:cs="Calibri"/>
          <w:color w:val="5D6D7E"/>
          <w:sz w:val="22"/>
          <w:szCs w:val="22"/>
        </w:rPr>
      </w:r>
    </w:p>
    <w:p>
      <w:pPr>
        <w:pStyle w:val="normal1"/>
        <w:jc w:val="center"/>
        <w:rPr>
          <w:rFonts w:ascii="Calibri" w:hAnsi="Calibri" w:eastAsia="Calibri" w:cs="Calibri"/>
          <w:color w:val="5D6D7E"/>
          <w:sz w:val="22"/>
          <w:szCs w:val="22"/>
        </w:rPr>
      </w:pPr>
      <w:r>
        <w:rPr>
          <w:rFonts w:eastAsia="Calibri" w:cs="Calibri"/>
          <w:color w:val="5D6D7E"/>
          <w:sz w:val="22"/>
          <w:szCs w:val="22"/>
        </w:rPr>
      </w:r>
    </w:p>
    <w:p>
      <w:pPr>
        <w:pStyle w:val="normal1"/>
        <w:jc w:val="center"/>
        <w:rPr>
          <w:rFonts w:ascii="Calibri" w:hAnsi="Calibri" w:eastAsia="Calibri" w:cs="Calibri"/>
          <w:color w:val="5D6D7E"/>
          <w:sz w:val="22"/>
          <w:szCs w:val="22"/>
        </w:rPr>
      </w:pPr>
      <w:r>
        <w:rPr>
          <w:rFonts w:eastAsia="Calibri" w:cs="Calibri"/>
          <w:color w:val="5D6D7E"/>
          <w:sz w:val="22"/>
          <w:szCs w:val="22"/>
        </w:rPr>
      </w:r>
    </w:p>
    <w:p>
      <w:pPr>
        <w:pStyle w:val="normal1"/>
        <w:jc w:val="center"/>
        <w:rPr>
          <w:rFonts w:ascii="Calibri" w:hAnsi="Calibri" w:eastAsia="Calibri" w:cs="Calibri"/>
          <w:color w:val="5D6D7E"/>
          <w:sz w:val="22"/>
          <w:szCs w:val="22"/>
        </w:rPr>
        <w:sectPr>
          <w:type w:val="nextPage"/>
          <w:pgSz w:w="11906" w:h="16838"/>
          <w:pgMar w:left="1440" w:right="1440" w:gutter="0" w:header="0" w:top="1440" w:footer="0" w:bottom="1440"/>
          <w:pgNumType w:start="1" w:fmt="decimal"/>
          <w:formProt w:val="false"/>
          <w:textDirection w:val="lrTb"/>
          <w:docGrid w:type="default" w:linePitch="100" w:charSpace="0"/>
        </w:sectPr>
      </w:pPr>
      <w:r>
        <w:rPr>
          <w:rFonts w:eastAsia="Calibri" w:cs="Calibri"/>
          <w:color w:val="5D6D7E"/>
          <w:sz w:val="22"/>
          <w:szCs w:val="22"/>
        </w:rPr>
        <w:t>Version 1.0 — Mai 2026</w:t>
      </w:r>
    </w:p>
    <w:p>
      <w:pPr>
        <w:pStyle w:val="Heading1"/>
        <w:rPr/>
      </w:pPr>
      <w:r>
        <w:rPr/>
        <w:t>PARTIE 1 — Mode d’emploi</w:t>
      </w:r>
    </w:p>
    <w:p>
      <w:pPr>
        <w:pStyle w:val="normal1"/>
        <w:spacing w:lineRule="auto" w:line="276" w:before="0" w:after="120"/>
        <w:jc w:val="start"/>
        <w:rPr/>
      </w:pPr>
      <w:r>
        <w:rPr>
          <w:rFonts w:eastAsia="Calibri" w:cs="Calibri"/>
          <w:color w:val="2C3E50"/>
          <w:sz w:val="22"/>
          <w:szCs w:val="22"/>
        </w:rPr>
        <w:t>Ce guide vous accompagne pas à pas dans l’utilisation de Auditaccess. Aucune compétence technique n’est requise.</w:t>
      </w:r>
    </w:p>
    <w:p>
      <w:pPr>
        <w:pStyle w:val="Heading2"/>
        <w:rPr/>
      </w:pPr>
      <w:r>
        <w:rPr/>
        <w:t>Qu’est-ce que Auditaccess ?</w:t>
      </w:r>
    </w:p>
    <w:p>
      <w:pPr>
        <w:pStyle w:val="normal1"/>
        <w:spacing w:lineRule="auto" w:line="276" w:before="0" w:after="120"/>
        <w:jc w:val="start"/>
        <w:rPr/>
      </w:pPr>
      <w:r>
        <w:rPr>
          <w:rFonts w:eastAsia="Calibri" w:cs="Calibri"/>
          <w:color w:val="2C3E50"/>
          <w:sz w:val="22"/>
          <w:szCs w:val="22"/>
        </w:rPr>
        <w:t>Auditaccess est un outil qui vérifie si un site web est accessible à tous les utilisateurs, y compris les personnes en situation de handicap. Il analyse automatiquement les pages web et produit un score de conformité sur 3 référentiels :</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bCs/>
          <w:i w:val="false"/>
          <w:iCs w:val="false"/>
          <w:caps w:val="false"/>
          <w:smallCaps w:val="false"/>
          <w:strike w:val="false"/>
          <w:dstrike w:val="false"/>
          <w:color w:val="2C3E50"/>
          <w:position w:val="0"/>
          <w:sz w:val="22"/>
          <w:szCs w:val="22"/>
          <w:u w:val="none"/>
          <w:shd w:fill="auto" w:val="clear"/>
          <w:vertAlign w:val="baseline"/>
        </w:rPr>
        <w:t>RGAA 4.1</w:t>
      </w: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 xml:space="preserve"> — le référentiel français d’accessibilité (obligatoire pour les sites publics)</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bCs/>
          <w:i w:val="false"/>
          <w:iCs w:val="false"/>
          <w:caps w:val="false"/>
          <w:smallCaps w:val="false"/>
          <w:strike w:val="false"/>
          <w:dstrike w:val="false"/>
          <w:color w:val="2C3E50"/>
          <w:position w:val="0"/>
          <w:sz w:val="22"/>
          <w:szCs w:val="22"/>
          <w:u w:val="none"/>
          <w:shd w:fill="auto" w:val="clear"/>
          <w:vertAlign w:val="baseline"/>
        </w:rPr>
        <w:t>WCAG 2.2</w:t>
      </w: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 xml:space="preserve"> — la norme internationale d’accessibilité web</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bCs/>
          <w:i w:val="false"/>
          <w:iCs w:val="false"/>
          <w:caps w:val="false"/>
          <w:smallCaps w:val="false"/>
          <w:strike w:val="false"/>
          <w:dstrike w:val="false"/>
          <w:color w:val="2C3E50"/>
          <w:position w:val="0"/>
          <w:sz w:val="22"/>
          <w:szCs w:val="22"/>
          <w:u w:val="none"/>
          <w:shd w:fill="auto" w:val="clear"/>
          <w:vertAlign w:val="baseline"/>
        </w:rPr>
        <w:t>DSFR</w:t>
      </w: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 xml:space="preserve"> — le Design System de l’État français (en-tête, pied de page, composants)</w:t>
      </w:r>
    </w:p>
    <w:p>
      <w:pPr>
        <w:pStyle w:val="normal1"/>
        <w:spacing w:lineRule="auto" w:line="276" w:before="0" w:after="120"/>
        <w:jc w:val="start"/>
        <w:rPr/>
      </w:pPr>
      <w:r>
        <w:rPr>
          <w:rFonts w:eastAsia="Calibri" w:cs="Calibri"/>
          <w:color w:val="2C3E50"/>
          <w:sz w:val="22"/>
          <w:szCs w:val="22"/>
        </w:rPr>
        <w:t>L’outil calcule un score global entre 0 et 1 (0% à 100%). Plus le score est élevé, plus le site est accessible.</w:t>
      </w:r>
    </w:p>
    <w:p>
      <w:pPr>
        <w:pStyle w:val="normal1"/>
        <w:spacing w:lineRule="auto" w:line="240" w:before="60" w:after="0"/>
        <w:rPr/>
      </w:pPr>
      <w:r>
        <w:rPr/>
      </w:r>
    </w:p>
    <w:tbl>
      <w:tblPr>
        <w:tblStyle w:val="Table1"/>
        <w:tblW w:w="9026" w:type="dxa"/>
        <w:jc w:val="start"/>
        <w:tblInd w:w="0" w:type="dxa"/>
        <w:tblLayout w:type="fixed"/>
        <w:tblCellMar>
          <w:top w:w="120" w:type="dxa"/>
          <w:start w:w="200" w:type="dxa"/>
          <w:bottom w:w="120" w:type="dxa"/>
          <w:end w:w="200" w:type="dxa"/>
        </w:tblCellMar>
        <w:tblLook w:val="0000"/>
      </w:tblPr>
      <w:tblGrid>
        <w:gridCol w:w="9026"/>
      </w:tblGrid>
      <w:tr>
        <w:trPr/>
        <w:tc>
          <w:tcPr>
            <w:tcW w:w="9026" w:type="dxa"/>
            <w:tcBorders>
              <w:start w:val="single" w:sz="8" w:space="0" w:color="2E86C1"/>
            </w:tcBorders>
            <w:shd w:fill="EBF5FB" w:val="clear"/>
          </w:tcPr>
          <w:p>
            <w:pPr>
              <w:pStyle w:val="normal1"/>
              <w:spacing w:lineRule="auto" w:line="240" w:before="0" w:after="60"/>
              <w:rPr/>
            </w:pPr>
            <w:r>
              <w:rPr>
                <w:rFonts w:eastAsia="Calibri" w:cs="Calibri"/>
                <w:b/>
                <w:bCs/>
                <w:color w:val="2E86C1"/>
                <w:sz w:val="22"/>
                <w:szCs w:val="22"/>
              </w:rPr>
              <w:t>Exemple concret</w:t>
            </w:r>
          </w:p>
          <w:p>
            <w:pPr>
              <w:pStyle w:val="normal1"/>
              <w:spacing w:lineRule="auto" w:line="262" w:before="0" w:after="50"/>
              <w:rPr/>
            </w:pPr>
            <w:r>
              <w:rPr>
                <w:rFonts w:eastAsia="Calibri" w:cs="Calibri"/>
                <w:color w:val="2C3E50"/>
                <w:sz w:val="21"/>
                <w:szCs w:val="21"/>
              </w:rPr>
              <w:t>Vous entrez l’URL https://www.service-public.fr</w:t>
            </w:r>
          </w:p>
          <w:p>
            <w:pPr>
              <w:pStyle w:val="normal1"/>
              <w:spacing w:lineRule="auto" w:line="262" w:before="0" w:after="50"/>
              <w:rPr/>
            </w:pPr>
            <w:r>
              <w:rPr>
                <w:rFonts w:eastAsia="Calibri" w:cs="Calibri"/>
                <w:color w:val="2C3E50"/>
                <w:sz w:val="21"/>
                <w:szCs w:val="21"/>
              </w:rPr>
              <w:t>Auditaccess visite le site, analyse 13 critères, et retourne :</w:t>
            </w:r>
          </w:p>
          <w:p>
            <w:pPr>
              <w:pStyle w:val="normal1"/>
              <w:spacing w:lineRule="auto" w:line="262" w:before="0" w:after="50"/>
              <w:rPr/>
            </w:pPr>
            <w:r>
              <w:rPr>
                <w:rFonts w:eastAsia="Calibri" w:cs="Calibri"/>
                <w:color w:val="2C3E50"/>
                <w:sz w:val="21"/>
                <w:szCs w:val="21"/>
              </w:rPr>
              <w:t>Score global : 0.92 (92%) — Bon</w:t>
            </w:r>
          </w:p>
          <w:p>
            <w:pPr>
              <w:pStyle w:val="normal1"/>
              <w:spacing w:lineRule="auto" w:line="262" w:before="0" w:after="50"/>
              <w:rPr/>
            </w:pPr>
            <w:r>
              <w:rPr>
                <w:rFonts w:eastAsia="Calibri" w:cs="Calibri"/>
                <w:color w:val="2C3E50"/>
                <w:sz w:val="21"/>
                <w:szCs w:val="21"/>
              </w:rPr>
              <w:t>Le détail montre que le titre de page est pertinent, la langue est déclarée, les images ont des textes alternatifs, etc.</w:t>
            </w:r>
          </w:p>
        </w:tc>
      </w:tr>
    </w:tbl>
    <w:p>
      <w:pPr>
        <w:pStyle w:val="Heading2"/>
        <w:rPr/>
      </w:pPr>
      <w:r>
        <w:rPr/>
        <w:t>Accéder à l’outil :</w:t>
      </w:r>
    </w:p>
    <w:p>
      <w:pPr>
        <w:pStyle w:val="normal1"/>
        <w:spacing w:lineRule="auto" w:line="276" w:before="0" w:after="120"/>
        <w:jc w:val="start"/>
        <w:rPr/>
      </w:pPr>
      <w:r>
        <w:rPr>
          <w:rFonts w:eastAsia="Calibri" w:cs="Calibri"/>
          <w:color w:val="2C3E50"/>
          <w:sz w:val="22"/>
          <w:szCs w:val="22"/>
        </w:rPr>
        <w:t xml:space="preserve">Auditaccess est une application web. Ouvrir votre navigateur (Chrome, Firefox, Edge) à l’adresse suivante : </w:t>
      </w:r>
      <w:hyperlink r:id="rId2">
        <w:r>
          <w:rPr>
            <w:rStyle w:val="Hyperlink"/>
            <w:rFonts w:eastAsia="Calibri" w:cs="Calibri"/>
            <w:b/>
            <w:bCs/>
            <w:color w:val="2C3E50"/>
            <w:sz w:val="21"/>
            <w:szCs w:val="21"/>
          </w:rPr>
          <w:t>http://localhost:8080</w:t>
        </w:r>
      </w:hyperlink>
    </w:p>
    <w:p>
      <w:pPr>
        <w:pStyle w:val="normal1"/>
        <w:spacing w:lineRule="auto" w:line="276" w:before="0" w:after="120"/>
        <w:jc w:val="start"/>
        <w:rPr/>
      </w:pPr>
      <w:r>
        <w:rPr>
          <w:rFonts w:eastAsia="Calibri" w:cs="Calibri"/>
          <w:color w:val="2C3E50"/>
          <w:sz w:val="22"/>
          <w:szCs w:val="22"/>
        </w:rPr>
        <w:t>La page d’accueil propose 3 tableaux de bord :</w:t>
      </w:r>
    </w:p>
    <w:tbl>
      <w:tblPr>
        <w:tblStyle w:val="Table3"/>
        <w:tblW w:w="9026" w:type="dxa"/>
        <w:jc w:val="start"/>
        <w:tblInd w:w="0" w:type="dxa"/>
        <w:tblLayout w:type="fixed"/>
        <w:tblCellMar>
          <w:top w:w="80" w:type="dxa"/>
          <w:start w:w="120" w:type="dxa"/>
          <w:bottom w:w="80" w:type="dxa"/>
          <w:end w:w="120" w:type="dxa"/>
        </w:tblCellMar>
        <w:tblLook w:val="0000"/>
      </w:tblPr>
      <w:tblGrid>
        <w:gridCol w:w="2400"/>
        <w:gridCol w:w="2798"/>
        <w:gridCol w:w="3828"/>
      </w:tblGrid>
      <w:tr>
        <w:trPr/>
        <w:tc>
          <w:tcPr>
            <w:tcW w:w="2400"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Tableau de bord</w:t>
            </w:r>
          </w:p>
        </w:tc>
        <w:tc>
          <w:tcPr>
            <w:tcW w:w="2798"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Adresse</w:t>
            </w:r>
          </w:p>
        </w:tc>
        <w:tc>
          <w:tcPr>
            <w:tcW w:w="3828"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Pour qui ?</w:t>
            </w:r>
          </w:p>
        </w:tc>
      </w:tr>
      <w:tr>
        <w:trPr/>
        <w:tc>
          <w:tcPr>
            <w:tcW w:w="24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Admin &amp; Tests</w:t>
            </w:r>
          </w:p>
        </w:tc>
        <w:tc>
          <w:tcPr>
            <w:tcW w:w="279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/admin.html</w:t>
            </w:r>
          </w:p>
        </w:tc>
        <w:tc>
          <w:tcPr>
            <w:tcW w:w="382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Développeurs, testeurs — accès à tous les détails techniques</w:t>
            </w:r>
          </w:p>
        </w:tc>
      </w:tr>
      <w:tr>
        <w:trPr/>
        <w:tc>
          <w:tcPr>
            <w:tcW w:w="24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Exploitation</w:t>
            </w:r>
          </w:p>
        </w:tc>
        <w:tc>
          <w:tcPr>
            <w:tcW w:w="2798"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/exploitation.html</w:t>
            </w:r>
          </w:p>
        </w:tc>
        <w:tc>
          <w:tcPr>
            <w:tcW w:w="3828"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Responsables accessibilité — pilotage et suivi des audits</w:t>
            </w:r>
          </w:p>
        </w:tc>
      </w:tr>
      <w:tr>
        <w:trPr/>
        <w:tc>
          <w:tcPr>
            <w:tcW w:w="24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Intégrations</w:t>
            </w:r>
          </w:p>
        </w:tc>
        <w:tc>
          <w:tcPr>
            <w:tcW w:w="279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/integrations.html</w:t>
            </w:r>
          </w:p>
        </w:tc>
        <w:tc>
          <w:tcPr>
            <w:tcW w:w="382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Responsables sécurité — tickets ServiceNow et SailPoint</w:t>
            </w:r>
          </w:p>
        </w:tc>
      </w:tr>
      <w:tr>
        <w:trPr/>
        <w:tc>
          <w:tcPr>
            <w:tcW w:w="24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Documentation API</w:t>
            </w:r>
          </w:p>
        </w:tc>
        <w:tc>
          <w:tcPr>
            <w:tcW w:w="2798"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/swagger-ui.html</w:t>
            </w:r>
          </w:p>
        </w:tc>
        <w:tc>
          <w:tcPr>
            <w:tcW w:w="3828"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Développeurs — référence technique de l’API</w:t>
            </w:r>
          </w:p>
        </w:tc>
      </w:tr>
    </w:tbl>
    <w:p>
      <w:pPr>
        <w:pStyle w:val="Heading2"/>
        <w:rPr/>
      </w:pPr>
      <w:r>
        <w:rPr/>
      </w:r>
    </w:p>
    <w:p>
      <w:pPr>
        <w:pStyle w:val="Heading2"/>
        <w:rPr/>
      </w:pPr>
      <w:r>
        <w:rPr/>
        <w:t>Premier audit</w:t>
      </w:r>
    </w:p>
    <w:p>
      <w:pPr>
        <w:pStyle w:val="normal1"/>
        <w:spacing w:lineRule="auto" w:line="276" w:before="0" w:after="120"/>
        <w:jc w:val="start"/>
        <w:rPr/>
      </w:pPr>
      <w:r>
        <w:rPr>
          <w:rFonts w:eastAsia="Calibri" w:cs="Calibri"/>
          <w:color w:val="2C3E50"/>
          <w:sz w:val="22"/>
          <w:szCs w:val="22"/>
        </w:rPr>
        <w:t>Voici les étapes pour auditer un site web avec le tableau de bord Exploitation.</w:t>
      </w:r>
    </w:p>
    <w:p>
      <w:pPr>
        <w:pStyle w:val="normal1"/>
        <w:spacing w:lineRule="auto" w:line="240" w:before="40" w:after="0"/>
        <w:rPr/>
      </w:pPr>
      <w:r>
        <w:rPr/>
      </w:r>
    </w:p>
    <w:tbl>
      <w:tblPr>
        <w:tblStyle w:val="Table4"/>
        <w:tblW w:w="9026" w:type="dxa"/>
        <w:jc w:val="start"/>
        <w:tblInd w:w="0" w:type="dxa"/>
        <w:tblLayout w:type="fixed"/>
        <w:tblCellMar>
          <w:top w:w="80" w:type="dxa"/>
          <w:start w:w="40" w:type="dxa"/>
          <w:bottom w:w="80" w:type="dxa"/>
          <w:end w:w="40" w:type="dxa"/>
        </w:tblCellMar>
        <w:tblLook w:val="0000"/>
      </w:tblPr>
      <w:tblGrid>
        <w:gridCol w:w="700"/>
        <w:gridCol w:w="8326"/>
      </w:tblGrid>
      <w:tr>
        <w:trPr/>
        <w:tc>
          <w:tcPr>
            <w:tcW w:w="700" w:type="dxa"/>
            <w:tcBorders/>
            <w:shd w:fill="2E86C1" w:val="clear"/>
            <w:vAlign w:val="center"/>
          </w:tcPr>
          <w:p>
            <w:pPr>
              <w:pStyle w:val="normal1"/>
              <w:jc w:val="center"/>
              <w:rPr/>
            </w:pPr>
            <w:r>
              <w:rPr>
                <w:rFonts w:eastAsia="Calibri" w:cs="Calibri"/>
                <w:b/>
                <w:bCs/>
                <w:color w:val="FFFFFF"/>
                <w:sz w:val="26"/>
                <w:szCs w:val="26"/>
              </w:rPr>
              <w:t>1</w:t>
            </w:r>
          </w:p>
        </w:tc>
        <w:tc>
          <w:tcPr>
            <w:tcW w:w="8326" w:type="dxa"/>
            <w:tcBorders>
              <w:bottom w:val="single" w:sz="4" w:space="0" w:color="BDC3C7"/>
            </w:tcBorders>
            <w:tcMar>
              <w:start w:w="160" w:type="dxa"/>
              <w:end w:w="80" w:type="dxa"/>
            </w:tcMar>
          </w:tcPr>
          <w:p>
            <w:pPr>
              <w:pStyle w:val="normal1"/>
              <w:spacing w:lineRule="auto" w:line="240" w:before="0" w:after="30"/>
              <w:rPr/>
            </w:pPr>
            <w:r>
              <w:rPr>
                <w:rFonts w:eastAsia="Calibri" w:cs="Calibri"/>
                <w:b/>
                <w:bCs/>
                <w:color w:val="1B4F72"/>
                <w:sz w:val="22"/>
                <w:szCs w:val="22"/>
              </w:rPr>
              <w:t>Ouvrir le tableau de bord</w:t>
            </w:r>
          </w:p>
          <w:p>
            <w:pPr>
              <w:pStyle w:val="normal1"/>
              <w:spacing w:lineRule="auto" w:line="262" w:before="0" w:after="0"/>
              <w:rPr/>
            </w:pPr>
            <w:r>
              <w:rPr>
                <w:rFonts w:eastAsia="Calibri" w:cs="Calibri"/>
                <w:color w:val="2C3E50"/>
                <w:sz w:val="21"/>
                <w:szCs w:val="21"/>
              </w:rPr>
              <w:t>Dans le navigateur, aller sur http://localhost:8080/exploitation.html</w:t>
            </w:r>
          </w:p>
        </w:tc>
      </w:tr>
    </w:tbl>
    <w:p>
      <w:pPr>
        <w:pStyle w:val="normal1"/>
        <w:spacing w:lineRule="auto" w:line="240" w:before="60" w:after="0"/>
        <w:rPr/>
      </w:pPr>
      <w:r>
        <w:rPr/>
      </w:r>
    </w:p>
    <w:tbl>
      <w:tblPr>
        <w:tblStyle w:val="Table5"/>
        <w:tblW w:w="9026" w:type="dxa"/>
        <w:jc w:val="start"/>
        <w:tblInd w:w="0" w:type="dxa"/>
        <w:tblLayout w:type="fixed"/>
        <w:tblCellMar>
          <w:top w:w="80" w:type="dxa"/>
          <w:start w:w="40" w:type="dxa"/>
          <w:bottom w:w="80" w:type="dxa"/>
          <w:end w:w="40" w:type="dxa"/>
        </w:tblCellMar>
        <w:tblLook w:val="0000"/>
      </w:tblPr>
      <w:tblGrid>
        <w:gridCol w:w="700"/>
        <w:gridCol w:w="8326"/>
      </w:tblGrid>
      <w:tr>
        <w:trPr/>
        <w:tc>
          <w:tcPr>
            <w:tcW w:w="700" w:type="dxa"/>
            <w:tcBorders/>
            <w:shd w:fill="2E86C1" w:val="clear"/>
            <w:vAlign w:val="center"/>
          </w:tcPr>
          <w:p>
            <w:pPr>
              <w:pStyle w:val="normal1"/>
              <w:jc w:val="center"/>
              <w:rPr/>
            </w:pPr>
            <w:r>
              <w:rPr>
                <w:rFonts w:eastAsia="Calibri" w:cs="Calibri"/>
                <w:b/>
                <w:bCs/>
                <w:color w:val="FFFFFF"/>
                <w:sz w:val="26"/>
                <w:szCs w:val="26"/>
              </w:rPr>
              <w:t>2</w:t>
            </w:r>
          </w:p>
        </w:tc>
        <w:tc>
          <w:tcPr>
            <w:tcW w:w="8326" w:type="dxa"/>
            <w:tcBorders>
              <w:bottom w:val="single" w:sz="4" w:space="0" w:color="BDC3C7"/>
            </w:tcBorders>
            <w:tcMar>
              <w:start w:w="160" w:type="dxa"/>
              <w:end w:w="80" w:type="dxa"/>
            </w:tcMar>
          </w:tcPr>
          <w:p>
            <w:pPr>
              <w:pStyle w:val="normal1"/>
              <w:spacing w:lineRule="auto" w:line="240" w:before="0" w:after="30"/>
              <w:rPr/>
            </w:pPr>
            <w:r>
              <w:rPr>
                <w:rFonts w:eastAsia="Calibri" w:cs="Calibri"/>
                <w:b/>
                <w:bCs/>
                <w:color w:val="1B4F72"/>
                <w:sz w:val="22"/>
                <w:szCs w:val="22"/>
              </w:rPr>
              <w:t>Cliquer sur « Lancer un audit »</w:t>
            </w:r>
          </w:p>
          <w:p>
            <w:pPr>
              <w:pStyle w:val="normal1"/>
              <w:spacing w:lineRule="auto" w:line="262" w:before="0" w:after="0"/>
              <w:rPr/>
            </w:pPr>
            <w:r>
              <w:rPr>
                <w:rFonts w:eastAsia="Calibri" w:cs="Calibri"/>
                <w:color w:val="2C3E50"/>
                <w:sz w:val="21"/>
                <w:szCs w:val="21"/>
              </w:rPr>
              <w:t>Dans le menu de gauche, cliquez sur « Lancer un audit » (icône fusée).</w:t>
            </w:r>
          </w:p>
        </w:tc>
      </w:tr>
    </w:tbl>
    <w:p>
      <w:pPr>
        <w:pStyle w:val="normal1"/>
        <w:spacing w:lineRule="auto" w:line="240" w:before="60" w:after="0"/>
        <w:rPr/>
      </w:pPr>
      <w:r>
        <w:rPr/>
      </w:r>
    </w:p>
    <w:tbl>
      <w:tblPr>
        <w:tblStyle w:val="Table6"/>
        <w:tblW w:w="9026" w:type="dxa"/>
        <w:jc w:val="start"/>
        <w:tblInd w:w="0" w:type="dxa"/>
        <w:tblLayout w:type="fixed"/>
        <w:tblCellMar>
          <w:top w:w="80" w:type="dxa"/>
          <w:start w:w="40" w:type="dxa"/>
          <w:bottom w:w="80" w:type="dxa"/>
          <w:end w:w="40" w:type="dxa"/>
        </w:tblCellMar>
        <w:tblLook w:val="0000"/>
      </w:tblPr>
      <w:tblGrid>
        <w:gridCol w:w="700"/>
        <w:gridCol w:w="8326"/>
      </w:tblGrid>
      <w:tr>
        <w:trPr/>
        <w:tc>
          <w:tcPr>
            <w:tcW w:w="700" w:type="dxa"/>
            <w:tcBorders/>
            <w:shd w:fill="2E86C1" w:val="clear"/>
            <w:vAlign w:val="center"/>
          </w:tcPr>
          <w:p>
            <w:pPr>
              <w:pStyle w:val="normal1"/>
              <w:jc w:val="center"/>
              <w:rPr/>
            </w:pPr>
            <w:r>
              <w:rPr>
                <w:rFonts w:eastAsia="Calibri" w:cs="Calibri"/>
                <w:b/>
                <w:bCs/>
                <w:color w:val="FFFFFF"/>
                <w:sz w:val="26"/>
                <w:szCs w:val="26"/>
              </w:rPr>
              <w:t>3</w:t>
            </w:r>
          </w:p>
        </w:tc>
        <w:tc>
          <w:tcPr>
            <w:tcW w:w="8326" w:type="dxa"/>
            <w:tcBorders>
              <w:bottom w:val="single" w:sz="4" w:space="0" w:color="BDC3C7"/>
            </w:tcBorders>
            <w:tcMar>
              <w:start w:w="160" w:type="dxa"/>
              <w:end w:w="80" w:type="dxa"/>
            </w:tcMar>
          </w:tcPr>
          <w:p>
            <w:pPr>
              <w:pStyle w:val="normal1"/>
              <w:spacing w:lineRule="auto" w:line="240" w:before="0" w:after="30"/>
              <w:rPr/>
            </w:pPr>
            <w:r>
              <w:rPr>
                <w:rFonts w:eastAsia="Calibri" w:cs="Calibri"/>
                <w:b/>
                <w:bCs/>
                <w:color w:val="1B4F72"/>
                <w:sz w:val="22"/>
                <w:szCs w:val="22"/>
              </w:rPr>
              <w:t>Saisir l’URL du site</w:t>
            </w:r>
          </w:p>
          <w:p>
            <w:pPr>
              <w:pStyle w:val="normal1"/>
              <w:spacing w:lineRule="auto" w:line="262" w:before="0" w:after="0"/>
              <w:rPr/>
            </w:pPr>
            <w:r>
              <w:rPr>
                <w:rFonts w:eastAsia="Calibri" w:cs="Calibri"/>
                <w:color w:val="2C3E50"/>
                <w:sz w:val="21"/>
                <w:szCs w:val="21"/>
              </w:rPr>
              <w:t>Dans le champ « URL du site », entrez l’adresse complète du site à auditer. Exemple : https://www.service-public.fr. Dans le champ « Nom du site », entrez un nom lisible, comme « Service Public ».</w:t>
            </w:r>
          </w:p>
        </w:tc>
      </w:tr>
    </w:tbl>
    <w:p>
      <w:pPr>
        <w:pStyle w:val="normal1"/>
        <w:spacing w:lineRule="auto" w:line="240" w:before="60" w:after="0"/>
        <w:rPr/>
      </w:pPr>
      <w:r>
        <w:rPr/>
      </w:r>
    </w:p>
    <w:tbl>
      <w:tblPr>
        <w:tblStyle w:val="Table7"/>
        <w:tblW w:w="9026" w:type="dxa"/>
        <w:jc w:val="start"/>
        <w:tblInd w:w="0" w:type="dxa"/>
        <w:tblLayout w:type="fixed"/>
        <w:tblCellMar>
          <w:top w:w="80" w:type="dxa"/>
          <w:start w:w="40" w:type="dxa"/>
          <w:bottom w:w="80" w:type="dxa"/>
          <w:end w:w="40" w:type="dxa"/>
        </w:tblCellMar>
        <w:tblLook w:val="0000"/>
      </w:tblPr>
      <w:tblGrid>
        <w:gridCol w:w="700"/>
        <w:gridCol w:w="8326"/>
      </w:tblGrid>
      <w:tr>
        <w:trPr/>
        <w:tc>
          <w:tcPr>
            <w:tcW w:w="700" w:type="dxa"/>
            <w:tcBorders/>
            <w:shd w:fill="2E86C1" w:val="clear"/>
            <w:vAlign w:val="center"/>
          </w:tcPr>
          <w:p>
            <w:pPr>
              <w:pStyle w:val="normal1"/>
              <w:jc w:val="center"/>
              <w:rPr/>
            </w:pPr>
            <w:r>
              <w:rPr>
                <w:rFonts w:eastAsia="Calibri" w:cs="Calibri"/>
                <w:b/>
                <w:bCs/>
                <w:color w:val="FFFFFF"/>
                <w:sz w:val="26"/>
                <w:szCs w:val="26"/>
              </w:rPr>
              <w:t>4</w:t>
            </w:r>
          </w:p>
        </w:tc>
        <w:tc>
          <w:tcPr>
            <w:tcW w:w="8326" w:type="dxa"/>
            <w:tcBorders>
              <w:bottom w:val="single" w:sz="4" w:space="0" w:color="BDC3C7"/>
            </w:tcBorders>
            <w:tcMar>
              <w:start w:w="160" w:type="dxa"/>
              <w:end w:w="80" w:type="dxa"/>
            </w:tcMar>
          </w:tcPr>
          <w:p>
            <w:pPr>
              <w:pStyle w:val="normal1"/>
              <w:spacing w:lineRule="auto" w:line="240" w:before="0" w:after="30"/>
              <w:rPr/>
            </w:pPr>
            <w:r>
              <w:rPr>
                <w:rFonts w:eastAsia="Calibri" w:cs="Calibri"/>
                <w:b/>
                <w:bCs/>
                <w:color w:val="1B4F72"/>
                <w:sz w:val="22"/>
                <w:szCs w:val="22"/>
              </w:rPr>
              <w:t>Cliquer sur « Lancer l’audit »</w:t>
            </w:r>
          </w:p>
          <w:p>
            <w:pPr>
              <w:pStyle w:val="normal1"/>
              <w:spacing w:lineRule="auto" w:line="262" w:before="0" w:after="0"/>
              <w:rPr/>
            </w:pPr>
            <w:r>
              <w:rPr>
                <w:rFonts w:eastAsia="Calibri" w:cs="Calibri"/>
                <w:color w:val="2C3E50"/>
                <w:sz w:val="21"/>
                <w:szCs w:val="21"/>
              </w:rPr>
              <w:t>L’outil visite le site, analyse 13 critères, et affiche le résultat en quelques secondes.</w:t>
            </w:r>
          </w:p>
        </w:tc>
      </w:tr>
    </w:tbl>
    <w:p>
      <w:pPr>
        <w:pStyle w:val="normal1"/>
        <w:spacing w:lineRule="auto" w:line="240" w:before="60" w:after="0"/>
        <w:rPr/>
      </w:pPr>
      <w:r>
        <w:rPr/>
      </w:r>
    </w:p>
    <w:tbl>
      <w:tblPr>
        <w:tblStyle w:val="Table8"/>
        <w:tblW w:w="9026" w:type="dxa"/>
        <w:jc w:val="start"/>
        <w:tblInd w:w="0" w:type="dxa"/>
        <w:tblLayout w:type="fixed"/>
        <w:tblCellMar>
          <w:top w:w="80" w:type="dxa"/>
          <w:start w:w="40" w:type="dxa"/>
          <w:bottom w:w="80" w:type="dxa"/>
          <w:end w:w="40" w:type="dxa"/>
        </w:tblCellMar>
        <w:tblLook w:val="0000"/>
      </w:tblPr>
      <w:tblGrid>
        <w:gridCol w:w="700"/>
        <w:gridCol w:w="8326"/>
      </w:tblGrid>
      <w:tr>
        <w:trPr/>
        <w:tc>
          <w:tcPr>
            <w:tcW w:w="700" w:type="dxa"/>
            <w:tcBorders/>
            <w:shd w:fill="2E86C1" w:val="clear"/>
            <w:vAlign w:val="center"/>
          </w:tcPr>
          <w:p>
            <w:pPr>
              <w:pStyle w:val="normal1"/>
              <w:jc w:val="center"/>
              <w:rPr/>
            </w:pPr>
            <w:r>
              <w:rPr>
                <w:rFonts w:eastAsia="Calibri" w:cs="Calibri"/>
                <w:b/>
                <w:bCs/>
                <w:color w:val="FFFFFF"/>
                <w:sz w:val="26"/>
                <w:szCs w:val="26"/>
              </w:rPr>
              <w:t>5</w:t>
            </w:r>
          </w:p>
        </w:tc>
        <w:tc>
          <w:tcPr>
            <w:tcW w:w="8326" w:type="dxa"/>
            <w:tcBorders>
              <w:bottom w:val="single" w:sz="4" w:space="0" w:color="BDC3C7"/>
            </w:tcBorders>
            <w:tcMar>
              <w:start w:w="160" w:type="dxa"/>
              <w:end w:w="80" w:type="dxa"/>
            </w:tcMar>
          </w:tcPr>
          <w:p>
            <w:pPr>
              <w:pStyle w:val="normal1"/>
              <w:spacing w:lineRule="auto" w:line="240" w:before="0" w:after="30"/>
              <w:rPr/>
            </w:pPr>
            <w:r>
              <w:rPr>
                <w:rFonts w:eastAsia="Calibri" w:cs="Calibri"/>
                <w:b/>
                <w:bCs/>
                <w:color w:val="1B4F72"/>
                <w:sz w:val="22"/>
                <w:szCs w:val="22"/>
              </w:rPr>
              <w:t>Lire le résultat</w:t>
            </w:r>
          </w:p>
          <w:p>
            <w:pPr>
              <w:pStyle w:val="normal1"/>
              <w:spacing w:lineRule="auto" w:line="262" w:before="0" w:after="0"/>
              <w:rPr/>
            </w:pPr>
            <w:r>
              <w:rPr>
                <w:rFonts w:eastAsia="Calibri" w:cs="Calibri"/>
                <w:color w:val="2C3E50"/>
                <w:sz w:val="21"/>
                <w:szCs w:val="21"/>
              </w:rPr>
              <w:t>Le score global s’affiche avec un code couleur : vert (≥ 70%), orange (40-69%), rouge (&lt; 40%). Le détail de chaque règle est affiché dans un tableau.</w:t>
            </w:r>
          </w:p>
        </w:tc>
      </w:tr>
    </w:tbl>
    <w:p>
      <w:pPr>
        <w:pStyle w:val="Heading2"/>
        <w:rPr/>
      </w:pPr>
      <w:r>
        <w:rPr/>
        <w:t>Comprendre les scores</w:t>
      </w:r>
    </w:p>
    <w:p>
      <w:pPr>
        <w:pStyle w:val="normal1"/>
        <w:spacing w:lineRule="auto" w:line="276" w:before="0" w:after="120"/>
        <w:jc w:val="start"/>
        <w:rPr/>
      </w:pPr>
      <w:r>
        <w:rPr>
          <w:rFonts w:eastAsia="Calibri" w:cs="Calibri"/>
          <w:color w:val="2C3E50"/>
          <w:sz w:val="22"/>
          <w:szCs w:val="22"/>
        </w:rPr>
        <w:t>Chaque audit produit 4 scores :</w:t>
      </w:r>
    </w:p>
    <w:p>
      <w:pPr>
        <w:pStyle w:val="normal1"/>
        <w:spacing w:lineRule="auto" w:line="240" w:before="40" w:after="0"/>
        <w:rPr/>
      </w:pPr>
      <w:r>
        <w:rPr/>
      </w:r>
    </w:p>
    <w:tbl>
      <w:tblPr>
        <w:tblStyle w:val="Table9"/>
        <w:tblW w:w="9026" w:type="dxa"/>
        <w:jc w:val="start"/>
        <w:tblInd w:w="0" w:type="dxa"/>
        <w:tblLayout w:type="fixed"/>
        <w:tblCellMar>
          <w:top w:w="80" w:type="dxa"/>
          <w:start w:w="120" w:type="dxa"/>
          <w:bottom w:w="80" w:type="dxa"/>
          <w:end w:w="120" w:type="dxa"/>
        </w:tblCellMar>
        <w:tblLook w:val="0000"/>
      </w:tblPr>
      <w:tblGrid>
        <w:gridCol w:w="1399"/>
        <w:gridCol w:w="4226"/>
        <w:gridCol w:w="3401"/>
      </w:tblGrid>
      <w:tr>
        <w:trPr/>
        <w:tc>
          <w:tcPr>
            <w:tcW w:w="1399"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Score</w:t>
            </w:r>
          </w:p>
        </w:tc>
        <w:tc>
          <w:tcPr>
            <w:tcW w:w="4226"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Signification</w:t>
            </w:r>
          </w:p>
        </w:tc>
        <w:tc>
          <w:tcPr>
            <w:tcW w:w="3401"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Poids dans le calcul</w:t>
            </w:r>
          </w:p>
        </w:tc>
      </w:tr>
      <w:tr>
        <w:trPr/>
        <w:tc>
          <w:tcPr>
            <w:tcW w:w="1399"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RGAA</w:t>
            </w:r>
          </w:p>
        </w:tc>
        <w:tc>
          <w:tcPr>
            <w:tcW w:w="42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Conformité au référentiel français d’accessibilité</w:t>
            </w:r>
          </w:p>
        </w:tc>
        <w:tc>
          <w:tcPr>
            <w:tcW w:w="3401"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50% du score global</w:t>
            </w:r>
          </w:p>
        </w:tc>
      </w:tr>
      <w:tr>
        <w:trPr/>
        <w:tc>
          <w:tcPr>
            <w:tcW w:w="1399"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WCAG</w:t>
            </w:r>
          </w:p>
        </w:tc>
        <w:tc>
          <w:tcPr>
            <w:tcW w:w="42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Conformité à la norme internationale</w:t>
            </w:r>
          </w:p>
        </w:tc>
        <w:tc>
          <w:tcPr>
            <w:tcW w:w="3401"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30% du score global</w:t>
            </w:r>
          </w:p>
        </w:tc>
      </w:tr>
      <w:tr>
        <w:trPr/>
        <w:tc>
          <w:tcPr>
            <w:tcW w:w="1399"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DSFR</w:t>
            </w:r>
          </w:p>
        </w:tc>
        <w:tc>
          <w:tcPr>
            <w:tcW w:w="42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Conformité au Design System de l’État</w:t>
            </w:r>
          </w:p>
        </w:tc>
        <w:tc>
          <w:tcPr>
            <w:tcW w:w="3401"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20% du score global</w:t>
            </w:r>
          </w:p>
        </w:tc>
      </w:tr>
      <w:tr>
        <w:trPr/>
        <w:tc>
          <w:tcPr>
            <w:tcW w:w="1399"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Global</w:t>
            </w:r>
          </w:p>
        </w:tc>
        <w:tc>
          <w:tcPr>
            <w:tcW w:w="42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Moyenne pondérée des 3 scores ci-dessus</w:t>
            </w:r>
          </w:p>
        </w:tc>
        <w:tc>
          <w:tcPr>
            <w:tcW w:w="3401"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Score final affiché</w:t>
            </w:r>
          </w:p>
        </w:tc>
      </w:tr>
    </w:tbl>
    <w:p>
      <w:pPr>
        <w:pStyle w:val="normal1"/>
        <w:spacing w:lineRule="auto" w:line="240" w:before="60" w:after="0"/>
        <w:rPr/>
      </w:pPr>
      <w:r>
        <w:rPr/>
      </w:r>
    </w:p>
    <w:p>
      <w:pPr>
        <w:pStyle w:val="normal1"/>
        <w:spacing w:lineRule="auto" w:line="276" w:before="0" w:after="120"/>
        <w:jc w:val="start"/>
        <w:rPr/>
      </w:pPr>
      <w:r>
        <w:rPr>
          <w:rFonts w:eastAsia="Calibri" w:cs="Calibri"/>
          <w:color w:val="2C3E50"/>
          <w:sz w:val="22"/>
          <w:szCs w:val="22"/>
        </w:rPr>
        <w:t>La formule est simple : Score global = RGAA × 0.50 + WCAG × 0.30 + DSFR × 0.20</w:t>
      </w:r>
    </w:p>
    <w:p>
      <w:pPr>
        <w:pStyle w:val="normal1"/>
        <w:spacing w:lineRule="auto" w:line="240" w:before="40" w:after="0"/>
        <w:rPr/>
      </w:pPr>
      <w:r>
        <w:rPr/>
      </w:r>
    </w:p>
    <w:tbl>
      <w:tblPr>
        <w:tblStyle w:val="Table10"/>
        <w:tblW w:w="9026" w:type="dxa"/>
        <w:jc w:val="start"/>
        <w:tblInd w:w="0" w:type="dxa"/>
        <w:tblLayout w:type="fixed"/>
        <w:tblCellMar>
          <w:top w:w="120" w:type="dxa"/>
          <w:start w:w="200" w:type="dxa"/>
          <w:bottom w:w="120" w:type="dxa"/>
          <w:end w:w="200" w:type="dxa"/>
        </w:tblCellMar>
        <w:tblLook w:val="0000"/>
      </w:tblPr>
      <w:tblGrid>
        <w:gridCol w:w="9026"/>
      </w:tblGrid>
      <w:tr>
        <w:trPr/>
        <w:tc>
          <w:tcPr>
            <w:tcW w:w="9026" w:type="dxa"/>
            <w:tcBorders>
              <w:start w:val="single" w:sz="8" w:space="0" w:color="2E86C1"/>
            </w:tcBorders>
            <w:shd w:fill="EBF5FB" w:val="clear"/>
          </w:tcPr>
          <w:p>
            <w:pPr>
              <w:pStyle w:val="normal1"/>
              <w:spacing w:lineRule="auto" w:line="240" w:before="0" w:after="60"/>
              <w:rPr/>
            </w:pPr>
            <w:r>
              <w:rPr>
                <w:rFonts w:eastAsia="Calibri" w:cs="Calibri"/>
                <w:b/>
                <w:bCs/>
                <w:color w:val="2E86C1"/>
                <w:sz w:val="22"/>
                <w:szCs w:val="22"/>
              </w:rPr>
              <w:t>Exemple de calcul</w:t>
            </w:r>
          </w:p>
          <w:p>
            <w:pPr>
              <w:pStyle w:val="normal1"/>
              <w:spacing w:lineRule="auto" w:line="262" w:before="0" w:after="50"/>
              <w:rPr/>
            </w:pPr>
            <w:r>
              <w:rPr>
                <w:rFonts w:eastAsia="Calibri" w:cs="Calibri"/>
                <w:color w:val="2C3E50"/>
                <w:sz w:val="21"/>
                <w:szCs w:val="21"/>
              </w:rPr>
              <w:t>Un site obtient : RGAA = 0.80, WCAG = 0.90, DSFR = 0.60</w:t>
            </w:r>
          </w:p>
          <w:p>
            <w:pPr>
              <w:pStyle w:val="normal1"/>
              <w:spacing w:lineRule="auto" w:line="262" w:before="0" w:after="50"/>
              <w:rPr/>
            </w:pPr>
            <w:r>
              <w:rPr>
                <w:rFonts w:eastAsia="Calibri" w:cs="Calibri"/>
                <w:color w:val="2C3E50"/>
                <w:sz w:val="21"/>
                <w:szCs w:val="21"/>
              </w:rPr>
              <w:t>Score global = 0.80 × 0.50 + 0.90 × 0.30 + 0.60 × 0.20</w:t>
            </w:r>
          </w:p>
          <w:p>
            <w:pPr>
              <w:pStyle w:val="normal1"/>
              <w:spacing w:lineRule="auto" w:line="262" w:before="0" w:after="50"/>
              <w:rPr/>
            </w:pPr>
            <w:r>
              <w:rPr>
                <w:rFonts w:eastAsia="Calibri" w:cs="Calibri"/>
                <w:color w:val="2C3E50"/>
                <w:sz w:val="21"/>
                <w:szCs w:val="21"/>
              </w:rPr>
              <w:t xml:space="preserve">             </w:t>
            </w:r>
            <w:r>
              <w:rPr>
                <w:rFonts w:eastAsia="Calibri" w:cs="Calibri"/>
                <w:color w:val="2C3E50"/>
                <w:sz w:val="21"/>
                <w:szCs w:val="21"/>
              </w:rPr>
              <w:t>= 0.40 + 0.27 + 0.12 = 0.79 (79%)</w:t>
            </w:r>
          </w:p>
          <w:p>
            <w:pPr>
              <w:pStyle w:val="normal1"/>
              <w:spacing w:lineRule="auto" w:line="262" w:before="0" w:after="50"/>
              <w:rPr/>
            </w:pPr>
            <w:r>
              <w:rPr>
                <w:rFonts w:eastAsia="Calibri" w:cs="Calibri"/>
                <w:color w:val="2C3E50"/>
                <w:sz w:val="21"/>
                <w:szCs w:val="21"/>
              </w:rPr>
              <w:t>Résultat : Bon (vert)</w:t>
            </w:r>
          </w:p>
        </w:tc>
      </w:tr>
    </w:tbl>
    <w:tbl>
      <w:tblPr>
        <w:tblStyle w:val="Table11"/>
        <w:tblW w:w="9026" w:type="dxa"/>
        <w:jc w:val="start"/>
        <w:tblInd w:w="0" w:type="dxa"/>
        <w:tblLayout w:type="fixed"/>
        <w:tblCellMar>
          <w:top w:w="80" w:type="dxa"/>
          <w:start w:w="120" w:type="dxa"/>
          <w:bottom w:w="80" w:type="dxa"/>
          <w:end w:w="120" w:type="dxa"/>
        </w:tblCellMar>
        <w:tblLook w:val="0000"/>
      </w:tblPr>
      <w:tblGrid>
        <w:gridCol w:w="2000"/>
        <w:gridCol w:w="2400"/>
        <w:gridCol w:w="4626"/>
      </w:tblGrid>
      <w:tr>
        <w:trPr/>
        <w:tc>
          <w:tcPr>
            <w:tcW w:w="2000"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Plage de score</w:t>
            </w:r>
          </w:p>
        </w:tc>
        <w:tc>
          <w:tcPr>
            <w:tcW w:w="2400"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Évaluation</w:t>
            </w:r>
          </w:p>
        </w:tc>
        <w:tc>
          <w:tcPr>
            <w:tcW w:w="4626"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Ce que cela signifie</w:t>
            </w:r>
          </w:p>
        </w:tc>
      </w:tr>
      <w:tr>
        <w:trPr/>
        <w:tc>
          <w:tcPr>
            <w:tcW w:w="20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 xml:space="preserve">≥ </w:t>
            </w:r>
            <w:r>
              <w:rPr>
                <w:rFonts w:eastAsia="Calibri" w:cs="Calibri"/>
                <w:color w:val="2C3E50"/>
                <w:sz w:val="20"/>
                <w:szCs w:val="20"/>
              </w:rPr>
              <w:t>0.70 (70%)</w:t>
            </w:r>
          </w:p>
        </w:tc>
        <w:tc>
          <w:tcPr>
            <w:tcW w:w="24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Bon (vert)</w:t>
            </w:r>
          </w:p>
        </w:tc>
        <w:tc>
          <w:tcPr>
            <w:tcW w:w="46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Site globalement accessible. Améliorations possibles.</w:t>
            </w:r>
          </w:p>
        </w:tc>
      </w:tr>
      <w:tr>
        <w:trPr/>
        <w:tc>
          <w:tcPr>
            <w:tcW w:w="20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0.40 – 0.69</w:t>
            </w:r>
          </w:p>
        </w:tc>
        <w:tc>
          <w:tcPr>
            <w:tcW w:w="24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À améliorer (orange)</w:t>
            </w:r>
          </w:p>
        </w:tc>
        <w:tc>
          <w:tcPr>
            <w:tcW w:w="46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Des corrections significatives sont nécessaires.</w:t>
            </w:r>
          </w:p>
        </w:tc>
      </w:tr>
      <w:tr>
        <w:trPr/>
        <w:tc>
          <w:tcPr>
            <w:tcW w:w="20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&lt; 0.40 (40%)</w:t>
            </w:r>
          </w:p>
        </w:tc>
        <w:tc>
          <w:tcPr>
            <w:tcW w:w="24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Critique (rouge)</w:t>
            </w:r>
          </w:p>
        </w:tc>
        <w:tc>
          <w:tcPr>
            <w:tcW w:w="46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Non-conformité majeure. Action urgente requise.</w:t>
            </w:r>
          </w:p>
        </w:tc>
      </w:tr>
    </w:tbl>
    <w:p>
      <w:pPr>
        <w:pStyle w:val="Heading2"/>
        <w:rPr/>
      </w:pPr>
      <w:r>
        <w:rPr/>
        <w:t>Suivre un audit en temps réel</w:t>
      </w:r>
    </w:p>
    <w:p>
      <w:pPr>
        <w:pStyle w:val="BodyText"/>
        <w:spacing w:lineRule="auto" w:line="240" w:before="0" w:after="57"/>
        <w:rPr/>
      </w:pPr>
      <w:r>
        <w:rPr/>
        <w:t>Auditaccess affiche la progression d’un audit en direct. Chaque audit passe par 7 phases.</w:t>
      </w:r>
    </w:p>
    <w:p>
      <w:pPr>
        <w:pStyle w:val="BodyText"/>
        <w:spacing w:lineRule="auto" w:line="240" w:before="0" w:after="57"/>
        <w:rPr/>
      </w:pPr>
      <w:r>
        <w:rPr/>
        <w:t>Nous pouvons voir chaque phase défiler dans le tableau de bord Exploitation, page « Temps réel ».</w:t>
      </w:r>
    </w:p>
    <w:p>
      <w:pPr>
        <w:pStyle w:val="BodyText"/>
        <w:spacing w:lineRule="auto" w:line="240" w:before="0" w:after="57"/>
        <w:rPr/>
      </w:pPr>
      <w:r>
        <w:rPr/>
        <w:t>Une barre de progression montre l’avancement  14% → 28% → 42% → 57% → 71% → 85% → 100%.</w:t>
      </w:r>
    </w:p>
    <w:p>
      <w:pPr>
        <w:pStyle w:val="Heading2"/>
        <w:rPr/>
      </w:pPr>
      <w:r>
        <w:rPr/>
        <w:t>Consulter l’historique et les alertes</w:t>
      </w:r>
    </w:p>
    <w:p>
      <w:pPr>
        <w:pStyle w:val="normal1"/>
        <w:spacing w:lineRule="auto" w:line="276" w:before="0" w:after="120"/>
        <w:jc w:val="start"/>
        <w:rPr/>
      </w:pPr>
      <w:r>
        <w:rPr>
          <w:rFonts w:eastAsia="Calibri" w:cs="Calibri"/>
          <w:b/>
          <w:bCs/>
          <w:color w:val="2C3E50"/>
          <w:sz w:val="22"/>
          <w:szCs w:val="22"/>
        </w:rPr>
        <w:t>Historique</w:t>
      </w:r>
      <w:r>
        <w:rPr>
          <w:rFonts w:eastAsia="Calibri" w:cs="Calibri"/>
          <w:color w:val="2C3E50"/>
          <w:sz w:val="22"/>
          <w:szCs w:val="22"/>
        </w:rPr>
        <w:t xml:space="preserve"> : La page « Historique » affiche tous les audits réalisés, triés par date. Vous pouvez rechercher un site par nom et paginer les résultats.</w:t>
      </w:r>
    </w:p>
    <w:p>
      <w:pPr>
        <w:pStyle w:val="normal1"/>
        <w:spacing w:lineRule="auto" w:line="276" w:before="0" w:after="120"/>
        <w:jc w:val="start"/>
        <w:rPr/>
      </w:pPr>
      <w:r>
        <w:rPr>
          <w:rFonts w:eastAsia="Calibri" w:cs="Calibri"/>
          <w:b/>
          <w:bCs/>
          <w:color w:val="2C3E50"/>
          <w:sz w:val="22"/>
          <w:szCs w:val="22"/>
        </w:rPr>
        <w:t>Alertes</w:t>
      </w:r>
      <w:r>
        <w:rPr>
          <w:rFonts w:eastAsia="Calibri" w:cs="Calibri"/>
          <w:color w:val="2C3E50"/>
          <w:sz w:val="22"/>
          <w:szCs w:val="22"/>
        </w:rPr>
        <w:t xml:space="preserve"> : La page « Alertes » affiche les sites dont le score est en dessous d’un seuil que vous choisissez (par défaut 70%). C’est l’outil de priorisation : les sites en alerte nécessitent une action corrective.</w:t>
      </w:r>
    </w:p>
    <w:p>
      <w:pPr>
        <w:pStyle w:val="normal1"/>
        <w:spacing w:lineRule="auto" w:line="276" w:before="0" w:after="120"/>
        <w:jc w:val="start"/>
        <w:rPr/>
      </w:pPr>
      <w:r>
        <w:rPr>
          <w:rFonts w:eastAsia="Calibri" w:cs="Calibri"/>
          <w:b/>
          <w:bCs/>
          <w:color w:val="2C3E50"/>
          <w:sz w:val="22"/>
          <w:szCs w:val="22"/>
        </w:rPr>
        <w:t>Tendance</w:t>
      </w:r>
      <w:r>
        <w:rPr>
          <w:rFonts w:eastAsia="Calibri" w:cs="Calibri"/>
          <w:color w:val="2C3E50"/>
          <w:sz w:val="22"/>
          <w:szCs w:val="22"/>
        </w:rPr>
        <w:t xml:space="preserve"> : Chaque audit est comparé au précédent du même site. Le résultat est une tendance : ↑ UP (amélioration), ↓ DOWN (régression), = STABLE, ou FIRST (premier audit).</w:t>
      </w:r>
    </w:p>
    <w:p>
      <w:pPr>
        <w:pStyle w:val="Heading2"/>
        <w:rPr/>
      </w:pPr>
      <w:r>
        <w:rPr/>
        <w:t>Comprendre les tickets de sécurité</w:t>
      </w:r>
    </w:p>
    <w:p>
      <w:pPr>
        <w:pStyle w:val="normal1"/>
        <w:spacing w:lineRule="auto" w:line="276" w:before="0" w:after="120"/>
        <w:jc w:val="start"/>
        <w:rPr/>
      </w:pPr>
      <w:r>
        <w:rPr>
          <w:rFonts w:eastAsia="Calibri" w:cs="Calibri"/>
          <w:color w:val="2C3E50"/>
          <w:sz w:val="22"/>
          <w:szCs w:val="22"/>
        </w:rPr>
        <w:t>Un ticket de sécurité est créé automatiquement quand :</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Un audit retourne un score critique (par défaut en dessous de 50%, modulable)</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SailPoint détecte une violation de sécurité (un utilisateur avec des accès incompatibles, un compte supprimé, etc.)</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Possibilité de créer un ticket manuellement dans le tableau de bord Intégrations</w:t>
      </w:r>
    </w:p>
    <w:p>
      <w:pPr>
        <w:pStyle w:val="normal1"/>
        <w:spacing w:lineRule="auto" w:line="276" w:before="0" w:after="120"/>
        <w:jc w:val="start"/>
        <w:rPr/>
      </w:pPr>
      <w:r>
        <w:rPr>
          <w:rFonts w:eastAsia="Calibri" w:cs="Calibri"/>
          <w:color w:val="2C3E50"/>
          <w:sz w:val="22"/>
          <w:szCs w:val="22"/>
        </w:rPr>
        <w:t>Chaque ticket peut être automatiquement envoyé vers ServiceNow sous forme d’incident (INC0012345). Le cycle de vie est :</w:t>
      </w:r>
    </w:p>
    <w:tbl>
      <w:tblPr>
        <w:tblStyle w:val="Table12"/>
        <w:tblW w:w="9026" w:type="dxa"/>
        <w:jc w:val="start"/>
        <w:tblInd w:w="0" w:type="dxa"/>
        <w:tblLayout w:type="fixed"/>
        <w:tblCellMar>
          <w:top w:w="80" w:type="dxa"/>
          <w:start w:w="120" w:type="dxa"/>
          <w:bottom w:w="80" w:type="dxa"/>
          <w:end w:w="120" w:type="dxa"/>
        </w:tblCellMar>
        <w:tblLook w:val="0000"/>
      </w:tblPr>
      <w:tblGrid>
        <w:gridCol w:w="2400"/>
        <w:gridCol w:w="6626"/>
      </w:tblGrid>
      <w:tr>
        <w:trPr/>
        <w:tc>
          <w:tcPr>
            <w:tcW w:w="2400"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Statut</w:t>
            </w:r>
          </w:p>
        </w:tc>
        <w:tc>
          <w:tcPr>
            <w:tcW w:w="6626"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Signification</w:t>
            </w:r>
          </w:p>
        </w:tc>
      </w:tr>
      <w:tr>
        <w:trPr/>
        <w:tc>
          <w:tcPr>
            <w:tcW w:w="24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NEW</w:t>
            </w:r>
          </w:p>
        </w:tc>
        <w:tc>
          <w:tcPr>
            <w:tcW w:w="66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Le ticket vient d’être créé</w:t>
            </w:r>
          </w:p>
        </w:tc>
      </w:tr>
      <w:tr>
        <w:trPr/>
        <w:tc>
          <w:tcPr>
            <w:tcW w:w="24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OPEN</w:t>
            </w:r>
          </w:p>
        </w:tc>
        <w:tc>
          <w:tcPr>
            <w:tcW w:w="66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Un incident ServiceNow a été créé</w:t>
            </w:r>
          </w:p>
        </w:tc>
      </w:tr>
      <w:tr>
        <w:trPr/>
        <w:tc>
          <w:tcPr>
            <w:tcW w:w="24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IN PROGRESS</w:t>
            </w:r>
          </w:p>
        </w:tc>
        <w:tc>
          <w:tcPr>
            <w:tcW w:w="66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Équipe assignée, travail en cours</w:t>
            </w:r>
          </w:p>
        </w:tc>
      </w:tr>
      <w:tr>
        <w:trPr/>
        <w:tc>
          <w:tcPr>
            <w:tcW w:w="24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RESOLVED</w:t>
            </w:r>
          </w:p>
        </w:tc>
        <w:tc>
          <w:tcPr>
            <w:tcW w:w="66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Problème résolu</w:t>
            </w:r>
          </w:p>
        </w:tc>
      </w:tr>
      <w:tr>
        <w:trPr/>
        <w:tc>
          <w:tcPr>
            <w:tcW w:w="24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CLOSED</w:t>
            </w:r>
          </w:p>
        </w:tc>
        <w:tc>
          <w:tcPr>
            <w:tcW w:w="66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Ticket fermé définitivement</w:t>
            </w:r>
          </w:p>
        </w:tc>
      </w:tr>
    </w:tbl>
    <w:p>
      <w:pPr>
        <w:pStyle w:val="normal1"/>
        <w:spacing w:lineRule="auto" w:line="276" w:before="0" w:after="120"/>
        <w:jc w:val="start"/>
        <w:rPr>
          <w:rFonts w:ascii="Calibri" w:hAnsi="Calibri" w:eastAsia="Calibri" w:cs="Calibri"/>
          <w:color w:val="2C3E50"/>
          <w:sz w:val="22"/>
          <w:szCs w:val="22"/>
        </w:rPr>
      </w:pPr>
      <w:r>
        <w:rPr>
          <w:rFonts w:eastAsia="Calibri" w:cs="Calibri"/>
          <w:color w:val="2C3E50"/>
          <w:sz w:val="22"/>
          <w:szCs w:val="22"/>
        </w:rPr>
      </w:r>
    </w:p>
    <w:p>
      <w:pPr>
        <w:pStyle w:val="normal1"/>
        <w:spacing w:lineRule="auto" w:line="276" w:before="0" w:after="120"/>
        <w:jc w:val="start"/>
        <w:rPr>
          <w:rFonts w:ascii="Calibri" w:hAnsi="Calibri" w:eastAsia="Calibri" w:cs="Calibri"/>
          <w:color w:val="2C3E50"/>
          <w:sz w:val="22"/>
          <w:szCs w:val="22"/>
        </w:rPr>
      </w:pPr>
      <w:r>
        <w:rPr>
          <w:rFonts w:eastAsia="Calibri" w:cs="Calibri"/>
          <w:color w:val="2C3E50"/>
          <w:sz w:val="22"/>
          <w:szCs w:val="22"/>
        </w:rPr>
        <w:t>Le tableau de bord « Intégrations » (http://localhost:8080/integrations.html) permet de visualiser tous les tickets, filtrer par source (SailPoint, audit, manuel), par sévérité, et de résoudre les tickets.</w:t>
      </w:r>
    </w:p>
    <w:p>
      <w:pPr>
        <w:pStyle w:val="Heading1"/>
        <w:spacing w:before="0" w:after="200"/>
        <w:rPr/>
      </w:pPr>
      <w:r>
        <w:rPr/>
        <w:t>PARTIE 2 — Guide fonctionnel</w:t>
      </w:r>
    </w:p>
    <w:p>
      <w:pPr>
        <w:pStyle w:val="normal1"/>
        <w:spacing w:lineRule="auto" w:line="276" w:before="0" w:after="120"/>
        <w:jc w:val="start"/>
        <w:rPr/>
      </w:pPr>
      <w:r>
        <w:rPr>
          <w:rFonts w:eastAsia="Calibri" w:cs="Calibri"/>
          <w:color w:val="2C3E50"/>
          <w:sz w:val="22"/>
          <w:szCs w:val="22"/>
        </w:rPr>
        <w:t>Ce guide décrit le fonctionnement de Auditaccess, ses concepts clés et ses processus métier. Destiné aux responsables accessibilité, chefs de projet et équipes qualité.</w:t>
      </w:r>
    </w:p>
    <w:p>
      <w:pPr>
        <w:pStyle w:val="Heading2"/>
        <w:rPr/>
      </w:pPr>
      <w:r>
        <w:rPr/>
        <w:t>Le cycle Devops :</w:t>
      </w:r>
    </w:p>
    <w:p>
      <w:pPr>
        <w:pStyle w:val="normal1"/>
        <w:spacing w:lineRule="auto" w:line="276" w:before="0" w:after="120"/>
        <w:jc w:val="start"/>
        <w:rPr/>
      </w:pPr>
      <w:r>
        <w:rPr>
          <w:rFonts w:eastAsia="Calibri" w:cs="Calibri"/>
          <w:color w:val="2C3E50"/>
          <w:sz w:val="22"/>
          <w:szCs w:val="22"/>
        </w:rPr>
        <w:t>Auditaccess est construit autour du principe 3 voies du Devops : le système s’observe lui-même et s’adapte automatiquement. Chaque audit exécute un cycle complet en 7 phases :</w:t>
      </w:r>
    </w:p>
    <w:p>
      <w:pPr>
        <w:pStyle w:val="normal1"/>
        <w:spacing w:lineRule="auto" w:line="240" w:before="40" w:after="0"/>
        <w:rPr/>
      </w:pPr>
      <w:r>
        <w:rPr/>
      </w:r>
    </w:p>
    <w:tbl>
      <w:tblPr>
        <w:tblStyle w:val="Table13"/>
        <w:tblW w:w="9026" w:type="dxa"/>
        <w:jc w:val="start"/>
        <w:tblInd w:w="0" w:type="dxa"/>
        <w:tblLayout w:type="fixed"/>
        <w:tblCellMar>
          <w:top w:w="80" w:type="dxa"/>
          <w:start w:w="120" w:type="dxa"/>
          <w:bottom w:w="80" w:type="dxa"/>
          <w:end w:w="120" w:type="dxa"/>
        </w:tblCellMar>
        <w:tblLook w:val="0000"/>
      </w:tblPr>
      <w:tblGrid>
        <w:gridCol w:w="798"/>
        <w:gridCol w:w="1400"/>
        <w:gridCol w:w="6828"/>
      </w:tblGrid>
      <w:tr>
        <w:trPr/>
        <w:tc>
          <w:tcPr>
            <w:tcW w:w="798"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Phase</w:t>
            </w:r>
          </w:p>
        </w:tc>
        <w:tc>
          <w:tcPr>
            <w:tcW w:w="1400"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Nom</w:t>
            </w:r>
          </w:p>
        </w:tc>
        <w:tc>
          <w:tcPr>
            <w:tcW w:w="6828"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Action</w:t>
            </w:r>
          </w:p>
        </w:tc>
      </w:tr>
      <w:tr>
        <w:trPr/>
        <w:tc>
          <w:tcPr>
            <w:tcW w:w="79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1</w:t>
            </w:r>
          </w:p>
        </w:tc>
        <w:tc>
          <w:tcPr>
            <w:tcW w:w="14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Évaluer</w:t>
            </w:r>
          </w:p>
        </w:tc>
        <w:tc>
          <w:tcPr>
            <w:tcW w:w="682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L’outil vérifie que l’URL est valide et prépare l’audit</w:t>
            </w:r>
          </w:p>
        </w:tc>
      </w:tr>
      <w:tr>
        <w:trPr/>
        <w:tc>
          <w:tcPr>
            <w:tcW w:w="798"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2</w:t>
            </w:r>
          </w:p>
        </w:tc>
        <w:tc>
          <w:tcPr>
            <w:tcW w:w="14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Élaborer</w:t>
            </w:r>
          </w:p>
        </w:tc>
        <w:tc>
          <w:tcPr>
            <w:tcW w:w="6828"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Analyse des violations détectées et plan de remédiation</w:t>
            </w:r>
          </w:p>
        </w:tc>
      </w:tr>
      <w:tr>
        <w:trPr/>
        <w:tc>
          <w:tcPr>
            <w:tcW w:w="79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3</w:t>
            </w:r>
          </w:p>
        </w:tc>
        <w:tc>
          <w:tcPr>
            <w:tcW w:w="14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Exécuter</w:t>
            </w:r>
          </w:p>
        </w:tc>
        <w:tc>
          <w:tcPr>
            <w:tcW w:w="682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Le site est visité (crawl HTTP) et les 13 règles sont appliquées</w:t>
            </w:r>
          </w:p>
        </w:tc>
      </w:tr>
      <w:tr>
        <w:trPr/>
        <w:tc>
          <w:tcPr>
            <w:tcW w:w="798"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4</w:t>
            </w:r>
          </w:p>
        </w:tc>
        <w:tc>
          <w:tcPr>
            <w:tcW w:w="14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Examiner</w:t>
            </w:r>
          </w:p>
        </w:tc>
        <w:tc>
          <w:tcPr>
            <w:tcW w:w="6828"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Calcul du score pondéré (RGAA × 0.5 + WCAG × 0.3 + DSFR × 0.2)</w:t>
            </w:r>
          </w:p>
        </w:tc>
      </w:tr>
      <w:tr>
        <w:trPr/>
        <w:tc>
          <w:tcPr>
            <w:tcW w:w="79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5</w:t>
            </w:r>
          </w:p>
        </w:tc>
        <w:tc>
          <w:tcPr>
            <w:tcW w:w="14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Évoluer</w:t>
            </w:r>
          </w:p>
        </w:tc>
        <w:tc>
          <w:tcPr>
            <w:tcW w:w="682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Comparaison avec l’audit précédent pour détecter la tendance</w:t>
            </w:r>
          </w:p>
        </w:tc>
      </w:tr>
      <w:tr>
        <w:trPr/>
        <w:tc>
          <w:tcPr>
            <w:tcW w:w="798"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6</w:t>
            </w:r>
          </w:p>
        </w:tc>
        <w:tc>
          <w:tcPr>
            <w:tcW w:w="14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Émettre</w:t>
            </w:r>
          </w:p>
        </w:tc>
        <w:tc>
          <w:tcPr>
            <w:tcW w:w="6828"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Publication du résultat en temps réel (notification)</w:t>
            </w:r>
          </w:p>
        </w:tc>
      </w:tr>
      <w:tr>
        <w:trPr/>
        <w:tc>
          <w:tcPr>
            <w:tcW w:w="79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7</w:t>
            </w:r>
          </w:p>
        </w:tc>
        <w:tc>
          <w:tcPr>
            <w:tcW w:w="14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Équilibrer</w:t>
            </w:r>
          </w:p>
        </w:tc>
        <w:tc>
          <w:tcPr>
            <w:tcW w:w="682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Ajustement automatique des poids de scoring si nécessaire</w:t>
            </w:r>
          </w:p>
        </w:tc>
      </w:tr>
    </w:tbl>
    <w:p>
      <w:pPr>
        <w:pStyle w:val="normal1"/>
        <w:spacing w:lineRule="auto" w:line="240" w:before="60" w:after="0"/>
        <w:rPr/>
      </w:pPr>
      <w:r>
        <w:rPr/>
      </w:r>
    </w:p>
    <w:p>
      <w:pPr>
        <w:pStyle w:val="normal1"/>
        <w:spacing w:lineRule="auto" w:line="276" w:before="0" w:after="120"/>
        <w:jc w:val="start"/>
        <w:rPr/>
      </w:pPr>
      <w:r>
        <w:rPr>
          <w:rFonts w:eastAsia="Calibri" w:cs="Calibri"/>
          <w:b/>
          <w:bCs/>
          <w:color w:val="2C3E50"/>
          <w:sz w:val="22"/>
          <w:szCs w:val="22"/>
        </w:rPr>
        <w:t xml:space="preserve">Point clé : </w:t>
      </w:r>
      <w:r>
        <w:rPr>
          <w:rFonts w:eastAsia="Calibri" w:cs="Calibri"/>
          <w:color w:val="2C3E50"/>
          <w:sz w:val="22"/>
          <w:szCs w:val="22"/>
        </w:rPr>
        <w:t>la phase 7 (Équilibrer) est ce qui rend le système efficient. Si un site a un score RGAA très faible, le système augmente automatiquement le poids du RGAA dans le calcul, pour forcer la priorité sur la correction de ce problème. C’est la boucle de rétroaction.</w:t>
      </w:r>
    </w:p>
    <w:p>
      <w:pPr>
        <w:pStyle w:val="Heading2"/>
        <w:rPr/>
      </w:pPr>
      <w:r>
        <w:rPr/>
        <w:t>Les 13 règles d’audit traitées</w:t>
      </w:r>
    </w:p>
    <w:p>
      <w:pPr>
        <w:pStyle w:val="normal1"/>
        <w:spacing w:lineRule="auto" w:line="276" w:before="0" w:after="120"/>
        <w:jc w:val="start"/>
        <w:rPr/>
      </w:pPr>
      <w:r>
        <w:rPr>
          <w:rFonts w:eastAsia="Calibri" w:cs="Calibri"/>
          <w:color w:val="2C3E50"/>
          <w:sz w:val="22"/>
          <w:szCs w:val="22"/>
        </w:rPr>
        <w:t>Chaque audit exécute 13 vérifications sur le site. Voici ce que chaque règle vérifie, en langage simple :</w:t>
      </w:r>
    </w:p>
    <w:p>
      <w:pPr>
        <w:pStyle w:val="Heading3"/>
        <w:rPr/>
      </w:pPr>
      <w:r>
        <w:rPr/>
        <w:t>Règles RGAA (accessibilité française) — 5 règles</w:t>
      </w:r>
    </w:p>
    <w:tbl>
      <w:tblPr>
        <w:tblStyle w:val="Table14"/>
        <w:tblW w:w="9026" w:type="dxa"/>
        <w:jc w:val="start"/>
        <w:tblInd w:w="0" w:type="dxa"/>
        <w:tblLayout w:type="fixed"/>
        <w:tblCellMar>
          <w:top w:w="80" w:type="dxa"/>
          <w:start w:w="120" w:type="dxa"/>
          <w:bottom w:w="80" w:type="dxa"/>
          <w:end w:w="120" w:type="dxa"/>
        </w:tblCellMar>
        <w:tblLook w:val="0000"/>
      </w:tblPr>
      <w:tblGrid>
        <w:gridCol w:w="1798"/>
        <w:gridCol w:w="4226"/>
        <w:gridCol w:w="3002"/>
      </w:tblGrid>
      <w:tr>
        <w:trPr/>
        <w:tc>
          <w:tcPr>
            <w:tcW w:w="1798"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Règle</w:t>
            </w:r>
          </w:p>
        </w:tc>
        <w:tc>
          <w:tcPr>
            <w:tcW w:w="4226"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Question posée</w:t>
            </w:r>
          </w:p>
        </w:tc>
        <w:tc>
          <w:tcPr>
            <w:tcW w:w="3002"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Exemple d’échec</w:t>
            </w:r>
          </w:p>
        </w:tc>
      </w:tr>
      <w:tr>
        <w:trPr/>
        <w:tc>
          <w:tcPr>
            <w:tcW w:w="179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Titre de page</w:t>
            </w:r>
          </w:p>
        </w:tc>
        <w:tc>
          <w:tcPr>
            <w:tcW w:w="42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La page a-t-elle un titre descriptif ?</w:t>
            </w:r>
          </w:p>
        </w:tc>
        <w:tc>
          <w:tcPr>
            <w:tcW w:w="3002"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Un titre vide ou « Home »</w:t>
            </w:r>
          </w:p>
        </w:tc>
      </w:tr>
      <w:tr>
        <w:trPr/>
        <w:tc>
          <w:tcPr>
            <w:tcW w:w="1798"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Langue</w:t>
            </w:r>
          </w:p>
        </w:tc>
        <w:tc>
          <w:tcPr>
            <w:tcW w:w="42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La langue de la page est-elle indiquée ?</w:t>
            </w:r>
          </w:p>
        </w:tc>
        <w:tc>
          <w:tcPr>
            <w:tcW w:w="3002"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Pas d’attribut lang=« fr » sur la balise HTML</w:t>
            </w:r>
          </w:p>
        </w:tc>
      </w:tr>
      <w:tr>
        <w:trPr/>
        <w:tc>
          <w:tcPr>
            <w:tcW w:w="179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Images</w:t>
            </w:r>
          </w:p>
        </w:tc>
        <w:tc>
          <w:tcPr>
            <w:tcW w:w="42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Les images importantes ont-elles un texte alternatif ?</w:t>
            </w:r>
          </w:p>
        </w:tc>
        <w:tc>
          <w:tcPr>
            <w:tcW w:w="3002"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Une image sans attribut alt</w:t>
            </w:r>
          </w:p>
        </w:tc>
      </w:tr>
      <w:tr>
        <w:trPr/>
        <w:tc>
          <w:tcPr>
            <w:tcW w:w="1798"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Titres h1-h6</w:t>
            </w:r>
          </w:p>
        </w:tc>
        <w:tc>
          <w:tcPr>
            <w:tcW w:w="42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La hiérarchie des titres est-elle logique ?</w:t>
            </w:r>
          </w:p>
        </w:tc>
        <w:tc>
          <w:tcPr>
            <w:tcW w:w="3002"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Sauter de h1 à h3 sans h2</w:t>
            </w:r>
          </w:p>
        </w:tc>
      </w:tr>
      <w:tr>
        <w:trPr/>
        <w:tc>
          <w:tcPr>
            <w:tcW w:w="179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Formulaires</w:t>
            </w:r>
          </w:p>
        </w:tc>
        <w:tc>
          <w:tcPr>
            <w:tcW w:w="42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Les champs de formulaire ont-ils des étiquettes ?</w:t>
            </w:r>
          </w:p>
        </w:tc>
        <w:tc>
          <w:tcPr>
            <w:tcW w:w="3002"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Un champ email sans label associé</w:t>
            </w:r>
          </w:p>
        </w:tc>
      </w:tr>
    </w:tbl>
    <w:p>
      <w:pPr>
        <w:pStyle w:val="normal1"/>
        <w:spacing w:lineRule="auto" w:line="240" w:before="60" w:after="0"/>
        <w:rPr/>
      </w:pPr>
      <w:r>
        <w:rPr/>
      </w:r>
    </w:p>
    <w:p>
      <w:pPr>
        <w:pStyle w:val="Heading3"/>
        <w:rPr/>
      </w:pPr>
      <w:r>
        <w:rPr/>
        <w:t>Règles WCAG (norme internationale) — 5 règles</w:t>
      </w:r>
    </w:p>
    <w:tbl>
      <w:tblPr>
        <w:tblStyle w:val="Table15"/>
        <w:tblW w:w="9026" w:type="dxa"/>
        <w:jc w:val="start"/>
        <w:tblInd w:w="0" w:type="dxa"/>
        <w:tblLayout w:type="fixed"/>
        <w:tblCellMar>
          <w:top w:w="80" w:type="dxa"/>
          <w:start w:w="120" w:type="dxa"/>
          <w:bottom w:w="80" w:type="dxa"/>
          <w:end w:w="120" w:type="dxa"/>
        </w:tblCellMar>
        <w:tblLook w:val="0000"/>
      </w:tblPr>
      <w:tblGrid>
        <w:gridCol w:w="1798"/>
        <w:gridCol w:w="4226"/>
        <w:gridCol w:w="3002"/>
      </w:tblGrid>
      <w:tr>
        <w:trPr/>
        <w:tc>
          <w:tcPr>
            <w:tcW w:w="1798"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Règle</w:t>
            </w:r>
          </w:p>
        </w:tc>
        <w:tc>
          <w:tcPr>
            <w:tcW w:w="4226"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Question posée</w:t>
            </w:r>
          </w:p>
        </w:tc>
        <w:tc>
          <w:tcPr>
            <w:tcW w:w="3002"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Exemple d’échec</w:t>
            </w:r>
          </w:p>
        </w:tc>
      </w:tr>
      <w:tr>
        <w:trPr/>
        <w:tc>
          <w:tcPr>
            <w:tcW w:w="179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Landmarks</w:t>
            </w:r>
          </w:p>
        </w:tc>
        <w:tc>
          <w:tcPr>
            <w:tcW w:w="42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La page a-t-elle une structure sémantique ?</w:t>
            </w:r>
          </w:p>
        </w:tc>
        <w:tc>
          <w:tcPr>
            <w:tcW w:w="3002"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Pas de balise &lt;main&gt;, &lt;nav&gt; ou &lt;footer&gt;</w:t>
            </w:r>
          </w:p>
        </w:tc>
      </w:tr>
      <w:tr>
        <w:trPr/>
        <w:tc>
          <w:tcPr>
            <w:tcW w:w="1798"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Contraste</w:t>
            </w:r>
          </w:p>
        </w:tc>
        <w:tc>
          <w:tcPr>
            <w:tcW w:w="42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Le texte est-il lisible sur le fond ?</w:t>
            </w:r>
          </w:p>
        </w:tc>
        <w:tc>
          <w:tcPr>
            <w:tcW w:w="3002"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Texte gris clair sur fond blanc</w:t>
            </w:r>
          </w:p>
        </w:tc>
      </w:tr>
      <w:tr>
        <w:trPr/>
        <w:tc>
          <w:tcPr>
            <w:tcW w:w="179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Zoom</w:t>
            </w:r>
          </w:p>
        </w:tc>
        <w:tc>
          <w:tcPr>
            <w:tcW w:w="42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L’utilisateur peut-il zoomer la page ?</w:t>
            </w:r>
          </w:p>
        </w:tc>
        <w:tc>
          <w:tcPr>
            <w:tcW w:w="3002"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Le site bloque le zoom sur mobile</w:t>
            </w:r>
          </w:p>
        </w:tc>
      </w:tr>
      <w:tr>
        <w:trPr/>
        <w:tc>
          <w:tcPr>
            <w:tcW w:w="1798"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Clavier</w:t>
            </w:r>
          </w:p>
        </w:tc>
        <w:tc>
          <w:tcPr>
            <w:tcW w:w="42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Le site est-il navigable au clavier ?</w:t>
            </w:r>
          </w:p>
        </w:tc>
        <w:tc>
          <w:tcPr>
            <w:tcW w:w="3002"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Pas de lien d’évitement (« Aller au contenu »)</w:t>
            </w:r>
          </w:p>
        </w:tc>
      </w:tr>
      <w:tr>
        <w:trPr/>
        <w:tc>
          <w:tcPr>
            <w:tcW w:w="179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Liens</w:t>
            </w:r>
          </w:p>
        </w:tc>
        <w:tc>
          <w:tcPr>
            <w:tcW w:w="42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Les liens sont-ils descriptifs ?</w:t>
            </w:r>
          </w:p>
        </w:tc>
        <w:tc>
          <w:tcPr>
            <w:tcW w:w="3002"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Un lien qui dit juste « cliquez ici »</w:t>
            </w:r>
          </w:p>
        </w:tc>
      </w:tr>
    </w:tbl>
    <w:p>
      <w:pPr>
        <w:pStyle w:val="normal1"/>
        <w:spacing w:lineRule="auto" w:line="240" w:before="60" w:after="0"/>
        <w:rPr/>
      </w:pPr>
      <w:r>
        <w:rPr/>
      </w:r>
    </w:p>
    <w:p>
      <w:pPr>
        <w:pStyle w:val="Heading3"/>
        <w:rPr/>
      </w:pPr>
      <w:r>
        <w:rPr/>
        <w:t>Règles DSFR (design de l’État) — 3 règles</w:t>
      </w:r>
    </w:p>
    <w:tbl>
      <w:tblPr>
        <w:tblStyle w:val="Table16"/>
        <w:tblW w:w="9026" w:type="dxa"/>
        <w:jc w:val="start"/>
        <w:tblInd w:w="0" w:type="dxa"/>
        <w:tblLayout w:type="fixed"/>
        <w:tblCellMar>
          <w:top w:w="80" w:type="dxa"/>
          <w:start w:w="120" w:type="dxa"/>
          <w:bottom w:w="80" w:type="dxa"/>
          <w:end w:w="120" w:type="dxa"/>
        </w:tblCellMar>
        <w:tblLook w:val="0000"/>
      </w:tblPr>
      <w:tblGrid>
        <w:gridCol w:w="1798"/>
        <w:gridCol w:w="4226"/>
        <w:gridCol w:w="3002"/>
      </w:tblGrid>
      <w:tr>
        <w:trPr/>
        <w:tc>
          <w:tcPr>
            <w:tcW w:w="1798"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Règle</w:t>
            </w:r>
          </w:p>
        </w:tc>
        <w:tc>
          <w:tcPr>
            <w:tcW w:w="4226"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Question posée</w:t>
            </w:r>
          </w:p>
        </w:tc>
        <w:tc>
          <w:tcPr>
            <w:tcW w:w="3002"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Exemple d’échec</w:t>
            </w:r>
          </w:p>
        </w:tc>
      </w:tr>
      <w:tr>
        <w:trPr/>
        <w:tc>
          <w:tcPr>
            <w:tcW w:w="179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En-tête DSFR</w:t>
            </w:r>
          </w:p>
        </w:tc>
        <w:tc>
          <w:tcPr>
            <w:tcW w:w="42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L’en-tête utilise-t-il le composant DSFR ?</w:t>
            </w:r>
          </w:p>
        </w:tc>
        <w:tc>
          <w:tcPr>
            <w:tcW w:w="3002"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Pas de classe fr-header, pas de logo Marianne</w:t>
            </w:r>
          </w:p>
        </w:tc>
      </w:tr>
      <w:tr>
        <w:trPr/>
        <w:tc>
          <w:tcPr>
            <w:tcW w:w="1798"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Pied de page</w:t>
            </w:r>
          </w:p>
        </w:tc>
        <w:tc>
          <w:tcPr>
            <w:tcW w:w="42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Le footer contient-il les mentions obligatoires ?</w:t>
            </w:r>
          </w:p>
        </w:tc>
        <w:tc>
          <w:tcPr>
            <w:tcW w:w="3002"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Pas de lien « Mentions légales » ou « Accessibilité »</w:t>
            </w:r>
          </w:p>
        </w:tc>
      </w:tr>
      <w:tr>
        <w:trPr/>
        <w:tc>
          <w:tcPr>
            <w:tcW w:w="179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Fil d’Ariane</w:t>
            </w:r>
          </w:p>
        </w:tc>
        <w:tc>
          <w:tcPr>
            <w:tcW w:w="42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Le chemin de navigation est-il conforme ?</w:t>
            </w:r>
          </w:p>
        </w:tc>
        <w:tc>
          <w:tcPr>
            <w:tcW w:w="3002"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Pas de composant fr-breadcrumb</w:t>
            </w:r>
          </w:p>
        </w:tc>
      </w:tr>
    </w:tbl>
    <w:p>
      <w:pPr>
        <w:pStyle w:val="Heading2"/>
        <w:rPr/>
      </w:pPr>
      <w:r>
        <w:rPr/>
        <w:t>Fonctionnement de l’intégration ServiceNow</w:t>
      </w:r>
    </w:p>
    <w:p>
      <w:pPr>
        <w:pStyle w:val="normal1"/>
        <w:spacing w:lineRule="auto" w:line="276" w:before="0" w:after="120"/>
        <w:jc w:val="start"/>
        <w:rPr/>
      </w:pPr>
      <w:r>
        <w:rPr>
          <w:rFonts w:eastAsia="Calibri" w:cs="Calibri"/>
          <w:color w:val="2C3E50"/>
          <w:sz w:val="22"/>
          <w:szCs w:val="22"/>
        </w:rPr>
        <w:t>ServiceNow est un outil de gestion des incidents informatiques (ITSM). Auditaccess s’y connecte pour créer et suivre des incidents automatiquement.</w:t>
      </w:r>
    </w:p>
    <w:p>
      <w:pPr>
        <w:pStyle w:val="Heading3"/>
        <w:rPr/>
      </w:pPr>
      <w:r>
        <w:rPr/>
        <w:t>Quand un incident ServiceNow est-il créé ?</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Quand un audit d’accessibilité retourne un score inférieur à 50% (par défaut et modulable)</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Quand SailPoint détecte une violation de sécurité (transmise via webhook ou notification)</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Quand un opérateur crée un ticket manuellement dans Auditaccess</w:t>
      </w:r>
    </w:p>
    <w:p>
      <w:pPr>
        <w:pStyle w:val="Heading3"/>
        <w:rPr/>
      </w:pPr>
      <w:r>
        <w:rPr/>
        <w:t>Que contient l’incident créé ?</w:t>
      </w:r>
    </w:p>
    <w:tbl>
      <w:tblPr>
        <w:tblStyle w:val="Table17"/>
        <w:tblW w:w="9026" w:type="dxa"/>
        <w:jc w:val="start"/>
        <w:tblInd w:w="0" w:type="dxa"/>
        <w:tblLayout w:type="fixed"/>
        <w:tblCellMar>
          <w:top w:w="80" w:type="dxa"/>
          <w:start w:w="120" w:type="dxa"/>
          <w:bottom w:w="80" w:type="dxa"/>
          <w:end w:w="120" w:type="dxa"/>
        </w:tblCellMar>
        <w:tblLook w:val="0000"/>
      </w:tblPr>
      <w:tblGrid>
        <w:gridCol w:w="3000"/>
        <w:gridCol w:w="6026"/>
      </w:tblGrid>
      <w:tr>
        <w:trPr/>
        <w:tc>
          <w:tcPr>
            <w:tcW w:w="3000"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Champ ServiceNow</w:t>
            </w:r>
          </w:p>
        </w:tc>
        <w:tc>
          <w:tcPr>
            <w:tcW w:w="6026"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Contenu rempli automatiquement</w:t>
            </w:r>
          </w:p>
        </w:tc>
      </w:tr>
      <w:tr>
        <w:trPr/>
        <w:tc>
          <w:tcPr>
            <w:tcW w:w="30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Description courte</w:t>
            </w:r>
          </w:p>
        </w:tc>
        <w:tc>
          <w:tcPr>
            <w:tcW w:w="60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Le titre du ticket (ex : « [SailPoint] Violation SoD — Jean Dupont »)</w:t>
            </w:r>
          </w:p>
        </w:tc>
      </w:tr>
      <w:tr>
        <w:trPr/>
        <w:tc>
          <w:tcPr>
            <w:tcW w:w="30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Description détaillée</w:t>
            </w:r>
          </w:p>
        </w:tc>
        <w:tc>
          <w:tcPr>
            <w:tcW w:w="60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Source, sévérité, identité concernée, URL du site, lien vers le rapport</w:t>
            </w:r>
          </w:p>
        </w:tc>
      </w:tr>
      <w:tr>
        <w:trPr/>
        <w:tc>
          <w:tcPr>
            <w:tcW w:w="30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Priorité</w:t>
            </w:r>
          </w:p>
        </w:tc>
        <w:tc>
          <w:tcPr>
            <w:tcW w:w="60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Calculée automatiquement (1=Critical, 2=High, 3=Medium, 4=Low)</w:t>
            </w:r>
          </w:p>
        </w:tc>
      </w:tr>
      <w:tr>
        <w:trPr/>
        <w:tc>
          <w:tcPr>
            <w:tcW w:w="30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Catégorie</w:t>
            </w:r>
          </w:p>
        </w:tc>
        <w:tc>
          <w:tcPr>
            <w:tcW w:w="60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Sécurité &gt; Vulnérabilité (configurable)</w:t>
            </w:r>
          </w:p>
        </w:tc>
      </w:tr>
      <w:tr>
        <w:trPr/>
        <w:tc>
          <w:tcPr>
            <w:tcW w:w="30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Groupe d’assignation</w:t>
            </w:r>
          </w:p>
        </w:tc>
        <w:tc>
          <w:tcPr>
            <w:tcW w:w="60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Accessibility Team (configurable)</w:t>
            </w:r>
          </w:p>
        </w:tc>
      </w:tr>
      <w:tr>
        <w:trPr/>
        <w:tc>
          <w:tcPr>
            <w:tcW w:w="30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Système source</w:t>
            </w:r>
          </w:p>
        </w:tc>
        <w:tc>
          <w:tcPr>
            <w:tcW w:w="60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Auditaccess (champ personnalisé)</w:t>
            </w:r>
          </w:p>
        </w:tc>
      </w:tr>
    </w:tbl>
    <w:p>
      <w:pPr>
        <w:pStyle w:val="normal1"/>
        <w:spacing w:lineRule="auto" w:line="240" w:before="60" w:after="0"/>
        <w:rPr/>
      </w:pPr>
      <w:r>
        <w:rPr/>
      </w:r>
    </w:p>
    <w:p>
      <w:pPr>
        <w:pStyle w:val="Heading3"/>
        <w:rPr/>
      </w:pPr>
      <w:r>
        <w:rPr/>
        <w:t>Synchronisation bidirectionnelle</w:t>
      </w:r>
    </w:p>
    <w:p>
      <w:pPr>
        <w:pStyle w:val="normal1"/>
        <w:spacing w:lineRule="auto" w:line="276" w:before="0" w:after="120"/>
        <w:jc w:val="start"/>
        <w:rPr/>
      </w:pPr>
      <w:r>
        <w:rPr>
          <w:rFonts w:eastAsia="Calibri" w:cs="Calibri"/>
          <w:color w:val="2C3E50"/>
          <w:sz w:val="22"/>
          <w:szCs w:val="22"/>
        </w:rPr>
        <w:t>La communication fonctionne dans les deux sens :</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bCs/>
          <w:i w:val="false"/>
          <w:iCs w:val="false"/>
          <w:caps w:val="false"/>
          <w:smallCaps w:val="false"/>
          <w:strike w:val="false"/>
          <w:dstrike w:val="false"/>
          <w:color w:val="2C3E50"/>
          <w:position w:val="0"/>
          <w:sz w:val="22"/>
          <w:szCs w:val="22"/>
          <w:u w:val="none"/>
          <w:shd w:fill="auto" w:val="clear"/>
          <w:vertAlign w:val="baseline"/>
        </w:rPr>
        <w:t xml:space="preserve">Auditaccess → ServiceNow : </w:t>
      </w: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création d’incidents, résolution d’incidents</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bCs/>
          <w:i w:val="false"/>
          <w:iCs w:val="false"/>
          <w:caps w:val="false"/>
          <w:smallCaps w:val="false"/>
          <w:strike w:val="false"/>
          <w:dstrike w:val="false"/>
          <w:color w:val="2C3E50"/>
          <w:position w:val="0"/>
          <w:sz w:val="22"/>
          <w:szCs w:val="22"/>
          <w:u w:val="none"/>
          <w:shd w:fill="auto" w:val="clear"/>
          <w:vertAlign w:val="baseline"/>
        </w:rPr>
        <w:t xml:space="preserve">ServiceNow → Auditaccess : </w:t>
      </w: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quand un technicien change le statut d’un incident dans ServiceNow, Auditaccess est notifié et met à jour son propre ticket</w:t>
      </w:r>
    </w:p>
    <w:p>
      <w:pPr>
        <w:pStyle w:val="Heading2"/>
        <w:rPr/>
      </w:pPr>
      <w:r>
        <w:rPr/>
        <w:t>Fonctionnement de l’intégration SailPoint</w:t>
      </w:r>
    </w:p>
    <w:p>
      <w:pPr>
        <w:pStyle w:val="normal1"/>
        <w:spacing w:lineRule="auto" w:line="276" w:before="0" w:after="120"/>
        <w:jc w:val="start"/>
        <w:rPr/>
      </w:pPr>
      <w:r>
        <w:rPr>
          <w:rFonts w:eastAsia="Calibri" w:cs="Calibri"/>
          <w:color w:val="2C3E50"/>
          <w:sz w:val="22"/>
          <w:szCs w:val="22"/>
        </w:rPr>
        <w:t>SailPoint est un outil de gouvernance des identités (IGA). Il gère les droits d’accès des utilisateurs dans l’entreprise. Il détecte les anomalies de sécurité comme :</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bCs/>
          <w:i w:val="false"/>
          <w:iCs w:val="false"/>
          <w:caps w:val="false"/>
          <w:smallCaps w:val="false"/>
          <w:strike w:val="false"/>
          <w:dstrike w:val="false"/>
          <w:color w:val="2C3E50"/>
          <w:position w:val="0"/>
          <w:sz w:val="22"/>
          <w:szCs w:val="22"/>
          <w:u w:val="none"/>
          <w:shd w:fill="auto" w:val="clear"/>
          <w:vertAlign w:val="baseline"/>
        </w:rPr>
        <w:t>Violations SoD (Séparation des tâches)</w:t>
      </w: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 xml:space="preserve"> : un utilisateur a des accès Finance ET Achats, ce qui permet la fraude</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bCs/>
          <w:i w:val="false"/>
          <w:iCs w:val="false"/>
          <w:caps w:val="false"/>
          <w:smallCaps w:val="false"/>
          <w:strike w:val="false"/>
          <w:dstrike w:val="false"/>
          <w:color w:val="2C3E50"/>
          <w:position w:val="0"/>
          <w:sz w:val="22"/>
          <w:szCs w:val="22"/>
          <w:u w:val="none"/>
          <w:shd w:fill="auto" w:val="clear"/>
          <w:vertAlign w:val="baseline"/>
        </w:rPr>
        <w:t>Comptes orphelins</w:t>
      </w: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 xml:space="preserve"> : un employé a quitté l’entreprise mais son compte est toujours actif</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bCs/>
          <w:i w:val="false"/>
          <w:iCs w:val="false"/>
          <w:caps w:val="false"/>
          <w:smallCaps w:val="false"/>
          <w:strike w:val="false"/>
          <w:dstrike w:val="false"/>
          <w:color w:val="2C3E50"/>
          <w:position w:val="0"/>
          <w:sz w:val="22"/>
          <w:szCs w:val="22"/>
          <w:u w:val="none"/>
          <w:shd w:fill="auto" w:val="clear"/>
          <w:vertAlign w:val="baseline"/>
        </w:rPr>
        <w:t>Demandes d’accès suspectes</w:t>
      </w: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 xml:space="preserve"> : une demande d’accès à un serveur sensible</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bCs/>
          <w:i w:val="false"/>
          <w:iCs w:val="false"/>
          <w:caps w:val="false"/>
          <w:smallCaps w:val="false"/>
          <w:strike w:val="false"/>
          <w:dstrike w:val="false"/>
          <w:color w:val="2C3E50"/>
          <w:position w:val="0"/>
          <w:sz w:val="22"/>
          <w:szCs w:val="22"/>
          <w:u w:val="none"/>
          <w:shd w:fill="auto" w:val="clear"/>
          <w:vertAlign w:val="baseline"/>
        </w:rPr>
        <w:t>Certifications incomplètes</w:t>
      </w: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 xml:space="preserve"> : un manager n’a pas validé les accès de son équipe</w:t>
      </w:r>
    </w:p>
    <w:p>
      <w:pPr>
        <w:pStyle w:val="normal1"/>
        <w:spacing w:lineRule="auto" w:line="240" w:before="40" w:after="0"/>
        <w:rPr/>
      </w:pPr>
      <w:r>
        <w:rPr/>
      </w:r>
    </w:p>
    <w:p>
      <w:pPr>
        <w:pStyle w:val="Heading3"/>
        <w:rPr/>
      </w:pPr>
      <w:r>
        <w:rPr/>
        <w:t>Comment ça fonctionne ?</w:t>
      </w:r>
    </w:p>
    <w:p>
      <w:pPr>
        <w:pStyle w:val="normal1"/>
        <w:spacing w:lineRule="auto" w:line="276" w:before="0" w:after="120"/>
        <w:jc w:val="start"/>
        <w:rPr/>
      </w:pPr>
      <w:r>
        <w:rPr>
          <w:rFonts w:eastAsia="Calibri" w:cs="Calibri"/>
          <w:color w:val="2C3E50"/>
          <w:sz w:val="22"/>
          <w:szCs w:val="22"/>
        </w:rPr>
        <w:t>SailPoint envoie automatiquement une notification (webhook) à Auditaccess quand un événement se produit. Auditaccess transforme cette notification en ticket de sécurité et crée un incident ServiceNow.</w:t>
      </w:r>
    </w:p>
    <w:p>
      <w:pPr>
        <w:pStyle w:val="normal1"/>
        <w:spacing w:lineRule="auto" w:line="240" w:before="40" w:after="0"/>
        <w:rPr/>
      </w:pPr>
      <w:r>
        <w:rPr/>
      </w:r>
    </w:p>
    <w:tbl>
      <w:tblPr>
        <w:tblStyle w:val="Table18"/>
        <w:tblW w:w="9026" w:type="dxa"/>
        <w:jc w:val="start"/>
        <w:tblInd w:w="0" w:type="dxa"/>
        <w:tblLayout w:type="fixed"/>
        <w:tblCellMar>
          <w:top w:w="80" w:type="dxa"/>
          <w:start w:w="40" w:type="dxa"/>
          <w:bottom w:w="80" w:type="dxa"/>
          <w:end w:w="40" w:type="dxa"/>
        </w:tblCellMar>
        <w:tblLook w:val="0000"/>
      </w:tblPr>
      <w:tblGrid>
        <w:gridCol w:w="700"/>
        <w:gridCol w:w="8326"/>
      </w:tblGrid>
      <w:tr>
        <w:trPr/>
        <w:tc>
          <w:tcPr>
            <w:tcW w:w="700" w:type="dxa"/>
            <w:tcBorders/>
            <w:shd w:fill="2E86C1" w:val="clear"/>
            <w:vAlign w:val="center"/>
          </w:tcPr>
          <w:p>
            <w:pPr>
              <w:pStyle w:val="normal1"/>
              <w:jc w:val="center"/>
              <w:rPr/>
            </w:pPr>
            <w:r>
              <w:rPr>
                <w:rFonts w:eastAsia="Calibri" w:cs="Calibri"/>
                <w:b/>
                <w:bCs/>
                <w:color w:val="FFFFFF"/>
                <w:sz w:val="26"/>
                <w:szCs w:val="26"/>
              </w:rPr>
              <w:t>1</w:t>
            </w:r>
          </w:p>
        </w:tc>
        <w:tc>
          <w:tcPr>
            <w:tcW w:w="8326" w:type="dxa"/>
            <w:tcBorders>
              <w:bottom w:val="single" w:sz="4" w:space="0" w:color="BDC3C7"/>
            </w:tcBorders>
            <w:tcMar>
              <w:start w:w="160" w:type="dxa"/>
              <w:end w:w="80" w:type="dxa"/>
            </w:tcMar>
          </w:tcPr>
          <w:p>
            <w:pPr>
              <w:pStyle w:val="normal1"/>
              <w:spacing w:lineRule="auto" w:line="240" w:before="0" w:after="30"/>
              <w:rPr/>
            </w:pPr>
            <w:r>
              <w:rPr>
                <w:rFonts w:eastAsia="Calibri" w:cs="Calibri"/>
                <w:b/>
                <w:bCs/>
                <w:color w:val="1B4F72"/>
                <w:sz w:val="22"/>
                <w:szCs w:val="22"/>
              </w:rPr>
              <w:t>SailPoint détecte une anomalie</w:t>
            </w:r>
          </w:p>
          <w:p>
            <w:pPr>
              <w:pStyle w:val="normal1"/>
              <w:spacing w:lineRule="auto" w:line="262" w:before="0" w:after="0"/>
              <w:rPr/>
            </w:pPr>
            <w:r>
              <w:rPr>
                <w:rFonts w:eastAsia="Calibri" w:cs="Calibri"/>
                <w:color w:val="2C3E50"/>
                <w:sz w:val="21"/>
                <w:szCs w:val="21"/>
              </w:rPr>
              <w:t>Par exemple : « Jean Dupont a des accès Finance et Achats incompatibles »</w:t>
            </w:r>
          </w:p>
        </w:tc>
      </w:tr>
    </w:tbl>
    <w:p>
      <w:pPr>
        <w:pStyle w:val="normal1"/>
        <w:spacing w:lineRule="auto" w:line="240" w:before="60" w:after="0"/>
        <w:rPr/>
      </w:pPr>
      <w:r>
        <w:rPr/>
      </w:r>
    </w:p>
    <w:tbl>
      <w:tblPr>
        <w:tblStyle w:val="Table19"/>
        <w:tblW w:w="9026" w:type="dxa"/>
        <w:jc w:val="start"/>
        <w:tblInd w:w="0" w:type="dxa"/>
        <w:tblLayout w:type="fixed"/>
        <w:tblCellMar>
          <w:top w:w="80" w:type="dxa"/>
          <w:start w:w="40" w:type="dxa"/>
          <w:bottom w:w="80" w:type="dxa"/>
          <w:end w:w="40" w:type="dxa"/>
        </w:tblCellMar>
        <w:tblLook w:val="0000"/>
      </w:tblPr>
      <w:tblGrid>
        <w:gridCol w:w="700"/>
        <w:gridCol w:w="8326"/>
      </w:tblGrid>
      <w:tr>
        <w:trPr/>
        <w:tc>
          <w:tcPr>
            <w:tcW w:w="700" w:type="dxa"/>
            <w:tcBorders/>
            <w:shd w:fill="2E86C1" w:val="clear"/>
            <w:vAlign w:val="center"/>
          </w:tcPr>
          <w:p>
            <w:pPr>
              <w:pStyle w:val="normal1"/>
              <w:jc w:val="center"/>
              <w:rPr/>
            </w:pPr>
            <w:r>
              <w:rPr>
                <w:rFonts w:eastAsia="Calibri" w:cs="Calibri"/>
                <w:b/>
                <w:bCs/>
                <w:color w:val="FFFFFF"/>
                <w:sz w:val="26"/>
                <w:szCs w:val="26"/>
              </w:rPr>
              <w:t>2</w:t>
            </w:r>
          </w:p>
        </w:tc>
        <w:tc>
          <w:tcPr>
            <w:tcW w:w="8326" w:type="dxa"/>
            <w:tcBorders>
              <w:bottom w:val="single" w:sz="4" w:space="0" w:color="BDC3C7"/>
            </w:tcBorders>
            <w:tcMar>
              <w:start w:w="160" w:type="dxa"/>
              <w:end w:w="80" w:type="dxa"/>
            </w:tcMar>
          </w:tcPr>
          <w:p>
            <w:pPr>
              <w:pStyle w:val="normal1"/>
              <w:spacing w:lineRule="auto" w:line="240" w:before="0" w:after="30"/>
              <w:rPr/>
            </w:pPr>
            <w:r>
              <w:rPr>
                <w:rFonts w:eastAsia="Calibri" w:cs="Calibri"/>
                <w:b/>
                <w:bCs/>
                <w:color w:val="1B4F72"/>
                <w:sz w:val="22"/>
                <w:szCs w:val="22"/>
              </w:rPr>
              <w:t>SailPoint envoie une notification</w:t>
            </w:r>
          </w:p>
          <w:p>
            <w:pPr>
              <w:pStyle w:val="normal1"/>
              <w:spacing w:lineRule="auto" w:line="262" w:before="0" w:after="0"/>
              <w:rPr/>
            </w:pPr>
            <w:r>
              <w:rPr>
                <w:rFonts w:eastAsia="Calibri" w:cs="Calibri"/>
                <w:color w:val="2C3E50"/>
                <w:sz w:val="21"/>
                <w:szCs w:val="21"/>
              </w:rPr>
              <w:t>Une notification HTTP est envoyée automatiquement à Auditaccess avec les détails de la violation</w:t>
            </w:r>
          </w:p>
        </w:tc>
      </w:tr>
    </w:tbl>
    <w:p>
      <w:pPr>
        <w:pStyle w:val="normal1"/>
        <w:spacing w:lineRule="auto" w:line="240" w:before="60" w:after="0"/>
        <w:rPr/>
      </w:pPr>
      <w:r>
        <w:rPr/>
      </w:r>
    </w:p>
    <w:tbl>
      <w:tblPr>
        <w:tblStyle w:val="Table20"/>
        <w:tblW w:w="9026" w:type="dxa"/>
        <w:jc w:val="start"/>
        <w:tblInd w:w="0" w:type="dxa"/>
        <w:tblLayout w:type="fixed"/>
        <w:tblCellMar>
          <w:top w:w="80" w:type="dxa"/>
          <w:start w:w="40" w:type="dxa"/>
          <w:bottom w:w="80" w:type="dxa"/>
          <w:end w:w="40" w:type="dxa"/>
        </w:tblCellMar>
        <w:tblLook w:val="0000"/>
      </w:tblPr>
      <w:tblGrid>
        <w:gridCol w:w="700"/>
        <w:gridCol w:w="8326"/>
      </w:tblGrid>
      <w:tr>
        <w:trPr/>
        <w:tc>
          <w:tcPr>
            <w:tcW w:w="700" w:type="dxa"/>
            <w:tcBorders/>
            <w:shd w:fill="2E86C1" w:val="clear"/>
            <w:vAlign w:val="center"/>
          </w:tcPr>
          <w:p>
            <w:pPr>
              <w:pStyle w:val="normal1"/>
              <w:jc w:val="center"/>
              <w:rPr/>
            </w:pPr>
            <w:r>
              <w:rPr>
                <w:rFonts w:eastAsia="Calibri" w:cs="Calibri"/>
                <w:b/>
                <w:bCs/>
                <w:color w:val="FFFFFF"/>
                <w:sz w:val="26"/>
                <w:szCs w:val="26"/>
              </w:rPr>
              <w:t>3</w:t>
            </w:r>
          </w:p>
        </w:tc>
        <w:tc>
          <w:tcPr>
            <w:tcW w:w="8326" w:type="dxa"/>
            <w:tcBorders>
              <w:bottom w:val="single" w:sz="4" w:space="0" w:color="BDC3C7"/>
            </w:tcBorders>
            <w:tcMar>
              <w:start w:w="160" w:type="dxa"/>
              <w:end w:w="80" w:type="dxa"/>
            </w:tcMar>
          </w:tcPr>
          <w:p>
            <w:pPr>
              <w:pStyle w:val="normal1"/>
              <w:spacing w:lineRule="auto" w:line="240" w:before="0" w:after="30"/>
              <w:rPr/>
            </w:pPr>
            <w:r>
              <w:rPr>
                <w:rFonts w:eastAsia="Calibri" w:cs="Calibri"/>
                <w:b/>
                <w:bCs/>
                <w:color w:val="1B4F72"/>
                <w:sz w:val="22"/>
                <w:szCs w:val="22"/>
              </w:rPr>
              <w:t>Auditaccess crée un ticket</w:t>
            </w:r>
          </w:p>
          <w:p>
            <w:pPr>
              <w:pStyle w:val="normal1"/>
              <w:spacing w:lineRule="auto" w:line="262" w:before="0" w:after="0"/>
              <w:rPr/>
            </w:pPr>
            <w:r>
              <w:rPr>
                <w:rFonts w:eastAsia="Calibri" w:cs="Calibri"/>
                <w:color w:val="2C3E50"/>
                <w:sz w:val="21"/>
                <w:szCs w:val="21"/>
              </w:rPr>
              <w:t>Un ticket de sécurité est créé avec la source « SailPoint », la sévérité « HIGH » et les détails de l’identité</w:t>
            </w:r>
          </w:p>
        </w:tc>
      </w:tr>
    </w:tbl>
    <w:p>
      <w:pPr>
        <w:pStyle w:val="normal1"/>
        <w:spacing w:lineRule="auto" w:line="240" w:before="60" w:after="0"/>
        <w:rPr/>
      </w:pPr>
      <w:r>
        <w:rPr/>
      </w:r>
    </w:p>
    <w:tbl>
      <w:tblPr>
        <w:tblStyle w:val="Table21"/>
        <w:tblW w:w="9026" w:type="dxa"/>
        <w:jc w:val="start"/>
        <w:tblInd w:w="0" w:type="dxa"/>
        <w:tblLayout w:type="fixed"/>
        <w:tblCellMar>
          <w:top w:w="80" w:type="dxa"/>
          <w:start w:w="40" w:type="dxa"/>
          <w:bottom w:w="80" w:type="dxa"/>
          <w:end w:w="40" w:type="dxa"/>
        </w:tblCellMar>
        <w:tblLook w:val="0000"/>
      </w:tblPr>
      <w:tblGrid>
        <w:gridCol w:w="700"/>
        <w:gridCol w:w="8326"/>
      </w:tblGrid>
      <w:tr>
        <w:trPr/>
        <w:tc>
          <w:tcPr>
            <w:tcW w:w="700" w:type="dxa"/>
            <w:tcBorders/>
            <w:shd w:fill="2E86C1" w:val="clear"/>
            <w:vAlign w:val="center"/>
          </w:tcPr>
          <w:p>
            <w:pPr>
              <w:pStyle w:val="normal1"/>
              <w:jc w:val="center"/>
              <w:rPr/>
            </w:pPr>
            <w:r>
              <w:rPr>
                <w:rFonts w:eastAsia="Calibri" w:cs="Calibri"/>
                <w:b/>
                <w:bCs/>
                <w:color w:val="FFFFFF"/>
                <w:sz w:val="26"/>
                <w:szCs w:val="26"/>
              </w:rPr>
              <w:t>4</w:t>
            </w:r>
          </w:p>
        </w:tc>
        <w:tc>
          <w:tcPr>
            <w:tcW w:w="8326" w:type="dxa"/>
            <w:tcBorders>
              <w:bottom w:val="single" w:sz="4" w:space="0" w:color="BDC3C7"/>
            </w:tcBorders>
            <w:tcMar>
              <w:start w:w="160" w:type="dxa"/>
              <w:end w:w="80" w:type="dxa"/>
            </w:tcMar>
          </w:tcPr>
          <w:p>
            <w:pPr>
              <w:pStyle w:val="normal1"/>
              <w:spacing w:lineRule="auto" w:line="240" w:before="0" w:after="30"/>
              <w:rPr/>
            </w:pPr>
            <w:r>
              <w:rPr>
                <w:rFonts w:eastAsia="Calibri" w:cs="Calibri"/>
                <w:b/>
                <w:bCs/>
                <w:color w:val="1B4F72"/>
                <w:sz w:val="22"/>
                <w:szCs w:val="22"/>
              </w:rPr>
              <w:t>Un incident ServiceNow est créé</w:t>
            </w:r>
          </w:p>
          <w:p>
            <w:pPr>
              <w:pStyle w:val="normal1"/>
              <w:spacing w:lineRule="auto" w:line="262" w:before="0" w:after="0"/>
              <w:rPr/>
            </w:pPr>
            <w:r>
              <w:rPr>
                <w:rFonts w:eastAsia="Calibri" w:cs="Calibri"/>
                <w:color w:val="2C3E50"/>
                <w:sz w:val="21"/>
                <w:szCs w:val="21"/>
              </w:rPr>
              <w:t>L’incident est automatiquement poussé vers ServiceNow pour suivi par l’équipe sécurité</w:t>
            </w:r>
          </w:p>
        </w:tc>
      </w:tr>
    </w:tbl>
    <w:p>
      <w:pPr>
        <w:pStyle w:val="normal1"/>
        <w:spacing w:lineRule="auto" w:line="240" w:before="60" w:after="0"/>
        <w:rPr/>
      </w:pPr>
      <w:r>
        <w:rPr/>
      </w:r>
    </w:p>
    <w:tbl>
      <w:tblPr>
        <w:tblStyle w:val="Table22"/>
        <w:tblW w:w="9026" w:type="dxa"/>
        <w:jc w:val="start"/>
        <w:tblInd w:w="0" w:type="dxa"/>
        <w:tblLayout w:type="fixed"/>
        <w:tblCellMar>
          <w:top w:w="80" w:type="dxa"/>
          <w:start w:w="40" w:type="dxa"/>
          <w:bottom w:w="80" w:type="dxa"/>
          <w:end w:w="40" w:type="dxa"/>
        </w:tblCellMar>
        <w:tblLook w:val="0000"/>
      </w:tblPr>
      <w:tblGrid>
        <w:gridCol w:w="700"/>
        <w:gridCol w:w="8326"/>
      </w:tblGrid>
      <w:tr>
        <w:trPr/>
        <w:tc>
          <w:tcPr>
            <w:tcW w:w="700" w:type="dxa"/>
            <w:tcBorders/>
            <w:shd w:fill="2E86C1" w:val="clear"/>
            <w:vAlign w:val="center"/>
          </w:tcPr>
          <w:p>
            <w:pPr>
              <w:pStyle w:val="normal1"/>
              <w:jc w:val="center"/>
              <w:rPr/>
            </w:pPr>
            <w:r>
              <w:rPr>
                <w:rFonts w:eastAsia="Calibri" w:cs="Calibri"/>
                <w:b/>
                <w:bCs/>
                <w:color w:val="FFFFFF"/>
                <w:sz w:val="26"/>
                <w:szCs w:val="26"/>
              </w:rPr>
              <w:t>5</w:t>
            </w:r>
          </w:p>
        </w:tc>
        <w:tc>
          <w:tcPr>
            <w:tcW w:w="8326" w:type="dxa"/>
            <w:tcBorders>
              <w:bottom w:val="single" w:sz="4" w:space="0" w:color="BDC3C7"/>
            </w:tcBorders>
            <w:tcMar>
              <w:start w:w="160" w:type="dxa"/>
              <w:end w:w="80" w:type="dxa"/>
            </w:tcMar>
          </w:tcPr>
          <w:p>
            <w:pPr>
              <w:pStyle w:val="normal1"/>
              <w:spacing w:lineRule="auto" w:line="240" w:before="0" w:after="30"/>
              <w:rPr/>
            </w:pPr>
            <w:r>
              <w:rPr>
                <w:rFonts w:eastAsia="Calibri" w:cs="Calibri"/>
                <w:b/>
                <w:bCs/>
                <w:color w:val="1B4F72"/>
                <w:sz w:val="22"/>
                <w:szCs w:val="22"/>
              </w:rPr>
              <w:t>L’équipe résout</w:t>
            </w:r>
          </w:p>
          <w:p>
            <w:pPr>
              <w:pStyle w:val="normal1"/>
              <w:spacing w:lineRule="auto" w:line="262" w:before="0" w:after="0"/>
              <w:rPr/>
            </w:pPr>
            <w:r>
              <w:rPr>
                <w:rFonts w:eastAsia="Calibri" w:cs="Calibri"/>
                <w:color w:val="2C3E50"/>
                <w:sz w:val="21"/>
                <w:szCs w:val="21"/>
              </w:rPr>
              <w:t>L’équipe sécurité révoque les accès dans SailPoint, puis résout le ticket dans ServiceNow ou Auditaccess</w:t>
            </w:r>
          </w:p>
        </w:tc>
      </w:tr>
    </w:tbl>
    <w:p>
      <w:pPr>
        <w:pStyle w:val="normal1"/>
        <w:spacing w:lineRule="auto" w:line="240" w:before="60" w:after="0"/>
        <w:rPr/>
      </w:pPr>
      <w:r>
        <w:rPr/>
      </w:r>
    </w:p>
    <w:p>
      <w:pPr>
        <w:pStyle w:val="Heading3"/>
        <w:rPr/>
      </w:pPr>
      <w:r>
        <w:rPr/>
        <w:t>Types d’événements SailPoint</w:t>
      </w:r>
    </w:p>
    <w:tbl>
      <w:tblPr>
        <w:tblStyle w:val="Table23"/>
        <w:tblW w:w="9026" w:type="dxa"/>
        <w:jc w:val="start"/>
        <w:tblInd w:w="0" w:type="dxa"/>
        <w:tblLayout w:type="fixed"/>
        <w:tblCellMar>
          <w:top w:w="80" w:type="dxa"/>
          <w:start w:w="120" w:type="dxa"/>
          <w:bottom w:w="80" w:type="dxa"/>
          <w:end w:w="120" w:type="dxa"/>
        </w:tblCellMar>
        <w:tblLook w:val="0000"/>
      </w:tblPr>
      <w:tblGrid>
        <w:gridCol w:w="2400"/>
        <w:gridCol w:w="4826"/>
        <w:gridCol w:w="1800"/>
      </w:tblGrid>
      <w:tr>
        <w:trPr/>
        <w:tc>
          <w:tcPr>
            <w:tcW w:w="2400"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Événement</w:t>
            </w:r>
          </w:p>
        </w:tc>
        <w:tc>
          <w:tcPr>
            <w:tcW w:w="4826"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Signification en langage courant</w:t>
            </w:r>
          </w:p>
        </w:tc>
        <w:tc>
          <w:tcPr>
            <w:tcW w:w="1800"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Urgence</w:t>
            </w:r>
          </w:p>
        </w:tc>
      </w:tr>
      <w:tr>
        <w:trPr/>
        <w:tc>
          <w:tcPr>
            <w:tcW w:w="24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Violation de politique</w:t>
            </w:r>
          </w:p>
        </w:tc>
        <w:tc>
          <w:tcPr>
            <w:tcW w:w="48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Un utilisateur a des accès incompatibles entre eux</w:t>
            </w:r>
          </w:p>
        </w:tc>
        <w:tc>
          <w:tcPr>
            <w:tcW w:w="18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Haute</w:t>
            </w:r>
          </w:p>
        </w:tc>
      </w:tr>
      <w:tr>
        <w:trPr/>
        <w:tc>
          <w:tcPr>
            <w:tcW w:w="24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Identité supprimée</w:t>
            </w:r>
          </w:p>
        </w:tc>
        <w:tc>
          <w:tcPr>
            <w:tcW w:w="48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Un compte utilisateur a été supprimé (risque de comptes orphelins)</w:t>
            </w:r>
          </w:p>
        </w:tc>
        <w:tc>
          <w:tcPr>
            <w:tcW w:w="18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Moyenne</w:t>
            </w:r>
          </w:p>
        </w:tc>
      </w:tr>
      <w:tr>
        <w:trPr/>
        <w:tc>
          <w:tcPr>
            <w:tcW w:w="24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Demande d’accès</w:t>
            </w:r>
          </w:p>
        </w:tc>
        <w:tc>
          <w:tcPr>
            <w:tcW w:w="48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Quelqu’un demande un nouvel accès (vérifier la légitimité)</w:t>
            </w:r>
          </w:p>
        </w:tc>
        <w:tc>
          <w:tcPr>
            <w:tcW w:w="18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Moyenne</w:t>
            </w:r>
          </w:p>
        </w:tc>
      </w:tr>
      <w:tr>
        <w:trPr/>
        <w:tc>
          <w:tcPr>
            <w:tcW w:w="24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Certification signée</w:t>
            </w:r>
          </w:p>
        </w:tc>
        <w:tc>
          <w:tcPr>
            <w:tcW w:w="48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Un manager a validé les accès de son équipe</w:t>
            </w:r>
          </w:p>
        </w:tc>
        <w:tc>
          <w:tcPr>
            <w:tcW w:w="18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Basse</w:t>
            </w:r>
          </w:p>
        </w:tc>
      </w:tr>
    </w:tbl>
    <w:p>
      <w:pPr>
        <w:pStyle w:val="Heading2"/>
        <w:rPr/>
      </w:pPr>
      <w:r>
        <w:rPr/>
        <w:t>Le tableau de bord Intégrations</w:t>
      </w:r>
    </w:p>
    <w:p>
      <w:pPr>
        <w:pStyle w:val="normal1"/>
        <w:spacing w:lineRule="auto" w:line="276" w:before="0" w:after="120"/>
        <w:jc w:val="start"/>
        <w:rPr/>
      </w:pPr>
      <w:r>
        <w:rPr>
          <w:rFonts w:eastAsia="Calibri" w:cs="Calibri"/>
          <w:color w:val="2C3E50"/>
          <w:sz w:val="22"/>
          <w:szCs w:val="22"/>
        </w:rPr>
        <w:t>Accessible sur http://localhost:8080/integrations.html, il offre une vue unifiée de tous les tickets provenant des trois sources.</w:t>
      </w:r>
    </w:p>
    <w:p>
      <w:pPr>
        <w:pStyle w:val="normal1"/>
        <w:spacing w:lineRule="auto" w:line="240" w:before="40" w:after="0"/>
        <w:rPr/>
      </w:pPr>
      <w:r>
        <w:rPr/>
      </w:r>
    </w:p>
    <w:tbl>
      <w:tblPr>
        <w:tblStyle w:val="Table24"/>
        <w:tblW w:w="9026" w:type="dxa"/>
        <w:jc w:val="start"/>
        <w:tblInd w:w="0" w:type="dxa"/>
        <w:tblLayout w:type="fixed"/>
        <w:tblCellMar>
          <w:top w:w="80" w:type="dxa"/>
          <w:start w:w="120" w:type="dxa"/>
          <w:bottom w:w="80" w:type="dxa"/>
          <w:end w:w="120" w:type="dxa"/>
        </w:tblCellMar>
        <w:tblLook w:val="0000"/>
      </w:tblPr>
      <w:tblGrid>
        <w:gridCol w:w="2400"/>
        <w:gridCol w:w="6626"/>
      </w:tblGrid>
      <w:tr>
        <w:trPr/>
        <w:tc>
          <w:tcPr>
            <w:tcW w:w="2400"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Page</w:t>
            </w:r>
          </w:p>
        </w:tc>
        <w:tc>
          <w:tcPr>
            <w:tcW w:w="6626"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Ce qu’elle montre</w:t>
            </w:r>
          </w:p>
        </w:tc>
      </w:tr>
      <w:tr>
        <w:trPr/>
        <w:tc>
          <w:tcPr>
            <w:tcW w:w="24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Tableau de bord</w:t>
            </w:r>
          </w:p>
        </w:tc>
        <w:tc>
          <w:tcPr>
            <w:tcW w:w="66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Résumé global : nombre de tickets par source, sévérité, statut</w:t>
            </w:r>
          </w:p>
        </w:tc>
      </w:tr>
      <w:tr>
        <w:trPr/>
        <w:tc>
          <w:tcPr>
            <w:tcW w:w="24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Chronologie</w:t>
            </w:r>
          </w:p>
        </w:tc>
        <w:tc>
          <w:tcPr>
            <w:tcW w:w="66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Timeline visuelle de tous les événements, du plus récent au plus ancien</w:t>
            </w:r>
          </w:p>
        </w:tc>
      </w:tr>
      <w:tr>
        <w:trPr/>
        <w:tc>
          <w:tcPr>
            <w:tcW w:w="24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Incidents SNOW</w:t>
            </w:r>
          </w:p>
        </w:tc>
        <w:tc>
          <w:tcPr>
            <w:tcW w:w="66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Tickets qui ont un incident ServiceNow associé (avec lien direct)</w:t>
            </w:r>
          </w:p>
        </w:tc>
      </w:tr>
      <w:tr>
        <w:trPr/>
        <w:tc>
          <w:tcPr>
            <w:tcW w:w="24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Synchronisation</w:t>
            </w:r>
          </w:p>
        </w:tc>
        <w:tc>
          <w:tcPr>
            <w:tcW w:w="66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Tickets non encore envoyés vers ServiceNow + bouton de sync manuelle</w:t>
            </w:r>
          </w:p>
        </w:tc>
      </w:tr>
      <w:tr>
        <w:trPr/>
        <w:tc>
          <w:tcPr>
            <w:tcW w:w="24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Événements SailPoint</w:t>
            </w:r>
          </w:p>
        </w:tc>
        <w:tc>
          <w:tcPr>
            <w:tcW w:w="66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Tickets créés par les notifications SailPoint avec type d’événement et identité</w:t>
            </w:r>
          </w:p>
        </w:tc>
      </w:tr>
      <w:tr>
        <w:trPr/>
        <w:tc>
          <w:tcPr>
            <w:tcW w:w="24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Simuler les webhooks</w:t>
            </w:r>
          </w:p>
        </w:tc>
        <w:tc>
          <w:tcPr>
            <w:tcW w:w="66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Outil de test : envoyer de fausses notifications SailPoint pour vérifier le circuit</w:t>
            </w:r>
          </w:p>
        </w:tc>
      </w:tr>
      <w:tr>
        <w:trPr/>
        <w:tc>
          <w:tcPr>
            <w:tcW w:w="24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Tous les tickets</w:t>
            </w:r>
          </w:p>
        </w:tc>
        <w:tc>
          <w:tcPr>
            <w:tcW w:w="66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Vue complète avec filtres (source, sévérité, statut) et recherche</w:t>
            </w:r>
          </w:p>
        </w:tc>
      </w:tr>
      <w:tr>
        <w:trPr/>
        <w:tc>
          <w:tcPr>
            <w:tcW w:w="24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Créer un ticket</w:t>
            </w:r>
          </w:p>
        </w:tc>
        <w:tc>
          <w:tcPr>
            <w:tcW w:w="66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Formulaire pour créer un ticket manuellement</w:t>
            </w:r>
          </w:p>
        </w:tc>
      </w:tr>
      <w:tr>
        <w:trPr/>
        <w:tc>
          <w:tcPr>
            <w:tcW w:w="24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Résoudre</w:t>
            </w:r>
          </w:p>
        </w:tc>
        <w:tc>
          <w:tcPr>
            <w:tcW w:w="66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Sélectionner un ticket ouvert et le marquer comme résolu</w:t>
            </w:r>
          </w:p>
        </w:tc>
      </w:tr>
      <w:tr>
        <w:trPr/>
        <w:tc>
          <w:tcPr>
            <w:tcW w:w="24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Connexions</w:t>
            </w:r>
          </w:p>
        </w:tc>
        <w:tc>
          <w:tcPr>
            <w:tcW w:w="66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Vérifier que ServiceNow et SailPoint sont joignables</w:t>
            </w:r>
          </w:p>
        </w:tc>
      </w:tr>
    </w:tbl>
    <w:p>
      <w:pPr>
        <w:pStyle w:val="normal1"/>
        <w:rPr/>
      </w:pPr>
      <w:r>
        <w:rPr/>
      </w:r>
      <w:r>
        <w:br w:type="page"/>
      </w:r>
    </w:p>
    <w:p>
      <w:pPr>
        <w:pStyle w:val="Heading1"/>
        <w:spacing w:before="0" w:after="200"/>
        <w:rPr/>
      </w:pPr>
      <w:r>
        <w:rPr/>
        <w:t>PARTIE 3 — Guide technique</w:t>
      </w:r>
    </w:p>
    <w:p>
      <w:pPr>
        <w:pStyle w:val="normal1"/>
        <w:spacing w:lineRule="auto" w:line="276" w:before="0" w:after="120"/>
        <w:jc w:val="start"/>
        <w:rPr/>
      </w:pPr>
      <w:r>
        <w:rPr>
          <w:rFonts w:eastAsia="Calibri" w:cs="Calibri"/>
          <w:color w:val="2C3E50"/>
          <w:sz w:val="22"/>
          <w:szCs w:val="22"/>
        </w:rPr>
        <w:t>Ce guide est destiné aux administrateurs système et développeurs. Il détaille l’installation, la configuration et le dépannage.</w:t>
      </w:r>
    </w:p>
    <w:p>
      <w:pPr>
        <w:pStyle w:val="Heading2"/>
        <w:rPr/>
      </w:pPr>
      <w:r>
        <w:rPr/>
        <w:t>Prérequis techniques</w:t>
      </w:r>
    </w:p>
    <w:tbl>
      <w:tblPr>
        <w:tblStyle w:val="Table25"/>
        <w:tblW w:w="9026" w:type="dxa"/>
        <w:jc w:val="start"/>
        <w:tblInd w:w="0" w:type="dxa"/>
        <w:tblLayout w:type="fixed"/>
        <w:tblCellMar>
          <w:top w:w="80" w:type="dxa"/>
          <w:start w:w="120" w:type="dxa"/>
          <w:bottom w:w="80" w:type="dxa"/>
          <w:end w:w="120" w:type="dxa"/>
        </w:tblCellMar>
        <w:tblLook w:val="0000"/>
      </w:tblPr>
      <w:tblGrid>
        <w:gridCol w:w="2198"/>
        <w:gridCol w:w="2400"/>
        <w:gridCol w:w="4428"/>
      </w:tblGrid>
      <w:tr>
        <w:trPr/>
        <w:tc>
          <w:tcPr>
            <w:tcW w:w="2198"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Composant</w:t>
            </w:r>
          </w:p>
        </w:tc>
        <w:tc>
          <w:tcPr>
            <w:tcW w:w="2400"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Version requise</w:t>
            </w:r>
          </w:p>
        </w:tc>
        <w:tc>
          <w:tcPr>
            <w:tcW w:w="4428"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Comment l’installer</w:t>
            </w:r>
          </w:p>
        </w:tc>
      </w:tr>
      <w:tr>
        <w:trPr/>
        <w:tc>
          <w:tcPr>
            <w:tcW w:w="219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Java</w:t>
            </w:r>
          </w:p>
        </w:tc>
        <w:tc>
          <w:tcPr>
            <w:tcW w:w="24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25 (LTS)</w:t>
            </w:r>
          </w:p>
        </w:tc>
        <w:tc>
          <w:tcPr>
            <w:tcW w:w="442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winget install EclipseAdoptium.Temurin.25.JDK</w:t>
            </w:r>
          </w:p>
        </w:tc>
      </w:tr>
      <w:tr>
        <w:trPr/>
        <w:tc>
          <w:tcPr>
            <w:tcW w:w="2198"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Maven</w:t>
            </w:r>
          </w:p>
        </w:tc>
        <w:tc>
          <w:tcPr>
            <w:tcW w:w="24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3.9+ (inclus via mvnw)</w:t>
            </w:r>
          </w:p>
        </w:tc>
        <w:tc>
          <w:tcPr>
            <w:tcW w:w="4428"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Inclus dans le projet (mvnw.cmd)</w:t>
            </w:r>
          </w:p>
        </w:tc>
      </w:tr>
      <w:tr>
        <w:trPr/>
        <w:tc>
          <w:tcPr>
            <w:tcW w:w="219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curl</w:t>
            </w:r>
          </w:p>
        </w:tc>
        <w:tc>
          <w:tcPr>
            <w:tcW w:w="24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Toute version</w:t>
            </w:r>
          </w:p>
        </w:tc>
        <w:tc>
          <w:tcPr>
            <w:tcW w:w="442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Inclus dans Windows 11</w:t>
            </w:r>
          </w:p>
        </w:tc>
      </w:tr>
      <w:tr>
        <w:trPr/>
        <w:tc>
          <w:tcPr>
            <w:tcW w:w="2198"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jq</w:t>
            </w:r>
          </w:p>
        </w:tc>
        <w:tc>
          <w:tcPr>
            <w:tcW w:w="24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Toute version</w:t>
            </w:r>
          </w:p>
        </w:tc>
        <w:tc>
          <w:tcPr>
            <w:tcW w:w="4428"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winget install jqlang.jq</w:t>
            </w:r>
          </w:p>
        </w:tc>
      </w:tr>
      <w:tr>
        <w:trPr/>
        <w:tc>
          <w:tcPr>
            <w:tcW w:w="219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Docker (optionnel)</w:t>
            </w:r>
          </w:p>
        </w:tc>
        <w:tc>
          <w:tcPr>
            <w:tcW w:w="24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24+</w:t>
            </w:r>
          </w:p>
        </w:tc>
        <w:tc>
          <w:tcPr>
            <w:tcW w:w="4428"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Docker Desktop for Windows</w:t>
            </w:r>
          </w:p>
        </w:tc>
      </w:tr>
      <w:tr>
        <w:trPr/>
        <w:tc>
          <w:tcPr>
            <w:tcW w:w="2198"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Navigateur</w:t>
            </w:r>
          </w:p>
        </w:tc>
        <w:tc>
          <w:tcPr>
            <w:tcW w:w="24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Chrome/Firefox/Edge</w:t>
            </w:r>
          </w:p>
        </w:tc>
        <w:tc>
          <w:tcPr>
            <w:tcW w:w="4428"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Déjà installé</w:t>
            </w:r>
          </w:p>
        </w:tc>
      </w:tr>
    </w:tbl>
    <w:p>
      <w:pPr>
        <w:pStyle w:val="Heading2"/>
        <w:rPr/>
      </w:pPr>
      <w:r>
        <w:rPr/>
        <w:t>Installation pas à pas</w:t>
      </w:r>
    </w:p>
    <w:tbl>
      <w:tblPr>
        <w:tblStyle w:val="Table26"/>
        <w:tblW w:w="9026" w:type="dxa"/>
        <w:jc w:val="start"/>
        <w:tblInd w:w="0" w:type="dxa"/>
        <w:tblLayout w:type="fixed"/>
        <w:tblCellMar>
          <w:top w:w="80" w:type="dxa"/>
          <w:start w:w="40" w:type="dxa"/>
          <w:bottom w:w="80" w:type="dxa"/>
          <w:end w:w="40" w:type="dxa"/>
        </w:tblCellMar>
        <w:tblLook w:val="0000"/>
      </w:tblPr>
      <w:tblGrid>
        <w:gridCol w:w="700"/>
        <w:gridCol w:w="8326"/>
      </w:tblGrid>
      <w:tr>
        <w:trPr/>
        <w:tc>
          <w:tcPr>
            <w:tcW w:w="700" w:type="dxa"/>
            <w:tcBorders/>
            <w:shd w:fill="2E86C1" w:val="clear"/>
            <w:vAlign w:val="center"/>
          </w:tcPr>
          <w:p>
            <w:pPr>
              <w:pStyle w:val="normal1"/>
              <w:jc w:val="center"/>
              <w:rPr/>
            </w:pPr>
            <w:r>
              <w:rPr>
                <w:rFonts w:eastAsia="Calibri" w:cs="Calibri"/>
                <w:b/>
                <w:bCs/>
                <w:color w:val="FFFFFF"/>
                <w:sz w:val="26"/>
                <w:szCs w:val="26"/>
              </w:rPr>
              <w:t>1</w:t>
            </w:r>
          </w:p>
        </w:tc>
        <w:tc>
          <w:tcPr>
            <w:tcW w:w="8326" w:type="dxa"/>
            <w:tcBorders>
              <w:bottom w:val="single" w:sz="4" w:space="0" w:color="BDC3C7"/>
            </w:tcBorders>
            <w:tcMar>
              <w:start w:w="160" w:type="dxa"/>
              <w:end w:w="80" w:type="dxa"/>
            </w:tcMar>
          </w:tcPr>
          <w:p>
            <w:pPr>
              <w:pStyle w:val="normal1"/>
              <w:spacing w:lineRule="auto" w:line="240" w:before="0" w:after="30"/>
              <w:rPr/>
            </w:pPr>
            <w:r>
              <w:rPr>
                <w:rFonts w:eastAsia="Calibri" w:cs="Calibri"/>
                <w:b/>
                <w:bCs/>
                <w:color w:val="1B4F72"/>
                <w:sz w:val="22"/>
                <w:szCs w:val="22"/>
              </w:rPr>
              <w:t>Vérifier Java</w:t>
            </w:r>
          </w:p>
          <w:p>
            <w:pPr>
              <w:pStyle w:val="normal1"/>
              <w:spacing w:lineRule="auto" w:line="262" w:before="0" w:after="0"/>
              <w:rPr/>
            </w:pPr>
            <w:r>
              <w:rPr>
                <w:rFonts w:eastAsia="Calibri" w:cs="Calibri"/>
                <w:color w:val="2C3E50"/>
                <w:sz w:val="21"/>
                <w:szCs w:val="21"/>
              </w:rPr>
              <w:t>Ouvrir un terminal (CMD ou PowerShell) et taper : java --version. Le résultat doit afficher « openjdk 25 » ou similaire.</w:t>
            </w:r>
          </w:p>
        </w:tc>
      </w:tr>
    </w:tbl>
    <w:p>
      <w:pPr>
        <w:pStyle w:val="normal1"/>
        <w:spacing w:lineRule="auto" w:line="240" w:before="60" w:after="0"/>
        <w:rPr/>
      </w:pPr>
      <w:r>
        <w:rPr/>
      </w:r>
    </w:p>
    <w:tbl>
      <w:tblPr>
        <w:tblStyle w:val="Table27"/>
        <w:tblW w:w="9026" w:type="dxa"/>
        <w:jc w:val="start"/>
        <w:tblInd w:w="0" w:type="dxa"/>
        <w:tblLayout w:type="fixed"/>
        <w:tblCellMar>
          <w:top w:w="80" w:type="dxa"/>
          <w:start w:w="40" w:type="dxa"/>
          <w:bottom w:w="80" w:type="dxa"/>
          <w:end w:w="40" w:type="dxa"/>
        </w:tblCellMar>
        <w:tblLook w:val="0000"/>
      </w:tblPr>
      <w:tblGrid>
        <w:gridCol w:w="700"/>
        <w:gridCol w:w="8326"/>
      </w:tblGrid>
      <w:tr>
        <w:trPr/>
        <w:tc>
          <w:tcPr>
            <w:tcW w:w="700" w:type="dxa"/>
            <w:tcBorders/>
            <w:shd w:fill="2E86C1" w:val="clear"/>
            <w:vAlign w:val="center"/>
          </w:tcPr>
          <w:p>
            <w:pPr>
              <w:pStyle w:val="normal1"/>
              <w:jc w:val="center"/>
              <w:rPr/>
            </w:pPr>
            <w:r>
              <w:rPr>
                <w:rFonts w:eastAsia="Calibri" w:cs="Calibri"/>
                <w:b/>
                <w:bCs/>
                <w:color w:val="FFFFFF"/>
                <w:sz w:val="26"/>
                <w:szCs w:val="26"/>
              </w:rPr>
              <w:t>2</w:t>
            </w:r>
          </w:p>
        </w:tc>
        <w:tc>
          <w:tcPr>
            <w:tcW w:w="8326" w:type="dxa"/>
            <w:tcBorders>
              <w:bottom w:val="single" w:sz="4" w:space="0" w:color="BDC3C7"/>
            </w:tcBorders>
            <w:tcMar>
              <w:start w:w="160" w:type="dxa"/>
              <w:end w:w="80" w:type="dxa"/>
            </w:tcMar>
          </w:tcPr>
          <w:p>
            <w:pPr>
              <w:pStyle w:val="normal1"/>
              <w:spacing w:lineRule="auto" w:line="240" w:before="0" w:after="30"/>
              <w:rPr/>
            </w:pPr>
            <w:r>
              <w:rPr>
                <w:rFonts w:eastAsia="Calibri" w:cs="Calibri"/>
                <w:b/>
                <w:bCs/>
                <w:color w:val="1B4F72"/>
                <w:sz w:val="22"/>
                <w:szCs w:val="22"/>
              </w:rPr>
              <w:t>Décompresser le projet</w:t>
            </w:r>
          </w:p>
          <w:p>
            <w:pPr>
              <w:pStyle w:val="normal1"/>
              <w:spacing w:lineRule="auto" w:line="262" w:before="0" w:after="0"/>
              <w:rPr/>
            </w:pPr>
            <w:r>
              <w:rPr>
                <w:rFonts w:eastAsia="Calibri" w:cs="Calibri"/>
                <w:color w:val="2C3E50"/>
                <w:sz w:val="21"/>
                <w:szCs w:val="21"/>
              </w:rPr>
              <w:t>Décompresser l’archive du projet dans un dossier, par exemple C:\projets\Auditaccess</w:t>
            </w:r>
          </w:p>
        </w:tc>
      </w:tr>
    </w:tbl>
    <w:p>
      <w:pPr>
        <w:pStyle w:val="normal1"/>
        <w:spacing w:lineRule="auto" w:line="240" w:before="60" w:after="0"/>
        <w:rPr/>
      </w:pPr>
      <w:r>
        <w:rPr/>
      </w:r>
    </w:p>
    <w:tbl>
      <w:tblPr>
        <w:tblStyle w:val="Table28"/>
        <w:tblW w:w="9026" w:type="dxa"/>
        <w:jc w:val="start"/>
        <w:tblInd w:w="0" w:type="dxa"/>
        <w:tblLayout w:type="fixed"/>
        <w:tblCellMar>
          <w:top w:w="80" w:type="dxa"/>
          <w:start w:w="40" w:type="dxa"/>
          <w:bottom w:w="80" w:type="dxa"/>
          <w:end w:w="40" w:type="dxa"/>
        </w:tblCellMar>
        <w:tblLook w:val="0000"/>
      </w:tblPr>
      <w:tblGrid>
        <w:gridCol w:w="700"/>
        <w:gridCol w:w="8326"/>
      </w:tblGrid>
      <w:tr>
        <w:trPr/>
        <w:tc>
          <w:tcPr>
            <w:tcW w:w="700" w:type="dxa"/>
            <w:tcBorders/>
            <w:shd w:fill="2E86C1" w:val="clear"/>
            <w:vAlign w:val="center"/>
          </w:tcPr>
          <w:p>
            <w:pPr>
              <w:pStyle w:val="normal1"/>
              <w:jc w:val="center"/>
              <w:rPr/>
            </w:pPr>
            <w:r>
              <w:rPr>
                <w:rFonts w:eastAsia="Calibri" w:cs="Calibri"/>
                <w:b/>
                <w:bCs/>
                <w:color w:val="FFFFFF"/>
                <w:sz w:val="26"/>
                <w:szCs w:val="26"/>
              </w:rPr>
              <w:t>3</w:t>
            </w:r>
          </w:p>
        </w:tc>
        <w:tc>
          <w:tcPr>
            <w:tcW w:w="8326" w:type="dxa"/>
            <w:tcBorders>
              <w:bottom w:val="single" w:sz="4" w:space="0" w:color="BDC3C7"/>
            </w:tcBorders>
            <w:tcMar>
              <w:start w:w="160" w:type="dxa"/>
              <w:end w:w="80" w:type="dxa"/>
            </w:tcMar>
          </w:tcPr>
          <w:p>
            <w:pPr>
              <w:pStyle w:val="normal1"/>
              <w:spacing w:lineRule="auto" w:line="240" w:before="0" w:after="30"/>
              <w:rPr/>
            </w:pPr>
            <w:r>
              <w:rPr>
                <w:rFonts w:eastAsia="Calibri" w:cs="Calibri"/>
                <w:b/>
                <w:bCs/>
                <w:color w:val="1B4F72"/>
                <w:sz w:val="22"/>
                <w:szCs w:val="22"/>
              </w:rPr>
              <w:t>Lancer l’application</w:t>
            </w:r>
          </w:p>
          <w:p>
            <w:pPr>
              <w:pStyle w:val="normal1"/>
              <w:spacing w:lineRule="auto" w:line="262" w:before="0" w:after="0"/>
              <w:rPr/>
            </w:pPr>
            <w:r>
              <w:rPr>
                <w:rFonts w:eastAsia="Calibri" w:cs="Calibri"/>
                <w:color w:val="2C3E50"/>
                <w:sz w:val="21"/>
                <w:szCs w:val="21"/>
              </w:rPr>
              <w:t>Dans le terminal, naviguer vers le dossier du projet et taper : mvnw.cmd spring-boot:run. Attendre que le banner Auditaccess s’affiche et que le message « Started AuditaccessApplication » apparaisse.</w:t>
            </w:r>
          </w:p>
        </w:tc>
      </w:tr>
    </w:tbl>
    <w:p>
      <w:pPr>
        <w:pStyle w:val="normal1"/>
        <w:spacing w:lineRule="auto" w:line="240" w:before="60" w:after="0"/>
        <w:rPr/>
      </w:pPr>
      <w:r>
        <w:rPr/>
      </w:r>
    </w:p>
    <w:tbl>
      <w:tblPr>
        <w:tblStyle w:val="Table29"/>
        <w:tblW w:w="9026" w:type="dxa"/>
        <w:jc w:val="start"/>
        <w:tblInd w:w="0" w:type="dxa"/>
        <w:tblLayout w:type="fixed"/>
        <w:tblCellMar>
          <w:top w:w="80" w:type="dxa"/>
          <w:start w:w="40" w:type="dxa"/>
          <w:bottom w:w="80" w:type="dxa"/>
          <w:end w:w="40" w:type="dxa"/>
        </w:tblCellMar>
        <w:tblLook w:val="0000"/>
      </w:tblPr>
      <w:tblGrid>
        <w:gridCol w:w="700"/>
        <w:gridCol w:w="8326"/>
      </w:tblGrid>
      <w:tr>
        <w:trPr/>
        <w:tc>
          <w:tcPr>
            <w:tcW w:w="700" w:type="dxa"/>
            <w:tcBorders/>
            <w:shd w:fill="2E86C1" w:val="clear"/>
            <w:vAlign w:val="center"/>
          </w:tcPr>
          <w:p>
            <w:pPr>
              <w:pStyle w:val="normal1"/>
              <w:jc w:val="center"/>
              <w:rPr/>
            </w:pPr>
            <w:r>
              <w:rPr>
                <w:rFonts w:eastAsia="Calibri" w:cs="Calibri"/>
                <w:b/>
                <w:bCs/>
                <w:color w:val="FFFFFF"/>
                <w:sz w:val="26"/>
                <w:szCs w:val="26"/>
              </w:rPr>
              <w:t>4</w:t>
            </w:r>
          </w:p>
        </w:tc>
        <w:tc>
          <w:tcPr>
            <w:tcW w:w="8326" w:type="dxa"/>
            <w:tcBorders>
              <w:bottom w:val="single" w:sz="4" w:space="0" w:color="BDC3C7"/>
            </w:tcBorders>
            <w:tcMar>
              <w:start w:w="160" w:type="dxa"/>
              <w:end w:w="80" w:type="dxa"/>
            </w:tcMar>
          </w:tcPr>
          <w:p>
            <w:pPr>
              <w:pStyle w:val="normal1"/>
              <w:spacing w:lineRule="auto" w:line="240" w:before="0" w:after="30"/>
              <w:rPr/>
            </w:pPr>
            <w:r>
              <w:rPr>
                <w:rFonts w:eastAsia="Calibri" w:cs="Calibri"/>
                <w:b/>
                <w:bCs/>
                <w:color w:val="1B4F72"/>
                <w:sz w:val="22"/>
                <w:szCs w:val="22"/>
              </w:rPr>
              <w:t>Vérifier le fonctionnement</w:t>
            </w:r>
          </w:p>
          <w:p>
            <w:pPr>
              <w:pStyle w:val="normal1"/>
              <w:spacing w:lineRule="auto" w:line="262" w:before="0" w:after="0"/>
              <w:rPr/>
            </w:pPr>
            <w:r>
              <w:rPr>
                <w:rFonts w:eastAsia="Calibri" w:cs="Calibri"/>
                <w:color w:val="2C3E50"/>
                <w:sz w:val="21"/>
                <w:szCs w:val="21"/>
              </w:rPr>
              <w:t>Ouvrir le navigateur sur http://localhost:8080/api/health. Le résultat doit afficher status: UP et rulesLoaded: 13.</w:t>
            </w:r>
          </w:p>
        </w:tc>
      </w:tr>
    </w:tbl>
    <w:p>
      <w:pPr>
        <w:pStyle w:val="normal1"/>
        <w:spacing w:lineRule="auto" w:line="240" w:before="60" w:after="0"/>
        <w:rPr/>
      </w:pPr>
      <w:r>
        <w:rPr/>
      </w:r>
    </w:p>
    <w:tbl>
      <w:tblPr>
        <w:tblStyle w:val="Table30"/>
        <w:tblW w:w="9026" w:type="dxa"/>
        <w:jc w:val="start"/>
        <w:tblInd w:w="0" w:type="dxa"/>
        <w:tblLayout w:type="fixed"/>
        <w:tblCellMar>
          <w:top w:w="80" w:type="dxa"/>
          <w:start w:w="40" w:type="dxa"/>
          <w:bottom w:w="80" w:type="dxa"/>
          <w:end w:w="40" w:type="dxa"/>
        </w:tblCellMar>
        <w:tblLook w:val="0000"/>
      </w:tblPr>
      <w:tblGrid>
        <w:gridCol w:w="700"/>
        <w:gridCol w:w="8326"/>
      </w:tblGrid>
      <w:tr>
        <w:trPr/>
        <w:tc>
          <w:tcPr>
            <w:tcW w:w="700" w:type="dxa"/>
            <w:tcBorders/>
            <w:shd w:fill="2E86C1" w:val="clear"/>
            <w:vAlign w:val="center"/>
          </w:tcPr>
          <w:p>
            <w:pPr>
              <w:pStyle w:val="normal1"/>
              <w:jc w:val="center"/>
              <w:rPr/>
            </w:pPr>
            <w:r>
              <w:rPr>
                <w:rFonts w:eastAsia="Calibri" w:cs="Calibri"/>
                <w:b/>
                <w:bCs/>
                <w:color w:val="FFFFFF"/>
                <w:sz w:val="26"/>
                <w:szCs w:val="26"/>
              </w:rPr>
              <w:t>5</w:t>
            </w:r>
          </w:p>
        </w:tc>
        <w:tc>
          <w:tcPr>
            <w:tcW w:w="8326" w:type="dxa"/>
            <w:tcBorders>
              <w:bottom w:val="single" w:sz="4" w:space="0" w:color="BDC3C7"/>
            </w:tcBorders>
            <w:tcMar>
              <w:start w:w="160" w:type="dxa"/>
              <w:end w:w="80" w:type="dxa"/>
            </w:tcMar>
          </w:tcPr>
          <w:p>
            <w:pPr>
              <w:pStyle w:val="normal1"/>
              <w:spacing w:lineRule="auto" w:line="240" w:before="0" w:after="30"/>
              <w:rPr/>
            </w:pPr>
            <w:r>
              <w:rPr>
                <w:rFonts w:eastAsia="Calibri" w:cs="Calibri"/>
                <w:b/>
                <w:bCs/>
                <w:color w:val="1B4F72"/>
                <w:sz w:val="22"/>
                <w:szCs w:val="22"/>
              </w:rPr>
              <w:t>Ouvrir les dashboards</w:t>
            </w:r>
          </w:p>
          <w:p>
            <w:pPr>
              <w:pStyle w:val="normal1"/>
              <w:spacing w:lineRule="auto" w:line="262" w:before="0" w:after="0"/>
              <w:rPr/>
            </w:pPr>
            <w:r>
              <w:rPr>
                <w:rFonts w:eastAsia="Calibri" w:cs="Calibri"/>
                <w:color w:val="2C3E50"/>
                <w:sz w:val="21"/>
                <w:szCs w:val="21"/>
              </w:rPr>
              <w:t>Aller sur http://localhost:8080/ pour voir la page d’accueil avec les 3 tableaux de bord.</w:t>
            </w:r>
          </w:p>
        </w:tc>
      </w:tr>
    </w:tbl>
    <w:p>
      <w:pPr>
        <w:pStyle w:val="Heading2"/>
        <w:rPr/>
      </w:pPr>
      <w:r>
        <w:rPr/>
      </w:r>
    </w:p>
    <w:p>
      <w:pPr>
        <w:pStyle w:val="Heading2"/>
        <w:rPr/>
      </w:pPr>
      <w:r>
        <w:rPr/>
      </w:r>
    </w:p>
    <w:p>
      <w:pPr>
        <w:pStyle w:val="Heading2"/>
        <w:rPr/>
      </w:pPr>
      <w:r>
        <w:rPr/>
        <w:t>Fichiers de configuration</w:t>
      </w:r>
    </w:p>
    <w:p>
      <w:pPr>
        <w:pStyle w:val="normal1"/>
        <w:spacing w:lineRule="auto" w:line="276" w:before="0" w:after="120"/>
        <w:jc w:val="start"/>
        <w:rPr/>
      </w:pPr>
      <w:r>
        <w:rPr>
          <w:rFonts w:eastAsia="Calibri" w:cs="Calibri"/>
          <w:color w:val="2C3E50"/>
          <w:sz w:val="22"/>
          <w:szCs w:val="22"/>
        </w:rPr>
        <w:t>La configuration se fait dans le dossier src/main/resources/ :</w:t>
      </w:r>
    </w:p>
    <w:p>
      <w:pPr>
        <w:pStyle w:val="normal1"/>
        <w:spacing w:lineRule="auto" w:line="240" w:before="40" w:after="0"/>
        <w:rPr/>
      </w:pPr>
      <w:r>
        <w:rPr/>
      </w:r>
    </w:p>
    <w:tbl>
      <w:tblPr>
        <w:tblStyle w:val="Table31"/>
        <w:tblW w:w="9026" w:type="dxa"/>
        <w:jc w:val="start"/>
        <w:tblInd w:w="0" w:type="dxa"/>
        <w:tblLayout w:type="fixed"/>
        <w:tblCellMar>
          <w:top w:w="80" w:type="dxa"/>
          <w:start w:w="120" w:type="dxa"/>
          <w:bottom w:w="80" w:type="dxa"/>
          <w:end w:w="120" w:type="dxa"/>
        </w:tblCellMar>
        <w:tblLook w:val="0000"/>
      </w:tblPr>
      <w:tblGrid>
        <w:gridCol w:w="3000"/>
        <w:gridCol w:w="6026"/>
      </w:tblGrid>
      <w:tr>
        <w:trPr/>
        <w:tc>
          <w:tcPr>
            <w:tcW w:w="3000"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Fichier</w:t>
            </w:r>
          </w:p>
        </w:tc>
        <w:tc>
          <w:tcPr>
            <w:tcW w:w="6026"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Rôle</w:t>
            </w:r>
          </w:p>
        </w:tc>
      </w:tr>
      <w:tr>
        <w:trPr/>
        <w:tc>
          <w:tcPr>
            <w:tcW w:w="30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application.yml</w:t>
            </w:r>
          </w:p>
        </w:tc>
        <w:tc>
          <w:tcPr>
            <w:tcW w:w="60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Configuration principale (port, scheduler, intégrations)</w:t>
            </w:r>
          </w:p>
        </w:tc>
      </w:tr>
      <w:tr>
        <w:trPr/>
        <w:tc>
          <w:tcPr>
            <w:tcW w:w="30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application-dev.yml</w:t>
            </w:r>
          </w:p>
        </w:tc>
        <w:tc>
          <w:tcPr>
            <w:tcW w:w="60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Configuration spécifique au mode développement (H2, logs verbeux)</w:t>
            </w:r>
          </w:p>
        </w:tc>
      </w:tr>
      <w:tr>
        <w:trPr/>
        <w:tc>
          <w:tcPr>
            <w:tcW w:w="30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application-prod.yml</w:t>
            </w:r>
          </w:p>
        </w:tc>
        <w:tc>
          <w:tcPr>
            <w:tcW w:w="60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Configuration spécifique à la production (PostgreSQL, Scheduler actif)</w:t>
            </w:r>
          </w:p>
        </w:tc>
      </w:tr>
      <w:tr>
        <w:trPr/>
        <w:tc>
          <w:tcPr>
            <w:tcW w:w="30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.env</w:t>
            </w:r>
          </w:p>
        </w:tc>
        <w:tc>
          <w:tcPr>
            <w:tcW w:w="60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Secrets (mots de passe ServiceNow, tokens SailPoint). NE PAS commiter dans Git.</w:t>
            </w:r>
          </w:p>
        </w:tc>
      </w:tr>
    </w:tbl>
    <w:p>
      <w:pPr>
        <w:pStyle w:val="Heading2"/>
        <w:rPr/>
      </w:pPr>
      <w:r>
        <w:rPr/>
        <w:t>Configuration de ServiceNow</w:t>
      </w:r>
    </w:p>
    <w:p>
      <w:pPr>
        <w:pStyle w:val="Heading3"/>
        <w:rPr/>
      </w:pPr>
      <w:r>
        <w:rPr/>
        <w:t>Étape 1 : Créer un utilisateur API dans ServiceNow</w:t>
      </w:r>
    </w:p>
    <w:p>
      <w:pPr>
        <w:pStyle w:val="normal1"/>
        <w:spacing w:lineRule="auto" w:line="276" w:before="0" w:after="120"/>
        <w:jc w:val="start"/>
        <w:rPr/>
      </w:pPr>
      <w:r>
        <w:rPr>
          <w:rFonts w:eastAsia="Calibri" w:cs="Calibri"/>
          <w:color w:val="2C3E50"/>
          <w:sz w:val="22"/>
          <w:szCs w:val="22"/>
        </w:rPr>
        <w:t>Dans ServiceNow, allez dans System Administration → Users → New. Créez un utilisateur avec le nom « api_Auditaccess » et attribuez-lui les rôles « itil » et « rest_service ». Notez le mot de passe.</w:t>
      </w:r>
    </w:p>
    <w:p>
      <w:pPr>
        <w:pStyle w:val="Heading3"/>
        <w:rPr/>
      </w:pPr>
      <w:r>
        <w:rPr/>
      </w:r>
    </w:p>
    <w:p>
      <w:pPr>
        <w:pStyle w:val="Heading3"/>
        <w:rPr/>
      </w:pPr>
      <w:r>
        <w:rPr/>
        <w:t>Étape 2 : Renseigner les identifiants dans le fichier .env</w:t>
      </w:r>
    </w:p>
    <w:tbl>
      <w:tblPr>
        <w:tblStyle w:val="Table32"/>
        <w:tblW w:w="9026" w:type="dxa"/>
        <w:jc w:val="start"/>
        <w:tblInd w:w="0" w:type="dxa"/>
        <w:tblLayout w:type="fixed"/>
        <w:tblCellMar>
          <w:top w:w="120" w:type="dxa"/>
          <w:start w:w="200" w:type="dxa"/>
          <w:bottom w:w="120" w:type="dxa"/>
          <w:end w:w="200" w:type="dxa"/>
        </w:tblCellMar>
        <w:tblLook w:val="0000"/>
      </w:tblPr>
      <w:tblGrid>
        <w:gridCol w:w="9026"/>
      </w:tblGrid>
      <w:tr>
        <w:trPr/>
        <w:tc>
          <w:tcPr>
            <w:tcW w:w="9026" w:type="dxa"/>
            <w:tcBorders>
              <w:start w:val="single" w:sz="8" w:space="0" w:color="2980B9"/>
            </w:tcBorders>
            <w:shd w:fill="D6EAF8" w:val="clear"/>
          </w:tcPr>
          <w:p>
            <w:pPr>
              <w:pStyle w:val="normal1"/>
              <w:spacing w:lineRule="auto" w:line="240" w:before="0" w:after="60"/>
              <w:rPr/>
            </w:pPr>
            <w:r>
              <w:rPr>
                <w:rFonts w:eastAsia="Calibri" w:cs="Calibri"/>
                <w:b/>
                <w:bCs/>
                <w:color w:val="2980B9"/>
                <w:sz w:val="22"/>
                <w:szCs w:val="22"/>
              </w:rPr>
              <w:t>Fichier .env (secrets)</w:t>
            </w:r>
          </w:p>
          <w:p>
            <w:pPr>
              <w:pStyle w:val="normal1"/>
              <w:spacing w:lineRule="auto" w:line="262" w:before="0" w:after="50"/>
              <w:rPr/>
            </w:pPr>
            <w:r>
              <w:rPr>
                <w:rFonts w:eastAsia="Calibri" w:cs="Calibri"/>
                <w:color w:val="2C3E50"/>
                <w:sz w:val="21"/>
                <w:szCs w:val="21"/>
              </w:rPr>
              <w:t>SNOW_INSTANCE=votre-instance.service-now.com</w:t>
            </w:r>
          </w:p>
          <w:p>
            <w:pPr>
              <w:pStyle w:val="normal1"/>
              <w:spacing w:lineRule="auto" w:line="262" w:before="0" w:after="50"/>
              <w:rPr/>
            </w:pPr>
            <w:r>
              <w:rPr>
                <w:rFonts w:eastAsia="Calibri" w:cs="Calibri"/>
                <w:color w:val="2C3E50"/>
                <w:sz w:val="21"/>
                <w:szCs w:val="21"/>
              </w:rPr>
              <w:t>SNOW_USERNAME=api_Auditaccess</w:t>
            </w:r>
          </w:p>
          <w:p>
            <w:pPr>
              <w:pStyle w:val="normal1"/>
              <w:spacing w:lineRule="auto" w:line="262" w:before="0" w:after="50"/>
              <w:rPr/>
            </w:pPr>
            <w:r>
              <w:rPr>
                <w:rFonts w:eastAsia="Calibri" w:cs="Calibri"/>
                <w:color w:val="2C3E50"/>
                <w:sz w:val="21"/>
                <w:szCs w:val="21"/>
              </w:rPr>
              <w:t>SNOW_PASSWORD=le_mot_de_passe_cree</w:t>
            </w:r>
          </w:p>
        </w:tc>
      </w:tr>
    </w:tbl>
    <w:p>
      <w:pPr>
        <w:pStyle w:val="normal1"/>
        <w:spacing w:lineRule="auto" w:line="240" w:before="40" w:after="0"/>
        <w:rPr/>
      </w:pPr>
      <w:r>
        <w:rPr/>
      </w:r>
    </w:p>
    <w:p>
      <w:pPr>
        <w:pStyle w:val="Heading3"/>
        <w:rPr/>
      </w:pPr>
      <w:r>
        <w:rPr/>
        <w:t>Étape 3 : Activer l’intégration dans application.yml</w:t>
      </w:r>
    </w:p>
    <w:tbl>
      <w:tblPr>
        <w:tblStyle w:val="Table33"/>
        <w:tblW w:w="9026" w:type="dxa"/>
        <w:jc w:val="start"/>
        <w:tblInd w:w="0" w:type="dxa"/>
        <w:tblLayout w:type="fixed"/>
        <w:tblCellMar>
          <w:top w:w="120" w:type="dxa"/>
          <w:start w:w="200" w:type="dxa"/>
          <w:bottom w:w="120" w:type="dxa"/>
          <w:end w:w="200" w:type="dxa"/>
        </w:tblCellMar>
        <w:tblLook w:val="0000"/>
      </w:tblPr>
      <w:tblGrid>
        <w:gridCol w:w="9026"/>
      </w:tblGrid>
      <w:tr>
        <w:trPr/>
        <w:tc>
          <w:tcPr>
            <w:tcW w:w="9026" w:type="dxa"/>
            <w:tcBorders>
              <w:start w:val="single" w:sz="8" w:space="0" w:color="2980B9"/>
            </w:tcBorders>
            <w:shd w:fill="D6EAF8" w:val="clear"/>
          </w:tcPr>
          <w:p>
            <w:pPr>
              <w:pStyle w:val="normal1"/>
              <w:spacing w:lineRule="auto" w:line="240" w:before="0" w:after="60"/>
              <w:rPr/>
            </w:pPr>
            <w:r>
              <w:rPr>
                <w:rFonts w:eastAsia="Calibri" w:cs="Calibri"/>
                <w:b/>
                <w:bCs/>
                <w:color w:val="2980B9"/>
                <w:sz w:val="22"/>
                <w:szCs w:val="22"/>
              </w:rPr>
              <w:t>Section à modifier dans application.yml</w:t>
            </w:r>
          </w:p>
          <w:p>
            <w:pPr>
              <w:pStyle w:val="normal1"/>
              <w:spacing w:lineRule="auto" w:line="262" w:before="0" w:after="50"/>
              <w:rPr/>
            </w:pPr>
            <w:r>
              <w:rPr>
                <w:rFonts w:eastAsia="Calibri" w:cs="Calibri"/>
                <w:color w:val="2C3E50"/>
                <w:sz w:val="21"/>
                <w:szCs w:val="21"/>
              </w:rPr>
              <w:t>Auditaccess:</w:t>
            </w:r>
          </w:p>
          <w:p>
            <w:pPr>
              <w:pStyle w:val="normal1"/>
              <w:spacing w:lineRule="auto" w:line="262" w:before="0" w:after="50"/>
              <w:rPr/>
            </w:pPr>
            <w:r>
              <w:rPr>
                <w:rFonts w:eastAsia="Calibri" w:cs="Calibri"/>
                <w:color w:val="2C3E50"/>
                <w:sz w:val="21"/>
                <w:szCs w:val="21"/>
              </w:rPr>
              <w:t xml:space="preserve">  </w:t>
            </w:r>
            <w:r>
              <w:rPr>
                <w:rFonts w:eastAsia="Calibri" w:cs="Calibri"/>
                <w:color w:val="2C3E50"/>
                <w:sz w:val="21"/>
                <w:szCs w:val="21"/>
              </w:rPr>
              <w:t>integrations:</w:t>
            </w:r>
          </w:p>
          <w:p>
            <w:pPr>
              <w:pStyle w:val="normal1"/>
              <w:spacing w:lineRule="auto" w:line="262" w:before="0" w:after="50"/>
              <w:rPr/>
            </w:pPr>
            <w:r>
              <w:rPr>
                <w:rFonts w:eastAsia="Calibri" w:cs="Calibri"/>
                <w:color w:val="2C3E50"/>
                <w:sz w:val="21"/>
                <w:szCs w:val="21"/>
              </w:rPr>
              <w:t xml:space="preserve">    </w:t>
            </w:r>
            <w:r>
              <w:rPr>
                <w:rFonts w:eastAsia="Calibri" w:cs="Calibri"/>
                <w:color w:val="2C3E50"/>
                <w:sz w:val="21"/>
                <w:szCs w:val="21"/>
              </w:rPr>
              <w:t>servicenow:</w:t>
            </w:r>
          </w:p>
          <w:p>
            <w:pPr>
              <w:pStyle w:val="normal1"/>
              <w:spacing w:lineRule="auto" w:line="262" w:before="0" w:after="50"/>
              <w:rPr/>
            </w:pPr>
            <w:r>
              <w:rPr>
                <w:rFonts w:eastAsia="Calibri" w:cs="Calibri"/>
                <w:color w:val="2C3E50"/>
                <w:sz w:val="21"/>
                <w:szCs w:val="21"/>
              </w:rPr>
              <w:t xml:space="preserve">      </w:t>
            </w:r>
            <w:r>
              <w:rPr>
                <w:rFonts w:eastAsia="Calibri" w:cs="Calibri"/>
                <w:color w:val="2C3E50"/>
                <w:sz w:val="21"/>
                <w:szCs w:val="21"/>
              </w:rPr>
              <w:t>enabled: true       # &lt;-- changer false en true</w:t>
            </w:r>
          </w:p>
        </w:tc>
      </w:tr>
    </w:tbl>
    <w:p>
      <w:pPr>
        <w:pStyle w:val="normal1"/>
        <w:spacing w:lineRule="auto" w:line="240" w:before="40" w:after="0"/>
        <w:rPr/>
      </w:pPr>
      <w:r>
        <w:rPr/>
      </w:r>
    </w:p>
    <w:p>
      <w:pPr>
        <w:pStyle w:val="Heading3"/>
        <w:rPr/>
      </w:pPr>
      <w:r>
        <w:rPr/>
        <w:t>Étape 4 : Configurer le callback (optionnel)</w:t>
      </w:r>
    </w:p>
    <w:p>
      <w:pPr>
        <w:pStyle w:val="normal1"/>
        <w:spacing w:lineRule="auto" w:line="276" w:before="0" w:after="120"/>
        <w:jc w:val="start"/>
        <w:rPr/>
      </w:pPr>
      <w:r>
        <w:rPr>
          <w:rFonts w:eastAsia="Calibri" w:cs="Calibri"/>
          <w:color w:val="2C3E50"/>
          <w:sz w:val="22"/>
          <w:szCs w:val="22"/>
        </w:rPr>
        <w:t>Pour que ServiceNow notifie Auditaccess quand un incident change de statut, créez une Business Rule dans ServiceNow (voir la section correspondante dans le README).</w:t>
      </w:r>
    </w:p>
    <w:p>
      <w:pPr>
        <w:pStyle w:val="Heading2"/>
        <w:rPr/>
      </w:pPr>
      <w:r>
        <w:rPr/>
      </w:r>
    </w:p>
    <w:p>
      <w:pPr>
        <w:pStyle w:val="Heading2"/>
        <w:rPr/>
      </w:pPr>
      <w:r>
        <w:rPr/>
      </w:r>
    </w:p>
    <w:p>
      <w:pPr>
        <w:pStyle w:val="Heading2"/>
        <w:rPr/>
      </w:pPr>
      <w:r>
        <w:rPr/>
        <w:t>Configuration de SailPoint</w:t>
      </w:r>
    </w:p>
    <w:p>
      <w:pPr>
        <w:pStyle w:val="Heading3"/>
        <w:rPr/>
      </w:pPr>
      <w:r>
        <w:rPr/>
        <w:t>Étape 1 : Créer un Personal Access Token</w:t>
      </w:r>
    </w:p>
    <w:p>
      <w:pPr>
        <w:pStyle w:val="normal1"/>
        <w:spacing w:lineRule="auto" w:line="276" w:before="0" w:after="120"/>
        <w:jc w:val="start"/>
        <w:rPr/>
      </w:pPr>
      <w:r>
        <w:rPr>
          <w:rFonts w:eastAsia="Calibri" w:cs="Calibri"/>
          <w:color w:val="2C3E50"/>
          <w:sz w:val="22"/>
          <w:szCs w:val="22"/>
        </w:rPr>
        <w:t>Dans SailPoint Identity Security Cloud, allez dans Preferences → Personal Access Tokens → New Token. Notez le Client ID et le Client Secret générés.</w:t>
      </w:r>
    </w:p>
    <w:p>
      <w:pPr>
        <w:pStyle w:val="normal1"/>
        <w:spacing w:lineRule="auto" w:line="240" w:before="40" w:after="0"/>
        <w:rPr/>
      </w:pPr>
      <w:r>
        <w:rPr/>
      </w:r>
    </w:p>
    <w:p>
      <w:pPr>
        <w:pStyle w:val="Heading3"/>
        <w:rPr/>
      </w:pPr>
      <w:r>
        <w:rPr/>
        <w:t>Étape 2 : Renseigner les identifiants dans .env</w:t>
      </w:r>
    </w:p>
    <w:tbl>
      <w:tblPr>
        <w:tblStyle w:val="Table34"/>
        <w:tblW w:w="9026" w:type="dxa"/>
        <w:jc w:val="start"/>
        <w:tblInd w:w="0" w:type="dxa"/>
        <w:tblLayout w:type="fixed"/>
        <w:tblCellMar>
          <w:top w:w="120" w:type="dxa"/>
          <w:start w:w="200" w:type="dxa"/>
          <w:bottom w:w="120" w:type="dxa"/>
          <w:end w:w="200" w:type="dxa"/>
        </w:tblCellMar>
        <w:tblLook w:val="0000"/>
      </w:tblPr>
      <w:tblGrid>
        <w:gridCol w:w="9026"/>
      </w:tblGrid>
      <w:tr>
        <w:trPr/>
        <w:tc>
          <w:tcPr>
            <w:tcW w:w="9026" w:type="dxa"/>
            <w:tcBorders>
              <w:start w:val="single" w:sz="8" w:space="0" w:color="7D3C98"/>
            </w:tcBorders>
            <w:shd w:fill="E8DAEF" w:val="clear"/>
          </w:tcPr>
          <w:p>
            <w:pPr>
              <w:pStyle w:val="normal1"/>
              <w:spacing w:lineRule="auto" w:line="240" w:before="0" w:after="60"/>
              <w:rPr/>
            </w:pPr>
            <w:r>
              <w:rPr>
                <w:rFonts w:eastAsia="Calibri" w:cs="Calibri"/>
                <w:b/>
                <w:bCs/>
                <w:color w:val="7D3C98"/>
                <w:sz w:val="22"/>
                <w:szCs w:val="22"/>
              </w:rPr>
              <w:t>Fichier .env</w:t>
            </w:r>
          </w:p>
          <w:p>
            <w:pPr>
              <w:pStyle w:val="normal1"/>
              <w:spacing w:lineRule="auto" w:line="262" w:before="0" w:after="50"/>
              <w:rPr/>
            </w:pPr>
            <w:r>
              <w:rPr>
                <w:rFonts w:eastAsia="Calibri" w:cs="Calibri"/>
                <w:color w:val="2C3E50"/>
                <w:sz w:val="21"/>
                <w:szCs w:val="21"/>
              </w:rPr>
              <w:t>SP_TENANT=votre-tenant</w:t>
            </w:r>
          </w:p>
          <w:p>
            <w:pPr>
              <w:pStyle w:val="normal1"/>
              <w:spacing w:lineRule="auto" w:line="262" w:before="0" w:after="50"/>
              <w:rPr/>
            </w:pPr>
            <w:r>
              <w:rPr>
                <w:rFonts w:eastAsia="Calibri" w:cs="Calibri"/>
                <w:color w:val="2C3E50"/>
                <w:sz w:val="21"/>
                <w:szCs w:val="21"/>
              </w:rPr>
              <w:t>SP_CLIENT_ID=le_client_id_genere</w:t>
            </w:r>
          </w:p>
          <w:p>
            <w:pPr>
              <w:pStyle w:val="normal1"/>
              <w:spacing w:lineRule="auto" w:line="262" w:before="0" w:after="50"/>
              <w:rPr/>
            </w:pPr>
            <w:r>
              <w:rPr>
                <w:rFonts w:eastAsia="Calibri" w:cs="Calibri"/>
                <w:color w:val="2C3E50"/>
                <w:sz w:val="21"/>
                <w:szCs w:val="21"/>
              </w:rPr>
              <w:t>SP_CLIENT_SECRET=le_client_secret_genere</w:t>
            </w:r>
          </w:p>
          <w:p>
            <w:pPr>
              <w:pStyle w:val="normal1"/>
              <w:spacing w:lineRule="auto" w:line="262" w:before="0" w:after="50"/>
              <w:rPr/>
            </w:pPr>
            <w:r>
              <w:rPr>
                <w:rFonts w:eastAsia="Calibri" w:cs="Calibri"/>
                <w:color w:val="2C3E50"/>
                <w:sz w:val="21"/>
                <w:szCs w:val="21"/>
              </w:rPr>
              <w:t>SP_WEBHOOK_SECRET=un_secret_de_votre_choix</w:t>
            </w:r>
          </w:p>
        </w:tc>
      </w:tr>
    </w:tbl>
    <w:p>
      <w:pPr>
        <w:pStyle w:val="normal1"/>
        <w:spacing w:lineRule="auto" w:line="240" w:before="40" w:after="0"/>
        <w:rPr/>
      </w:pPr>
      <w:r>
        <w:rPr/>
      </w:r>
    </w:p>
    <w:p>
      <w:pPr>
        <w:pStyle w:val="Heading3"/>
        <w:rPr/>
      </w:pPr>
      <w:r>
        <w:rPr/>
        <w:t>Étape 3 : Activer l’intégration dans application.yml</w:t>
      </w:r>
    </w:p>
    <w:tbl>
      <w:tblPr>
        <w:tblStyle w:val="Table35"/>
        <w:tblW w:w="9026" w:type="dxa"/>
        <w:jc w:val="start"/>
        <w:tblInd w:w="0" w:type="dxa"/>
        <w:tblLayout w:type="fixed"/>
        <w:tblCellMar>
          <w:top w:w="120" w:type="dxa"/>
          <w:start w:w="200" w:type="dxa"/>
          <w:bottom w:w="120" w:type="dxa"/>
          <w:end w:w="200" w:type="dxa"/>
        </w:tblCellMar>
        <w:tblLook w:val="0000"/>
      </w:tblPr>
      <w:tblGrid>
        <w:gridCol w:w="9026"/>
      </w:tblGrid>
      <w:tr>
        <w:trPr/>
        <w:tc>
          <w:tcPr>
            <w:tcW w:w="9026" w:type="dxa"/>
            <w:tcBorders>
              <w:start w:val="single" w:sz="8" w:space="0" w:color="7D3C98"/>
            </w:tcBorders>
            <w:shd w:fill="E8DAEF" w:val="clear"/>
          </w:tcPr>
          <w:p>
            <w:pPr>
              <w:pStyle w:val="normal1"/>
              <w:spacing w:lineRule="auto" w:line="240" w:before="0" w:after="60"/>
              <w:rPr/>
            </w:pPr>
            <w:r>
              <w:rPr>
                <w:rFonts w:eastAsia="Calibri" w:cs="Calibri"/>
                <w:b/>
                <w:bCs/>
                <w:color w:val="7D3C98"/>
                <w:sz w:val="22"/>
                <w:szCs w:val="22"/>
              </w:rPr>
              <w:t>Section à modifier</w:t>
            </w:r>
          </w:p>
          <w:p>
            <w:pPr>
              <w:pStyle w:val="normal1"/>
              <w:spacing w:lineRule="auto" w:line="262" w:before="0" w:after="50"/>
              <w:rPr/>
            </w:pPr>
            <w:r>
              <w:rPr>
                <w:rFonts w:eastAsia="Calibri" w:cs="Calibri"/>
                <w:color w:val="2C3E50"/>
                <w:sz w:val="21"/>
                <w:szCs w:val="21"/>
              </w:rPr>
              <w:t>Auditaccess:</w:t>
            </w:r>
          </w:p>
          <w:p>
            <w:pPr>
              <w:pStyle w:val="normal1"/>
              <w:spacing w:lineRule="auto" w:line="262" w:before="0" w:after="50"/>
              <w:rPr/>
            </w:pPr>
            <w:r>
              <w:rPr>
                <w:rFonts w:eastAsia="Calibri" w:cs="Calibri"/>
                <w:color w:val="2C3E50"/>
                <w:sz w:val="21"/>
                <w:szCs w:val="21"/>
              </w:rPr>
              <w:t xml:space="preserve">  </w:t>
            </w:r>
            <w:r>
              <w:rPr>
                <w:rFonts w:eastAsia="Calibri" w:cs="Calibri"/>
                <w:color w:val="2C3E50"/>
                <w:sz w:val="21"/>
                <w:szCs w:val="21"/>
              </w:rPr>
              <w:t>integrations:</w:t>
            </w:r>
          </w:p>
          <w:p>
            <w:pPr>
              <w:pStyle w:val="normal1"/>
              <w:spacing w:lineRule="auto" w:line="262" w:before="0" w:after="50"/>
              <w:rPr/>
            </w:pPr>
            <w:r>
              <w:rPr>
                <w:rFonts w:eastAsia="Calibri" w:cs="Calibri"/>
                <w:color w:val="2C3E50"/>
                <w:sz w:val="21"/>
                <w:szCs w:val="21"/>
              </w:rPr>
              <w:t xml:space="preserve">    </w:t>
            </w:r>
            <w:r>
              <w:rPr>
                <w:rFonts w:eastAsia="Calibri" w:cs="Calibri"/>
                <w:color w:val="2C3E50"/>
                <w:sz w:val="21"/>
                <w:szCs w:val="21"/>
              </w:rPr>
              <w:t>sailpoint:</w:t>
            </w:r>
          </w:p>
          <w:p>
            <w:pPr>
              <w:pStyle w:val="normal1"/>
              <w:spacing w:lineRule="auto" w:line="262" w:before="0" w:after="50"/>
              <w:rPr/>
            </w:pPr>
            <w:r>
              <w:rPr>
                <w:rFonts w:eastAsia="Calibri" w:cs="Calibri"/>
                <w:color w:val="2C3E50"/>
                <w:sz w:val="21"/>
                <w:szCs w:val="21"/>
              </w:rPr>
              <w:t xml:space="preserve">      </w:t>
            </w:r>
            <w:r>
              <w:rPr>
                <w:rFonts w:eastAsia="Calibri" w:cs="Calibri"/>
                <w:color w:val="2C3E50"/>
                <w:sz w:val="21"/>
                <w:szCs w:val="21"/>
              </w:rPr>
              <w:t>enabled: true       # &lt;-- changer false en true</w:t>
            </w:r>
          </w:p>
        </w:tc>
      </w:tr>
    </w:tbl>
    <w:p>
      <w:pPr>
        <w:pStyle w:val="normal1"/>
        <w:spacing w:lineRule="auto" w:line="240" w:before="40" w:after="0"/>
        <w:rPr/>
      </w:pPr>
      <w:r>
        <w:rPr/>
      </w:r>
    </w:p>
    <w:p>
      <w:pPr>
        <w:pStyle w:val="Heading3"/>
        <w:rPr/>
      </w:pPr>
      <w:r>
        <w:rPr/>
        <w:t>Étape 4 : Configurer les Event Triggers dans SailPoint</w:t>
      </w:r>
    </w:p>
    <w:p>
      <w:pPr>
        <w:pStyle w:val="normal1"/>
        <w:spacing w:lineRule="auto" w:line="276" w:before="0" w:after="120"/>
        <w:jc w:val="start"/>
        <w:rPr/>
      </w:pPr>
      <w:r>
        <w:rPr>
          <w:rFonts w:eastAsia="Calibri" w:cs="Calibri"/>
          <w:color w:val="2C3E50"/>
          <w:sz w:val="22"/>
          <w:szCs w:val="22"/>
        </w:rPr>
        <w:t>Dans SailPoint Admin → Event Triggers, sélectionnez un trigger (par exemple « Policy Violation »), cliquez sur + Subscribe, choisissez le type HTTP, et renseignez :</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bCs/>
          <w:i w:val="false"/>
          <w:iCs w:val="false"/>
          <w:caps w:val="false"/>
          <w:smallCaps w:val="false"/>
          <w:strike w:val="false"/>
          <w:dstrike w:val="false"/>
          <w:color w:val="2C3E50"/>
          <w:position w:val="0"/>
          <w:sz w:val="22"/>
          <w:szCs w:val="22"/>
          <w:u w:val="none"/>
          <w:shd w:fill="auto" w:val="clear"/>
          <w:vertAlign w:val="baseline"/>
        </w:rPr>
        <w:t xml:space="preserve">Integration URL : </w:t>
      </w: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https://votre-Auditaccess.domaine.com/api/webhooks/sailpoint</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bCs/>
          <w:i w:val="false"/>
          <w:iCs w:val="false"/>
          <w:caps w:val="false"/>
          <w:smallCaps w:val="false"/>
          <w:strike w:val="false"/>
          <w:dstrike w:val="false"/>
          <w:color w:val="2C3E50"/>
          <w:position w:val="0"/>
          <w:sz w:val="22"/>
          <w:szCs w:val="22"/>
          <w:u w:val="none"/>
          <w:shd w:fill="auto" w:val="clear"/>
          <w:vertAlign w:val="baseline"/>
        </w:rPr>
        <w:t xml:space="preserve">Auth Type : </w:t>
      </w: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Bearer Token</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bCs/>
          <w:i w:val="false"/>
          <w:iCs w:val="false"/>
          <w:caps w:val="false"/>
          <w:smallCaps w:val="false"/>
          <w:strike w:val="false"/>
          <w:dstrike w:val="false"/>
          <w:color w:val="2C3E50"/>
          <w:position w:val="0"/>
          <w:sz w:val="22"/>
          <w:szCs w:val="22"/>
          <w:u w:val="none"/>
          <w:shd w:fill="auto" w:val="clear"/>
          <w:vertAlign w:val="baseline"/>
        </w:rPr>
        <w:t xml:space="preserve">Token : </w:t>
      </w: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la valeur de SP_WEBHOOK_SECRET que vous avez choisie</w:t>
      </w:r>
    </w:p>
    <w:p>
      <w:pPr>
        <w:pStyle w:val="normal1"/>
        <w:spacing w:lineRule="auto" w:line="276" w:before="0" w:after="120"/>
        <w:jc w:val="start"/>
        <w:rPr/>
      </w:pPr>
      <w:r>
        <w:rPr>
          <w:rFonts w:eastAsia="Calibri" w:cs="Calibri"/>
          <w:color w:val="2C3E50"/>
          <w:sz w:val="22"/>
          <w:szCs w:val="22"/>
        </w:rPr>
        <w:t>Répétez pour chaque type d’événement que vous souhaitez surveiller.</w:t>
      </w:r>
    </w:p>
    <w:p>
      <w:pPr>
        <w:pStyle w:val="Heading2"/>
        <w:rPr/>
      </w:pPr>
      <w:r>
        <w:rPr/>
        <w:t>Déploiement Docker</w:t>
      </w:r>
    </w:p>
    <w:p>
      <w:pPr>
        <w:pStyle w:val="normal1"/>
        <w:spacing w:lineRule="auto" w:line="276" w:before="0" w:after="120"/>
        <w:jc w:val="start"/>
        <w:rPr/>
      </w:pPr>
      <w:r>
        <w:rPr>
          <w:rFonts w:eastAsia="Calibri" w:cs="Calibri"/>
          <w:color w:val="2C3E50"/>
          <w:sz w:val="22"/>
          <w:szCs w:val="22"/>
        </w:rPr>
        <w:t>Auditaccess peut fonctionner dans des conteneurs Docker pour un déploiement standardisé.</w:t>
      </w:r>
    </w:p>
    <w:p>
      <w:pPr>
        <w:pStyle w:val="Heading3"/>
        <w:rPr/>
      </w:pPr>
      <w:r>
        <w:rPr/>
        <w:t>Mode développement (base H2 en mémoire)</w:t>
      </w:r>
    </w:p>
    <w:tbl>
      <w:tblPr>
        <w:tblStyle w:val="Table36"/>
        <w:tblW w:w="9026" w:type="dxa"/>
        <w:jc w:val="start"/>
        <w:tblInd w:w="0" w:type="dxa"/>
        <w:tblLayout w:type="fixed"/>
        <w:tblCellMar>
          <w:top w:w="120" w:type="dxa"/>
          <w:start w:w="200" w:type="dxa"/>
          <w:bottom w:w="120" w:type="dxa"/>
          <w:end w:w="200" w:type="dxa"/>
        </w:tblCellMar>
        <w:tblLook w:val="0000"/>
      </w:tblPr>
      <w:tblGrid>
        <w:gridCol w:w="9026"/>
      </w:tblGrid>
      <w:tr>
        <w:trPr/>
        <w:tc>
          <w:tcPr>
            <w:tcW w:w="9026" w:type="dxa"/>
            <w:tcBorders>
              <w:start w:val="single" w:sz="8" w:space="0" w:color="27AE60"/>
            </w:tcBorders>
            <w:shd w:fill="EAFAF1" w:val="clear"/>
          </w:tcPr>
          <w:p>
            <w:pPr>
              <w:pStyle w:val="normal1"/>
              <w:spacing w:lineRule="auto" w:line="240" w:before="0" w:after="60"/>
              <w:rPr/>
            </w:pPr>
            <w:r>
              <w:rPr>
                <w:rFonts w:eastAsia="Calibri" w:cs="Calibri"/>
                <w:b/>
                <w:bCs/>
                <w:color w:val="27AE60"/>
                <w:sz w:val="22"/>
                <w:szCs w:val="22"/>
              </w:rPr>
              <w:t>Commande</w:t>
            </w:r>
          </w:p>
          <w:p>
            <w:pPr>
              <w:pStyle w:val="normal1"/>
              <w:spacing w:lineRule="auto" w:line="262" w:before="0" w:after="50"/>
              <w:rPr/>
            </w:pPr>
            <w:r>
              <w:rPr>
                <w:rFonts w:eastAsia="Calibri" w:cs="Calibri"/>
                <w:color w:val="2C3E50"/>
                <w:sz w:val="21"/>
                <w:szCs w:val="21"/>
              </w:rPr>
              <w:t>docker compose up --build</w:t>
            </w:r>
          </w:p>
        </w:tc>
      </w:tr>
    </w:tbl>
    <w:p>
      <w:pPr>
        <w:pStyle w:val="normal1"/>
        <w:spacing w:lineRule="auto" w:line="276" w:before="0" w:after="120"/>
        <w:jc w:val="start"/>
        <w:rPr/>
      </w:pPr>
      <w:r>
        <w:rPr>
          <w:rFonts w:eastAsia="Calibri" w:cs="Calibri"/>
          <w:color w:val="2C3E50"/>
          <w:sz w:val="22"/>
          <w:szCs w:val="22"/>
        </w:rPr>
        <w:t>L’application démarre sur le port 8080 avec une base de données en mémoire (les données sont perdues à l’arrêt).</w:t>
      </w:r>
    </w:p>
    <w:p>
      <w:pPr>
        <w:pStyle w:val="Heading3"/>
        <w:rPr/>
      </w:pPr>
      <w:r>
        <w:rPr/>
        <w:t>Mode production (PostgreSQL)</w:t>
      </w:r>
    </w:p>
    <w:tbl>
      <w:tblPr>
        <w:tblStyle w:val="Table37"/>
        <w:tblW w:w="9026" w:type="dxa"/>
        <w:jc w:val="start"/>
        <w:tblInd w:w="0" w:type="dxa"/>
        <w:tblLayout w:type="fixed"/>
        <w:tblCellMar>
          <w:top w:w="120" w:type="dxa"/>
          <w:start w:w="200" w:type="dxa"/>
          <w:bottom w:w="120" w:type="dxa"/>
          <w:end w:w="200" w:type="dxa"/>
        </w:tblCellMar>
        <w:tblLook w:val="0000"/>
      </w:tblPr>
      <w:tblGrid>
        <w:gridCol w:w="9026"/>
      </w:tblGrid>
      <w:tr>
        <w:trPr/>
        <w:tc>
          <w:tcPr>
            <w:tcW w:w="9026" w:type="dxa"/>
            <w:tcBorders>
              <w:start w:val="single" w:sz="8" w:space="0" w:color="27AE60"/>
            </w:tcBorders>
            <w:shd w:fill="EAFAF1" w:val="clear"/>
          </w:tcPr>
          <w:p>
            <w:pPr>
              <w:pStyle w:val="normal1"/>
              <w:spacing w:lineRule="auto" w:line="240" w:before="0" w:after="60"/>
              <w:rPr/>
            </w:pPr>
            <w:r>
              <w:rPr>
                <w:rFonts w:eastAsia="Calibri" w:cs="Calibri"/>
                <w:b/>
                <w:bCs/>
                <w:color w:val="27AE60"/>
                <w:sz w:val="22"/>
                <w:szCs w:val="22"/>
              </w:rPr>
              <w:t>Commande</w:t>
            </w:r>
          </w:p>
          <w:p>
            <w:pPr>
              <w:pStyle w:val="normal1"/>
              <w:spacing w:lineRule="auto" w:line="262" w:before="0" w:after="50"/>
              <w:rPr/>
            </w:pPr>
            <w:r>
              <w:rPr>
                <w:rFonts w:eastAsia="Calibri" w:cs="Calibri"/>
                <w:color w:val="2C3E50"/>
                <w:sz w:val="21"/>
                <w:szCs w:val="21"/>
              </w:rPr>
              <w:t>docker compose --profile prod up --build</w:t>
            </w:r>
          </w:p>
        </w:tc>
      </w:tr>
    </w:tbl>
    <w:p>
      <w:pPr>
        <w:pStyle w:val="normal1"/>
        <w:spacing w:lineRule="auto" w:line="276" w:before="0" w:after="120"/>
        <w:jc w:val="start"/>
        <w:rPr/>
      </w:pPr>
      <w:r>
        <w:rPr>
          <w:rFonts w:eastAsia="Calibri" w:cs="Calibri"/>
          <w:color w:val="2C3E50"/>
          <w:sz w:val="22"/>
          <w:szCs w:val="22"/>
        </w:rPr>
        <w:t>Cette commande démarre deux conteneurs : PostgreSQL 16 (base de données persistante) et Auditaccess. Les données sont conservées dans un volume Docker.</w:t>
      </w:r>
    </w:p>
    <w:p>
      <w:pPr>
        <w:pStyle w:val="Heading2"/>
        <w:rPr/>
      </w:pPr>
      <w:r>
        <w:rPr/>
        <w:t>Lancer les tests automatisés</w:t>
      </w:r>
    </w:p>
    <w:p>
      <w:pPr>
        <w:pStyle w:val="normal1"/>
        <w:spacing w:lineRule="auto" w:line="276" w:before="0" w:after="120"/>
        <w:jc w:val="start"/>
        <w:rPr/>
      </w:pPr>
      <w:r>
        <w:rPr>
          <w:rFonts w:eastAsia="Calibri" w:cs="Calibri"/>
          <w:color w:val="2C3E50"/>
          <w:sz w:val="22"/>
          <w:szCs w:val="22"/>
        </w:rPr>
        <w:t>Un script de test complet est fourni. Il exécute 50 tests couvrant tous les endpoints de l’application :</w:t>
      </w:r>
    </w:p>
    <w:tbl>
      <w:tblPr>
        <w:tblStyle w:val="Table38"/>
        <w:tblW w:w="9026" w:type="dxa"/>
        <w:jc w:val="start"/>
        <w:tblInd w:w="0" w:type="dxa"/>
        <w:tblLayout w:type="fixed"/>
        <w:tblCellMar>
          <w:top w:w="120" w:type="dxa"/>
          <w:start w:w="200" w:type="dxa"/>
          <w:bottom w:w="120" w:type="dxa"/>
          <w:end w:w="200" w:type="dxa"/>
        </w:tblCellMar>
        <w:tblLook w:val="0000"/>
      </w:tblPr>
      <w:tblGrid>
        <w:gridCol w:w="9026"/>
      </w:tblGrid>
      <w:tr>
        <w:trPr/>
        <w:tc>
          <w:tcPr>
            <w:tcW w:w="9026" w:type="dxa"/>
            <w:tcBorders>
              <w:start w:val="single" w:sz="8" w:space="0" w:color="27AE60"/>
            </w:tcBorders>
            <w:shd w:fill="EAFAF1" w:val="clear"/>
          </w:tcPr>
          <w:p>
            <w:pPr>
              <w:pStyle w:val="normal1"/>
              <w:spacing w:lineRule="auto" w:line="240" w:before="0" w:after="60"/>
              <w:rPr/>
            </w:pPr>
            <w:r>
              <w:rPr>
                <w:rFonts w:eastAsia="Calibri" w:cs="Calibri"/>
                <w:b/>
                <w:bCs/>
                <w:color w:val="27AE60"/>
                <w:sz w:val="22"/>
                <w:szCs w:val="22"/>
              </w:rPr>
              <w:t>Commande (dans CMD, pas PowerShell)</w:t>
            </w:r>
          </w:p>
          <w:p>
            <w:pPr>
              <w:pStyle w:val="normal1"/>
              <w:spacing w:lineRule="auto" w:line="262" w:before="0" w:after="50"/>
              <w:rPr/>
            </w:pPr>
            <w:r>
              <w:rPr>
                <w:rFonts w:eastAsia="Calibri" w:cs="Calibri"/>
                <w:color w:val="2C3E50"/>
                <w:sz w:val="21"/>
                <w:szCs w:val="21"/>
              </w:rPr>
              <w:t>tests-Auditaccess.bat</w:t>
            </w:r>
          </w:p>
        </w:tc>
      </w:tr>
    </w:tbl>
    <w:p>
      <w:pPr>
        <w:pStyle w:val="normal1"/>
        <w:spacing w:lineRule="auto" w:line="276" w:before="0" w:after="120"/>
        <w:jc w:val="start"/>
        <w:rPr/>
      </w:pPr>
      <w:r>
        <w:rPr>
          <w:rFonts w:eastAsia="Calibri" w:cs="Calibri"/>
          <w:color w:val="2C3E50"/>
          <w:sz w:val="22"/>
          <w:szCs w:val="22"/>
        </w:rPr>
        <w:t>Le script fait une pause entre chaque section pour que vous puissiez lire les résultats. Les 13 sections couvrent : santé, sites, audits, rapports, async, batch, configuration, scheduler, tickets, filtrage, résolution, webhooks, et statistiques.</w:t>
      </w:r>
    </w:p>
    <w:p>
      <w:pPr>
        <w:pStyle w:val="Heading2"/>
        <w:rPr/>
      </w:pPr>
      <w:r>
        <w:rPr/>
        <w:t>Dépannage</w:t>
      </w:r>
    </w:p>
    <w:tbl>
      <w:tblPr>
        <w:tblStyle w:val="Table39"/>
        <w:tblW w:w="9026" w:type="dxa"/>
        <w:jc w:val="start"/>
        <w:tblInd w:w="0" w:type="dxa"/>
        <w:tblLayout w:type="fixed"/>
        <w:tblCellMar>
          <w:top w:w="80" w:type="dxa"/>
          <w:start w:w="120" w:type="dxa"/>
          <w:bottom w:w="80" w:type="dxa"/>
          <w:end w:w="120" w:type="dxa"/>
        </w:tblCellMar>
        <w:tblLook w:val="0000"/>
      </w:tblPr>
      <w:tblGrid>
        <w:gridCol w:w="2600"/>
        <w:gridCol w:w="2800"/>
        <w:gridCol w:w="3626"/>
      </w:tblGrid>
      <w:tr>
        <w:trPr/>
        <w:tc>
          <w:tcPr>
            <w:tcW w:w="2600"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Problème</w:t>
            </w:r>
          </w:p>
        </w:tc>
        <w:tc>
          <w:tcPr>
            <w:tcW w:w="2800"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Cause probable</w:t>
            </w:r>
          </w:p>
        </w:tc>
        <w:tc>
          <w:tcPr>
            <w:tcW w:w="3626" w:type="dxa"/>
            <w:tcBorders>
              <w:top w:val="single" w:sz="4" w:space="0" w:color="BDC3C7"/>
              <w:start w:val="single" w:sz="4" w:space="0" w:color="BDC3C7"/>
              <w:bottom w:val="single" w:sz="4" w:space="0" w:color="BDC3C7"/>
              <w:end w:val="single" w:sz="4" w:space="0" w:color="BDC3C7"/>
            </w:tcBorders>
            <w:shd w:fill="1B4F72" w:val="clear"/>
          </w:tcPr>
          <w:p>
            <w:pPr>
              <w:pStyle w:val="normal1"/>
              <w:rPr/>
            </w:pPr>
            <w:r>
              <w:rPr>
                <w:rFonts w:eastAsia="Calibri" w:cs="Calibri"/>
                <w:b/>
                <w:bCs/>
                <w:color w:val="FFFFFF"/>
                <w:sz w:val="20"/>
                <w:szCs w:val="20"/>
              </w:rPr>
              <w:t>Solution</w:t>
            </w:r>
          </w:p>
        </w:tc>
      </w:tr>
      <w:tr>
        <w:trPr/>
        <w:tc>
          <w:tcPr>
            <w:tcW w:w="26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L’app ne démarre pas</w:t>
            </w:r>
          </w:p>
        </w:tc>
        <w:tc>
          <w:tcPr>
            <w:tcW w:w="28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Java 21 non installé</w:t>
            </w:r>
          </w:p>
        </w:tc>
        <w:tc>
          <w:tcPr>
            <w:tcW w:w="36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Installer via winget install EclipseAdoptium.Temurin.21.JDK</w:t>
            </w:r>
          </w:p>
        </w:tc>
      </w:tr>
      <w:tr>
        <w:trPr/>
        <w:tc>
          <w:tcPr>
            <w:tcW w:w="26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Port 8080 déjà utilisé</w:t>
            </w:r>
          </w:p>
        </w:tc>
        <w:tc>
          <w:tcPr>
            <w:tcW w:w="28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Autre application sur le port</w:t>
            </w:r>
          </w:p>
        </w:tc>
        <w:tc>
          <w:tcPr>
            <w:tcW w:w="36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Arrêter l’autre app ou changer le port dans application.yml (server.port)</w:t>
            </w:r>
          </w:p>
        </w:tc>
      </w:tr>
      <w:tr>
        <w:trPr/>
        <w:tc>
          <w:tcPr>
            <w:tcW w:w="26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Swagger UI ne s’affiche pas</w:t>
            </w:r>
          </w:p>
        </w:tc>
        <w:tc>
          <w:tcPr>
            <w:tcW w:w="28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Dépendance manquante</w:t>
            </w:r>
          </w:p>
        </w:tc>
        <w:tc>
          <w:tcPr>
            <w:tcW w:w="36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Vérifier springdoc-openapi dans pom.xml</w:t>
            </w:r>
          </w:p>
        </w:tc>
      </w:tr>
      <w:tr>
        <w:trPr/>
        <w:tc>
          <w:tcPr>
            <w:tcW w:w="26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Score DSFR = 0 sur un site .gouv.fr</w:t>
            </w:r>
          </w:p>
        </w:tc>
        <w:tc>
          <w:tcPr>
            <w:tcW w:w="28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Le site ne charge pas le CSS DSFR sur la page d’accueil</w:t>
            </w:r>
          </w:p>
        </w:tc>
        <w:tc>
          <w:tcPr>
            <w:tcW w:w="36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Tester une page intérieure du site</w:t>
            </w:r>
          </w:p>
        </w:tc>
      </w:tr>
      <w:tr>
        <w:trPr/>
        <w:tc>
          <w:tcPr>
            <w:tcW w:w="26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Audit très lent (&gt; 30s)</w:t>
            </w:r>
          </w:p>
        </w:tc>
        <w:tc>
          <w:tcPr>
            <w:tcW w:w="28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Le site est lent ou bloque le crawl</w:t>
            </w:r>
          </w:p>
        </w:tc>
        <w:tc>
          <w:tcPr>
            <w:tcW w:w="36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Vérifier que le site n’a pas de protection anti-bot</w:t>
            </w:r>
          </w:p>
        </w:tc>
      </w:tr>
      <w:tr>
        <w:trPr/>
        <w:tc>
          <w:tcPr>
            <w:tcW w:w="26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ServiceNow : connected=false</w:t>
            </w:r>
          </w:p>
        </w:tc>
        <w:tc>
          <w:tcPr>
            <w:tcW w:w="28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Identifiants incorrects ou réseau</w:t>
            </w:r>
          </w:p>
        </w:tc>
        <w:tc>
          <w:tcPr>
            <w:tcW w:w="36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Vérifier .env et tester l’URL dans le navigateur</w:t>
            </w:r>
          </w:p>
        </w:tc>
      </w:tr>
      <w:tr>
        <w:trPr/>
        <w:tc>
          <w:tcPr>
            <w:tcW w:w="26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SailPoint : connected=false</w:t>
            </w:r>
          </w:p>
        </w:tc>
        <w:tc>
          <w:tcPr>
            <w:tcW w:w="28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Tenant ou token incorrect</w:t>
            </w:r>
          </w:p>
        </w:tc>
        <w:tc>
          <w:tcPr>
            <w:tcW w:w="36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Vérifier SP_TENANT, SP_CLIENT_ID, SP_CLIENT_SECRET dans .env</w:t>
            </w:r>
          </w:p>
        </w:tc>
      </w:tr>
      <w:tr>
        <w:trPr/>
        <w:tc>
          <w:tcPr>
            <w:tcW w:w="26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Webhook SailPoint : 401 Unauthorized</w:t>
            </w:r>
          </w:p>
        </w:tc>
        <w:tc>
          <w:tcPr>
            <w:tcW w:w="28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Token webhook incorrect</w:t>
            </w:r>
          </w:p>
        </w:tc>
        <w:tc>
          <w:tcPr>
            <w:tcW w:w="36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Vérifier que SP_WEBHOOK_SECRET dans .env correspond au Bearer Token dans SailPoint</w:t>
            </w:r>
          </w:p>
        </w:tc>
      </w:tr>
      <w:tr>
        <w:trPr/>
        <w:tc>
          <w:tcPr>
            <w:tcW w:w="26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Les dashboards ne s’affichent pas</w:t>
            </w:r>
          </w:p>
        </w:tc>
        <w:tc>
          <w:tcPr>
            <w:tcW w:w="2800"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Fichiers HTML pas dans static/</w:t>
            </w:r>
          </w:p>
        </w:tc>
        <w:tc>
          <w:tcPr>
            <w:tcW w:w="3626" w:type="dxa"/>
            <w:tcBorders>
              <w:top w:val="single" w:sz="4" w:space="0" w:color="BDC3C7"/>
              <w:start w:val="single" w:sz="4" w:space="0" w:color="BDC3C7"/>
              <w:bottom w:val="single" w:sz="4" w:space="0" w:color="BDC3C7"/>
              <w:end w:val="single" w:sz="4" w:space="0" w:color="BDC3C7"/>
            </w:tcBorders>
            <w:shd w:fill="EBF5FB" w:val="clear"/>
          </w:tcPr>
          <w:p>
            <w:pPr>
              <w:pStyle w:val="normal1"/>
              <w:spacing w:lineRule="auto" w:line="262"/>
              <w:rPr/>
            </w:pPr>
            <w:r>
              <w:rPr>
                <w:rFonts w:eastAsia="Calibri" w:cs="Calibri"/>
                <w:color w:val="2C3E50"/>
                <w:sz w:val="20"/>
                <w:szCs w:val="20"/>
              </w:rPr>
              <w:t>Vérifier que admin.html, exploitation.html, integrations.html sont dans src/main/resources/static/</w:t>
            </w:r>
          </w:p>
        </w:tc>
      </w:tr>
      <w:tr>
        <w:trPr/>
        <w:tc>
          <w:tcPr>
            <w:tcW w:w="26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Les caractères accentés sont cassés dans CMD</w:t>
            </w:r>
          </w:p>
        </w:tc>
        <w:tc>
          <w:tcPr>
            <w:tcW w:w="2800"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Encodage CMD</w:t>
            </w:r>
          </w:p>
        </w:tc>
        <w:tc>
          <w:tcPr>
            <w:tcW w:w="3626" w:type="dxa"/>
            <w:tcBorders>
              <w:top w:val="single" w:sz="4" w:space="0" w:color="BDC3C7"/>
              <w:start w:val="single" w:sz="4" w:space="0" w:color="BDC3C7"/>
              <w:bottom w:val="single" w:sz="4" w:space="0" w:color="BDC3C7"/>
              <w:end w:val="single" w:sz="4" w:space="0" w:color="BDC3C7"/>
            </w:tcBorders>
            <w:shd w:fill="FFFFFF" w:val="clear"/>
          </w:tcPr>
          <w:p>
            <w:pPr>
              <w:pStyle w:val="normal1"/>
              <w:spacing w:lineRule="auto" w:line="262"/>
              <w:rPr/>
            </w:pPr>
            <w:r>
              <w:rPr>
                <w:rFonts w:eastAsia="Calibri" w:cs="Calibri"/>
                <w:color w:val="2C3E50"/>
                <w:sz w:val="20"/>
                <w:szCs w:val="20"/>
              </w:rPr>
              <w:t>Exécuter chcp 65001 avant les commandes curl</w:t>
            </w:r>
          </w:p>
        </w:tc>
      </w:tr>
    </w:tbl>
    <w:p>
      <w:pPr>
        <w:pStyle w:val="Heading2"/>
        <w:rPr/>
      </w:pPr>
      <w:r>
        <w:rPr/>
        <w:t>Recommandations de sécurité</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Ne jamais commiter le fichier .env dans Git (l’ajouter dans .gitignore)</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Utiliser OAuth 2.0 plutôt que Basic Auth pour ServiceNow en production</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Renouveler régulièrement les tokens SailPoint (Personal Access Tokens)</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En production, protéger l’API avec Spring Security + JWT</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Activer HTTPS (via Nginx ou le reverse proxy Dokploy)</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Le webhook SailPoint est protégé par un Bearer Token (SP_WEBHOOK_SECRET)</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Limiter l’accès à /h2-console en production (désactivé dans le profil prod)</w:t>
      </w:r>
    </w:p>
    <w:p>
      <w:pPr>
        <w:pStyle w:val="normal1"/>
        <w:keepNext w:val="false"/>
        <w:keepLines w:val="false"/>
        <w:pageBreakBefore w:val="false"/>
        <w:widowControl/>
        <w:numPr>
          <w:ilvl w:val="0"/>
          <w:numId w:val="1"/>
        </w:numPr>
        <w:shd w:val="clear" w:fill="auto"/>
        <w:spacing w:lineRule="auto" w:line="276" w:before="0" w:after="80"/>
        <w:ind w:hanging="360" w:start="720" w:end="0"/>
        <w:jc w:val="start"/>
        <w:rPr/>
      </w:pPr>
      <w:r>
        <w:rPr>
          <w:rFonts w:eastAsia="Calibri" w:cs="Calibri"/>
          <w:b w:val="false"/>
          <w:bCs w:val="false"/>
          <w:i w:val="false"/>
          <w:iCs w:val="false"/>
          <w:caps w:val="false"/>
          <w:smallCaps w:val="false"/>
          <w:strike w:val="false"/>
          <w:dstrike w:val="false"/>
          <w:color w:val="2C3E50"/>
          <w:position w:val="0"/>
          <w:sz w:val="22"/>
          <w:szCs w:val="22"/>
          <w:u w:val="none"/>
          <w:shd w:fill="auto" w:val="clear"/>
          <w:vertAlign w:val="baseline"/>
        </w:rPr>
        <w:t>Les conteneurs Docker utilisent un utilisateur non-root (« audit »)</w:t>
      </w:r>
    </w:p>
    <w:p>
      <w:pPr>
        <w:pStyle w:val="normal1"/>
        <w:spacing w:lineRule="auto" w:line="240" w:before="200" w:after="0"/>
        <w:rPr/>
      </w:pPr>
      <w:r>
        <w:rPr/>
      </w:r>
    </w:p>
    <w:p>
      <w:pPr>
        <w:pStyle w:val="normal1"/>
        <w:spacing w:lineRule="auto" w:line="276" w:before="0" w:after="120"/>
        <w:jc w:val="center"/>
        <w:rPr/>
      </w:pPr>
      <w:r>
        <w:rPr>
          <w:rFonts w:eastAsia="Calibri" w:cs="Calibri"/>
          <w:i/>
          <w:iCs/>
          <w:color w:val="5D6D7E"/>
          <w:sz w:val="22"/>
          <w:szCs w:val="22"/>
        </w:rPr>
        <w:t>Fin de la documentation — Auditaccess v1.0 — Mai 2026</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4" w:color="BDC3C7"/>
      </w:pBdr>
      <w:jc w:val="center"/>
      <w:rPr/>
    </w:pPr>
    <w:r>
      <w:rPr>
        <w:rFonts w:eastAsia="Calibri" w:cs="Calibri"/>
        <w:color w:val="5D6D7E"/>
        <w:sz w:val="18"/>
        <w:szCs w:val="18"/>
      </w:rPr>
      <w:t xml:space="preserve">Page </w:t>
    </w: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4" w:color="BDC3C7"/>
      </w:pBdr>
      <w:jc w:val="center"/>
      <w:rPr/>
    </w:pPr>
    <w:r>
      <w:rPr>
        <w:rFonts w:eastAsia="Calibri" w:cs="Calibri"/>
        <w:color w:val="5D6D7E"/>
        <w:sz w:val="18"/>
        <w:szCs w:val="18"/>
      </w:rPr>
      <w:t xml:space="preserve">Page </w:t>
    </w:r>
    <w:r>
      <w:rPr/>
      <w:fldChar w:fldCharType="begin"/>
    </w:r>
    <w:r>
      <w:rPr/>
      <w:instrText xml:space="preserve"> PAGE </w:instrText>
    </w:r>
    <w:r>
      <w:rPr/>
      <w:fldChar w:fldCharType="separate"/>
    </w:r>
    <w:r>
      <w:rPr/>
      <w:t>13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4" w:color="2E86C1"/>
      </w:pBdr>
      <w:jc w:val="end"/>
      <w:rPr/>
    </w:pPr>
    <w:r>
      <w:rPr>
        <w:rFonts w:eastAsia="Calibri" w:cs="Calibri"/>
        <w:i/>
        <w:iCs/>
        <w:color w:val="2E86C1"/>
        <w:sz w:val="18"/>
        <w:szCs w:val="18"/>
      </w:rPr>
      <w:t>Auditaccess — Documentation complète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4" w:color="2E86C1"/>
      </w:pBdr>
      <w:jc w:val="end"/>
      <w:rPr/>
    </w:pPr>
    <w:r>
      <w:rPr>
        <w:rFonts w:eastAsia="Calibri" w:cs="Calibri"/>
        <w:i/>
        <w:iCs/>
        <w:color w:val="2E86C1"/>
        <w:sz w:val="18"/>
        <w:szCs w:val="18"/>
      </w:rPr>
      <w:t>Auditaccess — Documentation complète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C3E50"/>
        <w:sz w:val="22"/>
        <w:szCs w:val="22"/>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2C3E50"/>
      <w:kern w:val="0"/>
      <w:sz w:val="22"/>
      <w:szCs w:val="22"/>
      <w:lang w:val="fr-FR" w:eastAsia="zh-CN" w:bidi="hi-IN"/>
    </w:rPr>
  </w:style>
  <w:style w:type="paragraph" w:styleId="Heading1">
    <w:name w:val="heading 1"/>
    <w:basedOn w:val="normal1"/>
    <w:next w:val="normal1"/>
    <w:qFormat/>
    <w:pPr>
      <w:keepNext w:val="false"/>
      <w:keepLines w:val="false"/>
      <w:pageBreakBefore w:val="false"/>
      <w:widowControl/>
      <w:pBdr>
        <w:bottom w:val="single" w:sz="4" w:space="4" w:color="2E86C1"/>
      </w:pBdr>
      <w:shd w:val="clear" w:fill="auto"/>
      <w:spacing w:lineRule="auto" w:line="240" w:before="360" w:after="200"/>
      <w:ind w:hanging="0" w:start="0" w:end="0"/>
      <w:jc w:val="start"/>
    </w:pPr>
    <w:rPr>
      <w:rFonts w:ascii="Calibri" w:hAnsi="Calibri" w:eastAsia="Calibri" w:cs="Calibri"/>
      <w:b/>
      <w:bCs/>
      <w:i w:val="false"/>
      <w:iCs w:val="false"/>
      <w:caps w:val="false"/>
      <w:smallCaps w:val="false"/>
      <w:strike w:val="false"/>
      <w:dstrike w:val="false"/>
      <w:color w:val="1B4F72"/>
      <w:position w:val="0"/>
      <w:sz w:val="36"/>
      <w:szCs w:val="36"/>
      <w:u w:val="none"/>
      <w:shd w:fill="auto" w:val="clear"/>
      <w:vertAlign w:val="baseline"/>
    </w:rPr>
  </w:style>
  <w:style w:type="paragraph" w:styleId="Heading2">
    <w:name w:val="heading 2"/>
    <w:basedOn w:val="normal1"/>
    <w:next w:val="normal1"/>
    <w:qFormat/>
    <w:pPr>
      <w:keepNext w:val="false"/>
      <w:keepLines w:val="false"/>
      <w:pageBreakBefore w:val="false"/>
      <w:widowControl/>
      <w:shd w:val="clear" w:fill="auto"/>
      <w:spacing w:lineRule="auto" w:line="240" w:before="280" w:after="160"/>
      <w:ind w:hanging="0" w:start="0" w:end="0"/>
      <w:jc w:val="start"/>
    </w:pPr>
    <w:rPr>
      <w:rFonts w:ascii="Calibri" w:hAnsi="Calibri" w:eastAsia="Calibri" w:cs="Calibri"/>
      <w:b/>
      <w:bCs/>
      <w:i w:val="false"/>
      <w:iCs w:val="false"/>
      <w:caps w:val="false"/>
      <w:smallCaps w:val="false"/>
      <w:strike w:val="false"/>
      <w:dstrike w:val="false"/>
      <w:color w:val="2E86C1"/>
      <w:position w:val="0"/>
      <w:sz w:val="30"/>
      <w:szCs w:val="30"/>
      <w:u w:val="none"/>
      <w:shd w:fill="auto" w:val="clear"/>
      <w:vertAlign w:val="baseline"/>
    </w:rPr>
  </w:style>
  <w:style w:type="paragraph" w:styleId="Heading3">
    <w:name w:val="heading 3"/>
    <w:basedOn w:val="normal1"/>
    <w:next w:val="normal1"/>
    <w:qFormat/>
    <w:pPr>
      <w:keepNext w:val="false"/>
      <w:keepLines w:val="false"/>
      <w:pageBreakBefore w:val="false"/>
      <w:widowControl/>
      <w:shd w:val="clear" w:fill="auto"/>
      <w:spacing w:lineRule="auto" w:line="240" w:before="200" w:after="120"/>
      <w:ind w:hanging="0" w:start="0" w:end="0"/>
      <w:jc w:val="start"/>
    </w:pPr>
    <w:rPr>
      <w:rFonts w:ascii="Calibri" w:hAnsi="Calibri" w:eastAsia="Calibri" w:cs="Calibri"/>
      <w:b/>
      <w:bCs/>
      <w:i w:val="false"/>
      <w:iCs w:val="false"/>
      <w:caps w:val="false"/>
      <w:smallCaps w:val="false"/>
      <w:strike w:val="false"/>
      <w:dstrike w:val="false"/>
      <w:color w:val="E67E22"/>
      <w:position w:val="0"/>
      <w:sz w:val="26"/>
      <w:szCs w:val="26"/>
      <w:u w:val="none"/>
      <w:shd w:fill="auto" w:val="clear"/>
      <w:vertAlign w:val="baseline"/>
    </w:rPr>
  </w:style>
  <w:style w:type="paragraph" w:styleId="Heading4">
    <w:name w:val="heading 4"/>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iCs/>
      <w:caps w:val="false"/>
      <w:smallCaps w:val="false"/>
      <w:strike w:val="false"/>
      <w:dstrike w:val="false"/>
      <w:color w:val="2E74B5"/>
      <w:position w:val="0"/>
      <w:sz w:val="22"/>
      <w:szCs w:val="22"/>
      <w:u w:val="none"/>
      <w:shd w:fill="auto" w:val="clear"/>
      <w:vertAlign w:val="baseline"/>
    </w:rPr>
  </w:style>
  <w:style w:type="paragraph" w:styleId="Heading5">
    <w:name w:val="heading 5"/>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2E74B5"/>
      <w:position w:val="0"/>
      <w:sz w:val="22"/>
      <w:szCs w:val="22"/>
      <w:u w:val="none"/>
      <w:shd w:fill="auto" w:val="clear"/>
      <w:vertAlign w:val="baseline"/>
    </w:rPr>
  </w:style>
  <w:style w:type="paragraph" w:styleId="Heading6">
    <w:name w:val="heading 6"/>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1F4D78"/>
      <w:position w:val="0"/>
      <w:sz w:val="22"/>
      <w:szCs w:val="22"/>
      <w:u w:val="none"/>
      <w:shd w:fill="auto" w:val="clear"/>
      <w:vertAlign w:val="baseline"/>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normal1" w:default="1">
    <w:name w:val="normal1"/>
    <w:qFormat/>
    <w:pPr>
      <w:widowControl/>
      <w:suppressAutoHyphens w:val="true"/>
      <w:bidi w:val="0"/>
      <w:spacing w:before="0" w:after="0"/>
      <w:jc w:val="start"/>
    </w:pPr>
    <w:rPr>
      <w:rFonts w:ascii="Calibri" w:hAnsi="Calibri" w:eastAsia="Calibri" w:cs="Calibri"/>
      <w:color w:val="2C3E50"/>
      <w:kern w:val="0"/>
      <w:sz w:val="22"/>
      <w:szCs w:val="22"/>
      <w:lang w:val="fr-FR" w:eastAsia="zh-CN" w:bidi="hi-IN"/>
    </w:rPr>
  </w:style>
  <w:style w:type="paragraph" w:styleId="Title">
    <w:name w:val="Title"/>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2C3E5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En-tteetpieddepageuser"/>
    <w:pPr/>
    <w:rPr/>
  </w:style>
  <w:style w:type="paragraph" w:styleId="Footer">
    <w:name w:val="footer"/>
    <w:basedOn w:val="En-tteetpieddepageuser"/>
    <w:pPr/>
    <w:rPr/>
  </w:style>
  <w:style w:type="paragraph" w:styleId="Contenudetableauuser">
    <w:name w:val="Contenu de tableau (user)"/>
    <w:basedOn w:val="Normal"/>
    <w:qFormat/>
    <w:pPr>
      <w:widowControl w:val="false"/>
      <w:suppressLineNumbers/>
    </w:pPr>
    <w:rPr/>
  </w:style>
  <w:style w:type="paragraph" w:styleId="Titredetableauuser">
    <w:name w:val="Titre de tableau (user)"/>
    <w:basedOn w:val="Contenudetableauuser"/>
    <w:qFormat/>
    <w:pPr>
      <w:suppressLineNumbers/>
      <w:jc w:val="center"/>
    </w:pPr>
    <w:rPr>
      <w:b/>
      <w:bCs/>
    </w:rPr>
  </w:style>
  <w:style w:type="paragraph" w:styleId="Blocdecitationuser">
    <w:name w:val="Bloc de citation (user)"/>
    <w:basedOn w:val="Normal"/>
    <w:qFormat/>
    <w:pPr>
      <w:spacing w:before="0" w:after="283"/>
      <w:ind w:hanging="0" w:start="567" w:end="567"/>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ocalhost:8080/"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63</TotalTime>
  <Application>LibreOffice/26.2.1.2$Windows_X86_64 LibreOffice_project/620$Build-2</Application>
  <AppVersion>15.0000</AppVersion>
  <Pages>13</Pages>
  <Words>2987</Words>
  <Characters>16929</Characters>
  <CharactersWithSpaces>19511</CharactersWithSpaces>
  <Paragraphs>448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dcterms:modified xsi:type="dcterms:W3CDTF">2026-05-07T21:52:17Z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