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民事起诉状</w:t>
      </w:r>
    </w:p>
    <w:p>
      <w:r>
        <w:t>原告上海星澜智能科技有限公司与被告杭州青岚贸易有限公司存在买卖合同争议。</w:t>
      </w:r>
    </w:p>
    <w:p>
      <w:r>
        <w:t>住所地：上海市浦东新区星澜路88号。</w:t>
      </w:r>
    </w:p>
    <w:p>
      <w:r>
        <w:t>2026年2月10日，双方签署供货安排并完成部分交付。</w:t>
      </w:r>
    </w:p>
    <w:p>
      <w:r>
        <w:t>诉讼请求：请求判令被告支付人民币320,000元。</w:t>
      </w:r>
    </w:p>
    <w:p>
      <w:r>
        <w:t>事实与理由：证据1为送货单，证据2为对账单。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