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Times New Roman" w:hAnsi="Times New Roman" w:eastAsia="SimHei"/>
          <w:b/>
          <w:sz w:val="36"/>
        </w:rPr>
        <w:t>第三次补强计划（v2.1，整合 codex 两轮反馈）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论文题目</w:t>
      </w:r>
      <w:r>
        <w:rPr>
          <w:rFonts w:ascii="Times New Roman" w:hAnsi="Times New Roman" w:eastAsia="SimSun"/>
          <w:b w:val="0"/>
          <w:sz w:val="21"/>
        </w:rPr>
        <w:t>：Guarded Federated Unlearning via Retained-Set Curvature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当前版本</w:t>
      </w:r>
      <w:r>
        <w:rPr>
          <w:rFonts w:ascii="Times New Roman" w:hAnsi="Times New Roman" w:eastAsia="SimSun"/>
          <w:b w:val="0"/>
          <w:sz w:val="21"/>
        </w:rPr>
        <w:t>：paper_draft_submission_v2_uestc_template.docx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计划周期</w:t>
      </w:r>
      <w:r>
        <w:rPr>
          <w:rFonts w:ascii="Times New Roman" w:hAnsi="Times New Roman" w:eastAsia="SimSun"/>
          <w:b w:val="0"/>
          <w:sz w:val="21"/>
        </w:rPr>
        <w:t>：4 周（约一个月）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计划起始日</w:t>
      </w:r>
      <w:r>
        <w:rPr>
          <w:rFonts w:ascii="Times New Roman" w:hAnsi="Times New Roman" w:eastAsia="SimSun"/>
          <w:b w:val="0"/>
          <w:sz w:val="21"/>
        </w:rPr>
        <w:t>：2026-05-18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v2 修订</w:t>
      </w:r>
      <w:r>
        <w:rPr>
          <w:rFonts w:ascii="Times New Roman" w:hAnsi="Times New Roman" w:eastAsia="SimSun"/>
          <w:b w:val="0"/>
          <w:sz w:val="21"/>
        </w:rPr>
        <w:t>（第一轮 codex 反馈）：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组织方式从"周次驱动"改为"信号驱动 + 优先级队列"，避免单项卡住拖整体投稿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删除 FedEraser-lite、NPO、7B 模型扩展三项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LiRA-lite 降级为 P4，loss-based MIA 单独前置为 P2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α=0.1 非 IID 从主表降至 appendix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新增 GA + guards 作为关键 ablation baseline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新增低成本跨模型族验证（LLaMA-3.2-1B 或 Pythia-1.4B）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论文主线表述按 codex 建议重写（sign-misalignment + guarded controlled unlearning）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Retrain baseline 重新定位为 oracle / upper-bound reference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v2.1 修订</w:t>
      </w:r>
      <w:r>
        <w:rPr>
          <w:rFonts w:ascii="Times New Roman" w:hAnsi="Times New Roman" w:eastAsia="SimSun"/>
          <w:b w:val="0"/>
          <w:sz w:val="21"/>
        </w:rPr>
        <w:t>（第二轮 codex 反馈，针对仓库代码细节）：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MIA 脚本路径从 </w:t>
      </w:r>
      <w:r>
        <w:rPr>
          <w:rFonts w:ascii="Consolas" w:hAnsi="Consolas" w:eastAsia="SimSun"/>
          <w:b w:val="0"/>
          <w:sz w:val="20"/>
        </w:rPr>
        <w:t>evaluations/mia_loss_based.py</w:t>
      </w:r>
      <w:r>
        <w:rPr>
          <w:rFonts w:ascii="Times New Roman" w:hAnsi="Times New Roman" w:eastAsia="SimSun"/>
          <w:b w:val="0"/>
          <w:sz w:val="21"/>
        </w:rPr>
        <w:t xml:space="preserve"> 改为 </w:t>
      </w:r>
      <w:r>
        <w:rPr>
          <w:rFonts w:ascii="Consolas" w:hAnsi="Consolas" w:eastAsia="SimSun"/>
          <w:b w:val="0"/>
          <w:sz w:val="20"/>
        </w:rPr>
        <w:t>scripts/mia_loss_based.py</w:t>
      </w:r>
      <w:r>
        <w:rPr>
          <w:rFonts w:ascii="Times New Roman" w:hAnsi="Times New Roman" w:eastAsia="SimSun"/>
          <w:b w:val="0"/>
          <w:sz w:val="21"/>
        </w:rPr>
        <w:t xml:space="preserve">，避免与顶层 </w:t>
      </w:r>
      <w:r>
        <w:rPr>
          <w:rFonts w:ascii="Consolas" w:hAnsi="Consolas" w:eastAsia="SimSun"/>
          <w:b w:val="0"/>
          <w:sz w:val="20"/>
        </w:rPr>
        <w:t>evaluations.py</w:t>
      </w:r>
      <w:r>
        <w:rPr>
          <w:rFonts w:ascii="Times New Roman" w:hAnsi="Times New Roman" w:eastAsia="SimSun"/>
          <w:b w:val="0"/>
          <w:sz w:val="21"/>
        </w:rPr>
        <w:t xml:space="preserve"> 冲突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Non-IID 不需要改 </w:t>
      </w:r>
      <w:r>
        <w:rPr>
          <w:rFonts w:ascii="Consolas" w:hAnsi="Consolas" w:eastAsia="SimSun"/>
          <w:b w:val="0"/>
          <w:sz w:val="20"/>
        </w:rPr>
        <w:t>partition_data.py</w:t>
      </w:r>
      <w:r>
        <w:rPr>
          <w:rFonts w:ascii="Times New Roman" w:hAnsi="Times New Roman" w:eastAsia="SimSun"/>
          <w:b w:val="0"/>
          <w:sz w:val="21"/>
        </w:rPr>
        <w:t xml:space="preserve">，使用现有 </w:t>
      </w:r>
      <w:r>
        <w:rPr>
          <w:rFonts w:ascii="Consolas" w:hAnsi="Consolas" w:eastAsia="SimSun"/>
          <w:b w:val="0"/>
          <w:sz w:val="20"/>
        </w:rPr>
        <w:t>--iid dir0.5</w:t>
      </w:r>
      <w:r>
        <w:rPr>
          <w:rFonts w:ascii="Times New Roman" w:hAnsi="Times New Roman" w:eastAsia="SimSun"/>
          <w:b w:val="0"/>
          <w:sz w:val="21"/>
        </w:rPr>
        <w:t xml:space="preserve"> 直接接线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Consolas" w:hAnsi="Consolas" w:eastAsia="SimSun"/>
          <w:b w:val="0"/>
          <w:sz w:val="20"/>
        </w:rPr>
        <w:t>accepted_steps</w:t>
      </w:r>
      <w:r>
        <w:rPr>
          <w:rFonts w:ascii="Times New Roman" w:hAnsi="Times New Roman" w:eastAsia="SimSun"/>
          <w:b w:val="0"/>
          <w:sz w:val="21"/>
        </w:rPr>
        <w:t xml:space="preserve"> 等字段已在 </w:t>
      </w:r>
      <w:r>
        <w:rPr>
          <w:rFonts w:ascii="Consolas" w:hAnsi="Consolas" w:eastAsia="SimSun"/>
          <w:b w:val="0"/>
          <w:sz w:val="20"/>
        </w:rPr>
        <w:t>summary.csv</w:t>
      </w:r>
      <w:r>
        <w:rPr>
          <w:rFonts w:ascii="Times New Roman" w:hAnsi="Times New Roman" w:eastAsia="SimSun"/>
          <w:b w:val="0"/>
          <w:sz w:val="21"/>
        </w:rPr>
        <w:t xml:space="preserve"> 中（</w:t>
      </w:r>
      <w:r>
        <w:rPr>
          <w:rFonts w:ascii="Consolas" w:hAnsi="Consolas" w:eastAsia="SimSun"/>
          <w:b w:val="0"/>
          <w:sz w:val="20"/>
        </w:rPr>
        <w:t>unlearn_steps_accepted</w:t>
      </w:r>
      <w:r>
        <w:rPr>
          <w:rFonts w:ascii="Times New Roman" w:hAnsi="Times New Roman" w:eastAsia="SimSun"/>
          <w:b w:val="0"/>
          <w:sz w:val="21"/>
        </w:rPr>
        <w:t xml:space="preserve"> 等），P2 这部分是表格映射工作而非新实现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P2 实验矩阵明确：4 unlearning methods × 5 seeds + 2~4 组 reference（retrain oracle 不进 critical path）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P5 跨族首选 LLaMA-3.2-1B，Pythia-1.4B 需额外改 LoRA target modules，不是零成本平替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新增原则：MIA member/non-member 集与现有 zeroshot eval set 解耦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明确成功硬底线：D+28 前完成 P1+P2+P3，P4 只保 GA-with-guards，LiRA-lite 与 P5 不阻塞投稿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一、核心主线（论文最终要讲的故事）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按 codex 的建议，论文的中心论点统一为：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&gt; 我们识别了 retained-curvature unlearning 中的 </w:t>
      </w:r>
      <w:r>
        <w:rPr>
          <w:rFonts w:ascii="Times New Roman" w:hAnsi="Times New Roman" w:eastAsia="SimSun"/>
          <w:b/>
          <w:sz w:val="21"/>
        </w:rPr>
        <w:t>sign-misalignment 问题</w:t>
      </w:r>
      <w:r>
        <w:rPr>
          <w:rFonts w:ascii="Times New Roman" w:hAnsi="Times New Roman" w:eastAsia="SimSun"/>
          <w:b w:val="0"/>
          <w:sz w:val="21"/>
        </w:rPr>
        <w:t>，并给出一种带 guard 的</w:t>
      </w:r>
      <w:r>
        <w:rPr>
          <w:rFonts w:ascii="Times New Roman" w:hAnsi="Times New Roman" w:eastAsia="SimSun"/>
          <w:b/>
          <w:sz w:val="21"/>
        </w:rPr>
        <w:t>可审计控制方案</w:t>
      </w:r>
      <w:r>
        <w:rPr>
          <w:rFonts w:ascii="Times New Roman" w:hAnsi="Times New Roman" w:eastAsia="SimSun"/>
          <w:b w:val="0"/>
          <w:sz w:val="21"/>
        </w:rPr>
        <w:t>，在 utility preservation 上优于更激进的 forgetting update，同时提供可测的 forgetting evidence。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不再使用以下两种写法：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~~"我们其实很强，只是之前没说好"（现有证据不支持）~~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~~"method is better understood as utility-preserving rather than universally strongest"（过度克制，自我削弱）~~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Retrain baseline 重新定位</w:t>
      </w:r>
      <w:r>
        <w:rPr>
          <w:rFonts w:ascii="Times New Roman" w:hAnsi="Times New Roman" w:eastAsia="SimSun"/>
          <w:b w:val="0"/>
          <w:sz w:val="21"/>
        </w:rPr>
        <w:t>：定义为 oracle / exact-forgetting upper-bound reference，代表理想极限，</w:t>
      </w:r>
      <w:r>
        <w:rPr>
          <w:rFonts w:ascii="Times New Roman" w:hAnsi="Times New Roman" w:eastAsia="SimSun"/>
          <w:b/>
          <w:sz w:val="21"/>
        </w:rPr>
        <w:t>不属于本文要解决的 post-training regime</w:t>
      </w:r>
      <w:r>
        <w:rPr>
          <w:rFonts w:ascii="Times New Roman" w:hAnsi="Times New Roman" w:eastAsia="SimSun"/>
          <w:b w:val="0"/>
          <w:sz w:val="21"/>
        </w:rPr>
        <w:t>，因此不与之做胜负比较。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二、信号驱动优先级队列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按"对核心主线的支撑度"排序，从 P1 到 P5。前面项目未完成不开后面项目。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优先级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任务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目标产出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估时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**P1**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Claims + MIA protocol 定义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一页技术备忘录 + 评估代码骨架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 天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**P2**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主 setting 上 loss-based MIA + GA baseline + 5 seeds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升级版 Table 3、新增 MIA AUC 列、accepted-steps 字段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 天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**P3**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Non-IID α=0.5 复现主对比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新增 §5.6，主对比在两种划分下的对照表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天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**P4**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第二 baseline（GA-with-guards 消融） + LiRA-lite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主表新增 ablation 行 + 一组 LiRA AUC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天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**P5**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跨模型族（LLaMA-3.2-1B 或 Pythia-1.4B） + 半页理论小节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一组跨族结果 + §3.9 supporting rationale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天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**W**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全文重写、图表重做、相关工作扩充、投稿包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paper v3 + cover letter + highlights + graphical abstract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 天</w:t>
            </w:r>
          </w:p>
        </w:tc>
      </w:tr>
    </w:tbl>
    <w:p/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合计 30 天，与一个月缓冲对齐。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三、P1 — Claims 与 MIA Protocol 定义（2 天）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3.1 定义 claims 三元组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在动手做实验前，先把以下三个 claim 写死，所有后续实验只为验证这三条：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C1（识别）</w:t>
      </w:r>
      <w:r>
        <w:rPr>
          <w:rFonts w:ascii="Times New Roman" w:hAnsi="Times New Roman" w:eastAsia="SimSun"/>
          <w:b w:val="0"/>
          <w:sz w:val="21"/>
        </w:rPr>
        <w:t>：retained-set curvature update 存在 sign-misalignment 现象——默认方向在 utility guard 下可能让 forget loss 下降。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C2（修正）</w:t>
      </w:r>
      <w:r>
        <w:rPr>
          <w:rFonts w:ascii="Times New Roman" w:hAnsi="Times New Roman" w:eastAsia="SimSun"/>
          <w:b w:val="0"/>
          <w:sz w:val="21"/>
        </w:rPr>
        <w:t>：direction probing + forget-loss guard + stepped trust-region 三个机制叠加，可把 retained-set curvature 改造成可控的近似遗忘流程。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C3（定位）</w:t>
      </w:r>
      <w:r>
        <w:rPr>
          <w:rFonts w:ascii="Times New Roman" w:hAnsi="Times New Roman" w:eastAsia="SimSun"/>
          <w:b w:val="0"/>
          <w:sz w:val="21"/>
        </w:rPr>
        <w:t>：所得方法在 utility preservation 维度上优于直接 forget-batch Hessian update，同时通过 MIA 提供独立的 forgetting evidence；它不与 retrain oracle 比强度，而是在 post-training regime 内提供可审计的近似方案。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3.2 MIA Protocol 设计（最关键，不可糊弄）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按 codex 建议，先把 member / non-member 协议定义清楚，否则 AUC 不稳。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Member set</w:t>
      </w:r>
      <w:r>
        <w:rPr>
          <w:rFonts w:ascii="Times New Roman" w:hAnsi="Times New Roman" w:eastAsia="SimSun"/>
          <w:b w:val="0"/>
          <w:sz w:val="21"/>
        </w:rPr>
        <w:t>：forget client（client 0）的全部本地训练样本。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Non-member set</w:t>
      </w:r>
      <w:r>
        <w:rPr>
          <w:rFonts w:ascii="Times New Roman" w:hAnsi="Times New Roman" w:eastAsia="SimSun"/>
          <w:b w:val="0"/>
          <w:sz w:val="21"/>
        </w:rPr>
        <w:t>：与 forget client 类型分布对齐的 held-out 样本——从 Dolly 中划出一个 client 0 没见过的小集合，规模与 member 接近。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重要原则（codex 强调）</w:t>
      </w:r>
      <w:r>
        <w:rPr>
          <w:rFonts w:ascii="Times New Roman" w:hAnsi="Times New Roman" w:eastAsia="SimSun"/>
          <w:b w:val="0"/>
          <w:sz w:val="21"/>
        </w:rPr>
        <w:t>：现有 zeroshot 评估集来自 category 7 held-out（</w:t>
      </w:r>
      <w:r>
        <w:rPr>
          <w:rFonts w:ascii="Consolas" w:hAnsi="Consolas" w:eastAsia="SimSun"/>
          <w:b w:val="0"/>
          <w:sz w:val="20"/>
        </w:rPr>
        <w:t>utils_data/load_data.py:65</w:t>
      </w:r>
      <w:r>
        <w:rPr>
          <w:rFonts w:ascii="Times New Roman" w:hAnsi="Times New Roman" w:eastAsia="SimSun"/>
          <w:b w:val="0"/>
          <w:sz w:val="21"/>
        </w:rPr>
        <w:t>），它是 global utility 的评估集。</w:t>
      </w:r>
      <w:r>
        <w:rPr>
          <w:rFonts w:ascii="Times New Roman" w:hAnsi="Times New Roman" w:eastAsia="SimSun"/>
          <w:b/>
          <w:sz w:val="21"/>
        </w:rPr>
        <w:t>MIA 的 member/non-member 集必须单独定义，绝不复用 `eval_loader`</w:t>
      </w:r>
      <w:r>
        <w:rPr>
          <w:rFonts w:ascii="Times New Roman" w:hAnsi="Times New Roman" w:eastAsia="SimSun"/>
          <w:b w:val="0"/>
          <w:sz w:val="21"/>
        </w:rPr>
        <w:t>，否则攻击概念与 utility 评估混在一起，论文会被审稿人质疑攻击协议不干净。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攻击者知识</w:t>
      </w:r>
      <w:r>
        <w:rPr>
          <w:rFonts w:ascii="Times New Roman" w:hAnsi="Times New Roman" w:eastAsia="SimSun"/>
          <w:b w:val="0"/>
          <w:sz w:val="21"/>
        </w:rPr>
        <w:t>：仅访问模型 forward loss / logits，不访问梯度、不假设训练超参。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指标</w:t>
      </w:r>
      <w:r>
        <w:rPr>
          <w:rFonts w:ascii="Times New Roman" w:hAnsi="Times New Roman" w:eastAsia="SimSun"/>
          <w:b w:val="0"/>
          <w:sz w:val="21"/>
        </w:rPr>
        <w:t>：ROC-AUC + TPR@FPR=1%（后者比 AUC 对低 FPR 区更敏感，是当下 unlearning 评估的标配）。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基线检查</w:t>
      </w:r>
      <w:r>
        <w:rPr>
          <w:rFonts w:ascii="Times New Roman" w:hAnsi="Times New Roman" w:eastAsia="SimSun"/>
          <w:b w:val="0"/>
          <w:sz w:val="21"/>
        </w:rPr>
        <w:t>：在 pre-unlearning 模型上 attack AUC 必须显著高于 0.5，否则 MIA 信号本身就不强、后续无意义。如果在 IID 划分下 AUC 接近随机，立即切到 non-IID（与 P3 合流）。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3.3 P1 交付物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</w:t>
      </w:r>
      <w:r>
        <w:rPr>
          <w:rFonts w:ascii="Consolas" w:hAnsi="Consolas" w:eastAsia="SimSun"/>
          <w:b w:val="0"/>
          <w:sz w:val="20"/>
        </w:rPr>
        <w:t>mia_protocol.md</w:t>
      </w:r>
      <w:r>
        <w:rPr>
          <w:rFonts w:ascii="Times New Roman" w:hAnsi="Times New Roman" w:eastAsia="SimSun"/>
          <w:b w:val="0"/>
          <w:sz w:val="21"/>
        </w:rPr>
        <w:t>：一页备忘录，写清 member/non-member 来源、攻击者知识、指标、判定标准。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</w:t>
      </w:r>
      <w:r>
        <w:rPr>
          <w:rFonts w:ascii="Consolas" w:hAnsi="Consolas" w:eastAsia="SimSun"/>
          <w:b w:val="0"/>
          <w:sz w:val="20"/>
        </w:rPr>
        <w:t>scripts/mia_loss_based.py</w:t>
      </w:r>
      <w:r>
        <w:rPr>
          <w:rFonts w:ascii="Times New Roman" w:hAnsi="Times New Roman" w:eastAsia="SimSun"/>
          <w:b w:val="0"/>
          <w:sz w:val="21"/>
        </w:rPr>
        <w:t xml:space="preserve">（或扩展现有 </w:t>
      </w:r>
      <w:r>
        <w:rPr>
          <w:rFonts w:ascii="Consolas" w:hAnsi="Consolas" w:eastAsia="SimSun"/>
          <w:b w:val="0"/>
          <w:sz w:val="20"/>
        </w:rPr>
        <w:t>evaluations.py</w:t>
      </w:r>
      <w:r>
        <w:rPr>
          <w:rFonts w:ascii="Times New Roman" w:hAnsi="Times New Roman" w:eastAsia="SimSun"/>
          <w:b w:val="0"/>
          <w:sz w:val="21"/>
        </w:rPr>
        <w:t>）：骨架代码，能跑 FedHDS baseline 输出 AUC（不要求完整跑五种模型，只验证 protocol 跑通）。</w:t>
      </w:r>
      <w:r>
        <w:rPr>
          <w:rFonts w:ascii="Times New Roman" w:hAnsi="Times New Roman" w:eastAsia="SimSun"/>
          <w:b/>
          <w:sz w:val="21"/>
        </w:rPr>
        <w:t>注意</w:t>
      </w:r>
      <w:r>
        <w:rPr>
          <w:rFonts w:ascii="Times New Roman" w:hAnsi="Times New Roman" w:eastAsia="SimSun"/>
          <w:b w:val="0"/>
          <w:sz w:val="21"/>
        </w:rPr>
        <w:t xml:space="preserve">：仓库现有 </w:t>
      </w:r>
      <w:r>
        <w:rPr>
          <w:rFonts w:ascii="Consolas" w:hAnsi="Consolas" w:eastAsia="SimSun"/>
          <w:b w:val="0"/>
          <w:sz w:val="20"/>
        </w:rPr>
        <w:t>evaluations.py</w:t>
      </w:r>
      <w:r>
        <w:rPr>
          <w:rFonts w:ascii="Times New Roman" w:hAnsi="Times New Roman" w:eastAsia="SimSun"/>
          <w:b w:val="0"/>
          <w:sz w:val="21"/>
        </w:rPr>
        <w:t xml:space="preserve"> 是顶层单文件（codex 已确认 </w:t>
      </w:r>
      <w:r>
        <w:rPr>
          <w:rFonts w:ascii="Consolas" w:hAnsi="Consolas" w:eastAsia="SimSun"/>
          <w:b w:val="0"/>
          <w:sz w:val="20"/>
        </w:rPr>
        <w:t>evaluations.py:1</w:t>
      </w:r>
      <w:r>
        <w:rPr>
          <w:rFonts w:ascii="Times New Roman" w:hAnsi="Times New Roman" w:eastAsia="SimSun"/>
          <w:b w:val="0"/>
          <w:sz w:val="21"/>
        </w:rPr>
        <w:t xml:space="preserve">），新代码若以 </w:t>
      </w:r>
      <w:r>
        <w:rPr>
          <w:rFonts w:ascii="Consolas" w:hAnsi="Consolas" w:eastAsia="SimSun"/>
          <w:b w:val="0"/>
          <w:sz w:val="20"/>
        </w:rPr>
        <w:t>evaluations/</w:t>
      </w:r>
      <w:r>
        <w:rPr>
          <w:rFonts w:ascii="Times New Roman" w:hAnsi="Times New Roman" w:eastAsia="SimSun"/>
          <w:b w:val="0"/>
          <w:sz w:val="21"/>
        </w:rPr>
        <w:t xml:space="preserve"> 子包方式放置会与现有 import 命名冲突；推荐放在 </w:t>
      </w:r>
      <w:r>
        <w:rPr>
          <w:rFonts w:ascii="Consolas" w:hAnsi="Consolas" w:eastAsia="SimSun"/>
          <w:b w:val="0"/>
          <w:sz w:val="20"/>
        </w:rPr>
        <w:t>scripts/</w:t>
      </w:r>
      <w:r>
        <w:rPr>
          <w:rFonts w:ascii="Times New Roman" w:hAnsi="Times New Roman" w:eastAsia="SimSun"/>
          <w:b w:val="0"/>
          <w:sz w:val="21"/>
        </w:rPr>
        <w:t xml:space="preserve"> 下，或者把 MIA 函数直接挂到 </w:t>
      </w:r>
      <w:r>
        <w:rPr>
          <w:rFonts w:ascii="Consolas" w:hAnsi="Consolas" w:eastAsia="SimSun"/>
          <w:b w:val="0"/>
          <w:sz w:val="20"/>
        </w:rPr>
        <w:t>evaluations.py</w:t>
      </w:r>
      <w:r>
        <w:rPr>
          <w:rFonts w:ascii="Times New Roman" w:hAnsi="Times New Roman" w:eastAsia="SimSun"/>
          <w:b w:val="0"/>
          <w:sz w:val="21"/>
        </w:rPr>
        <w:t xml:space="preserve"> 末尾。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一份"如果 MIA 信号弱怎么办"的 fallback 决策表。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四、P2 — 核心 MIA + GA Baseline + 5 Seeds（7 天）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4.1 实验矩阵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在主 setting（Qwen2-0.5B、Dolly、20 clients、data_sample=0.4、rounds=20）下，跑以下模型并报告完整字段：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模型来源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必报字段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seeds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FedHDS baseline（reference）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global loss、MIA AUC、MIA TPR@FPR=1%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1~2 seeds（reference）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Retrain oracle（reference）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global loss、held-out forget client loss、MIA AUC（理论下界）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**1~2 seeds**（reference，不进 5-seed critical path）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**Gradient Ascent（纯版）**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global loss、forget loss Δ、update L2、MIA AUC、time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seeds（42~46）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Forget-batch Hessian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同上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seeds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Retained-set positive direction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同上 + accepted_steps / total_steps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seeds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Retained-set negative + guard（主方法）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同上 + accepted_steps / total_steps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 seeds</w:t>
            </w:r>
          </w:p>
        </w:tc>
      </w:tr>
    </w:tbl>
    <w:p/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关键约定</w:t>
      </w:r>
      <w:r>
        <w:rPr>
          <w:rFonts w:ascii="Times New Roman" w:hAnsi="Times New Roman" w:eastAsia="SimSun"/>
          <w:b w:val="0"/>
          <w:sz w:val="21"/>
        </w:rPr>
        <w:t xml:space="preserve">（codex 建议）：retrain oracle 是 reference，不与主方法做胜负比较，因此不进 5-seed critical path，1~2 seeds 足够。FedHDS baseline 同理。这样 critical-path 的 5-seed 实验只覆盖 </w:t>
      </w:r>
      <w:r>
        <w:rPr>
          <w:rFonts w:ascii="Times New Roman" w:hAnsi="Times New Roman" w:eastAsia="SimSun"/>
          <w:b/>
          <w:sz w:val="21"/>
        </w:rPr>
        <w:t>4 个 unlearning method × 5 seeds = 20 组 + 2~4 组 reference = 共 ~24 组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4.2 必须显式映射到主表的现有字段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codex 已确认（</w:t>
      </w:r>
      <w:r>
        <w:rPr>
          <w:rFonts w:ascii="Consolas" w:hAnsi="Consolas" w:eastAsia="SimSun"/>
          <w:b w:val="0"/>
          <w:sz w:val="20"/>
        </w:rPr>
        <w:t>scripts/summarize_experiments.py:7</w:t>
      </w:r>
      <w:r>
        <w:rPr>
          <w:rFonts w:ascii="Times New Roman" w:hAnsi="Times New Roman" w:eastAsia="SimSun"/>
          <w:b w:val="0"/>
          <w:sz w:val="21"/>
        </w:rPr>
        <w:t>）以下字段</w:t>
      </w:r>
      <w:r>
        <w:rPr>
          <w:rFonts w:ascii="Times New Roman" w:hAnsi="Times New Roman" w:eastAsia="SimSun"/>
          <w:b/>
          <w:sz w:val="21"/>
        </w:rPr>
        <w:t>已经在 summary.csv 中产出</w:t>
      </w:r>
      <w:r>
        <w:rPr>
          <w:rFonts w:ascii="Times New Roman" w:hAnsi="Times New Roman" w:eastAsia="SimSun"/>
          <w:b w:val="0"/>
          <w:sz w:val="21"/>
        </w:rPr>
        <w:t>，因此这部分</w:t>
      </w:r>
      <w:r>
        <w:rPr>
          <w:rFonts w:ascii="Times New Roman" w:hAnsi="Times New Roman" w:eastAsia="SimSun"/>
          <w:b/>
          <w:sz w:val="21"/>
        </w:rPr>
        <w:t>不是实现工作，而是"表格映射 + 论文写作"工作</w:t>
      </w:r>
      <w:r>
        <w:rPr>
          <w:rFonts w:ascii="Times New Roman" w:hAnsi="Times New Roman" w:eastAsia="SimSun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论文表头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summary.csv 字段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accepted_steps / total_steps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`unlearn_steps_accepted` / `unlearn_num_steps`（或 `unlearn_steps_attempted`）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actual update L2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`actual_param_delta_l2_norm`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guard stop reason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`unlearn_guard_stop_reason`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direction probe forget Δ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`unlearn_best_probe_direction_forget_delta`</w:t>
            </w:r>
          </w:p>
        </w:tc>
      </w:tr>
    </w:tbl>
    <w:p/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P2 在这块只需要做：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1. 改 </w:t>
      </w:r>
      <w:r>
        <w:rPr>
          <w:rFonts w:ascii="Consolas" w:hAnsi="Consolas" w:eastAsia="SimSun"/>
          <w:b w:val="0"/>
          <w:sz w:val="20"/>
        </w:rPr>
        <w:t>scripts/make_paper_table.py</w:t>
      </w:r>
      <w:r>
        <w:rPr>
          <w:rFonts w:ascii="Times New Roman" w:hAnsi="Times New Roman" w:eastAsia="SimSun"/>
          <w:b w:val="0"/>
          <w:sz w:val="21"/>
        </w:rPr>
        <w:t xml:space="preserve"> 让上表字段显式进入论文表格。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2. 在论文 §4 实验设计里增加这些字段的语义定义段落。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3. 在 §5.2 主表加列，</w:t>
      </w:r>
      <w:r>
        <w:rPr>
          <w:rFonts w:ascii="Times New Roman" w:hAnsi="Times New Roman" w:eastAsia="SimSun"/>
          <w:b/>
          <w:sz w:val="21"/>
        </w:rPr>
        <w:t>不要再描述"新增字段"，那是已有的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Seed 44 那种 </w:t>
      </w:r>
      <w:r>
        <w:rPr>
          <w:rFonts w:ascii="Consolas" w:hAnsi="Consolas" w:eastAsia="SimSun"/>
          <w:b w:val="0"/>
          <w:sz w:val="20"/>
        </w:rPr>
        <w:t>unlearn_steps_accepted=0</w:t>
      </w:r>
      <w:r>
        <w:rPr>
          <w:rFonts w:ascii="Times New Roman" w:hAnsi="Times New Roman" w:eastAsia="SimSun"/>
          <w:b w:val="0"/>
          <w:sz w:val="21"/>
        </w:rPr>
        <w:t xml:space="preserve"> 的情况单独留一行，不平均掉——这是方法可审计性的正面案例，对应 </w:t>
      </w:r>
      <w:r>
        <w:rPr>
          <w:rFonts w:ascii="Consolas" w:hAnsi="Consolas" w:eastAsia="SimSun"/>
          <w:b w:val="0"/>
          <w:sz w:val="20"/>
        </w:rPr>
        <w:t>unlearn_guard_stop_reason="forget_loss_guard"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4.3 Gradient Ascent 的"纯版"实现细节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仅在 forget client 的本地 batch 上做反向梯度上升。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与本文方法</w:t>
      </w:r>
      <w:r>
        <w:rPr>
          <w:rFonts w:ascii="Times New Roman" w:hAnsi="Times New Roman" w:eastAsia="SimSun"/>
          <w:b/>
          <w:sz w:val="21"/>
        </w:rPr>
        <w:t>保持相同的 step size（η=0.01）与 step 总预算</w:t>
      </w:r>
      <w:r>
        <w:rPr>
          <w:rFonts w:ascii="Times New Roman" w:hAnsi="Times New Roman" w:eastAsia="SimSun"/>
          <w:b w:val="0"/>
          <w:sz w:val="21"/>
        </w:rPr>
        <w:t>，使可比性最高。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不加</w:t>
      </w:r>
      <w:r>
        <w:rPr>
          <w:rFonts w:ascii="Times New Roman" w:hAnsi="Times New Roman" w:eastAsia="SimSun"/>
          <w:b w:val="0"/>
          <w:sz w:val="21"/>
        </w:rPr>
        <w:t xml:space="preserve"> norm clip、step guard、direction probe，让 GA 充分暴露 utility cost——它的角色是"上限激进 forgetting"对照。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4.4 P2 交付物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主 critical-path：4 unlearning methods × 5 seeds = 20 组结果 + 2~4 组 reference（FedHDS baseline、retrain oracle）汇总 csv，合计 ~24 组。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升级版 Table 3：新增 MIA AUC 列、显式映射已有 accepted_steps / actual L2 字段，mean ± std 格式。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一张 scatter 图：x 轴 = global loss 增量，y 轴 = MIA AUC 下降量，每个方法一个点（含误差棒）。这张图是论文新主图。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五、P3 — Non-IID α=0.5 主对比复现（5 天）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5.1 范围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只做 </w:t>
      </w:r>
      <w:r>
        <w:rPr>
          <w:rFonts w:ascii="Times New Roman" w:hAnsi="Times New Roman" w:eastAsia="SimSun"/>
          <w:b/>
          <w:sz w:val="21"/>
        </w:rPr>
        <w:t>Dirichlet α=0.5</w:t>
      </w:r>
      <w:r>
        <w:rPr>
          <w:rFonts w:ascii="Times New Roman" w:hAnsi="Times New Roman" w:eastAsia="SimSun"/>
          <w:b w:val="0"/>
          <w:sz w:val="21"/>
        </w:rPr>
        <w:t>（moderate heterogeneity）。这是联邦学习公认的"非 IID 但不极端"的设定，足以证明方法不只在 IID 下成立。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α=0.1 不进主表。如果时间允许，做 1~2 行 sanity check 放 appendix；不允许就完全不做，写在 Limitations 里。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5.2 实验范围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在 α=0.5 下复现 P2 的 5 行主表 + Table 4 方向消融。无需再跑 5 个种子——只跑 seed 42，作为主 setting 的"非 IID 复现"对照即可。如果时间允许补 seed 43。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5.3 Non-IID 入口（已有支持，无需改造 partition_data.py）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codex 已确认（</w:t>
      </w:r>
      <w:r>
        <w:rPr>
          <w:rFonts w:ascii="Consolas" w:hAnsi="Consolas" w:eastAsia="SimSun"/>
          <w:b w:val="0"/>
          <w:sz w:val="20"/>
        </w:rPr>
        <w:t>utils_data/load_data.py:94</w:t>
      </w:r>
      <w:r>
        <w:rPr>
          <w:rFonts w:ascii="Times New Roman" w:hAnsi="Times New Roman" w:eastAsia="SimSun"/>
          <w:b w:val="0"/>
          <w:sz w:val="21"/>
        </w:rPr>
        <w:t>）：</w:t>
      </w:r>
      <w:r>
        <w:rPr>
          <w:rFonts w:ascii="Times New Roman" w:hAnsi="Times New Roman" w:eastAsia="SimSun"/>
          <w:b/>
          <w:sz w:val="21"/>
        </w:rPr>
        <w:t>仓库已经支持 Dirichlet 划分</w:t>
      </w:r>
      <w:r>
        <w:rPr>
          <w:rFonts w:ascii="Times New Roman" w:hAnsi="Times New Roman" w:eastAsia="SimSun"/>
          <w:b w:val="0"/>
          <w:sz w:val="21"/>
        </w:rPr>
        <w:t xml:space="preserve">，使用现有 CLI </w:t>
      </w:r>
      <w:r>
        <w:rPr>
          <w:rFonts w:ascii="Consolas" w:hAnsi="Consolas" w:eastAsia="SimSun"/>
          <w:b w:val="0"/>
          <w:sz w:val="20"/>
        </w:rPr>
        <w:t>--iid dir0.5</w:t>
      </w:r>
      <w:r>
        <w:rPr>
          <w:rFonts w:ascii="Times New Roman" w:hAnsi="Times New Roman" w:eastAsia="SimSun"/>
          <w:b w:val="0"/>
          <w:sz w:val="21"/>
        </w:rPr>
        <w:t xml:space="preserve"> 即可，</w:t>
      </w:r>
      <w:r>
        <w:rPr>
          <w:rFonts w:ascii="Times New Roman" w:hAnsi="Times New Roman" w:eastAsia="SimSun"/>
          <w:b/>
          <w:sz w:val="21"/>
        </w:rPr>
        <w:t>不要新增 `--iid_split` 之类的新参数</w:t>
      </w:r>
      <w:r>
        <w:rPr>
          <w:rFonts w:ascii="Times New Roman" w:hAnsi="Times New Roman" w:eastAsia="SimSun"/>
          <w:b w:val="0"/>
          <w:sz w:val="21"/>
        </w:rPr>
        <w:t>（</w:t>
      </w:r>
      <w:r>
        <w:rPr>
          <w:rFonts w:ascii="Consolas" w:hAnsi="Consolas" w:eastAsia="SimSun"/>
          <w:b w:val="0"/>
          <w:sz w:val="20"/>
        </w:rPr>
        <w:t>main.py:37</w:t>
      </w:r>
      <w:r>
        <w:rPr>
          <w:rFonts w:ascii="Times New Roman" w:hAnsi="Times New Roman" w:eastAsia="SimSun"/>
          <w:b w:val="0"/>
          <w:sz w:val="21"/>
        </w:rPr>
        <w:t xml:space="preserve"> 只有 </w:t>
      </w:r>
      <w:r>
        <w:rPr>
          <w:rFonts w:ascii="Consolas" w:hAnsi="Consolas" w:eastAsia="SimSun"/>
          <w:b w:val="0"/>
          <w:sz w:val="20"/>
        </w:rPr>
        <w:t>--iid</w:t>
      </w:r>
      <w:r>
        <w:rPr>
          <w:rFonts w:ascii="Times New Roman" w:hAnsi="Times New Roman" w:eastAsia="SimSun"/>
          <w:b w:val="0"/>
          <w:sz w:val="21"/>
        </w:rPr>
        <w:t>）。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因此 P3 的实际工作是</w:t>
      </w:r>
      <w:r>
        <w:rPr>
          <w:rFonts w:ascii="Times New Roman" w:hAnsi="Times New Roman" w:eastAsia="SimSun"/>
          <w:b/>
          <w:sz w:val="21"/>
        </w:rPr>
        <w:t>接线 + 复跑</w:t>
      </w:r>
      <w:r>
        <w:rPr>
          <w:rFonts w:ascii="Times New Roman" w:hAnsi="Times New Roman" w:eastAsia="SimSun"/>
          <w:b w:val="0"/>
          <w:sz w:val="21"/>
        </w:rPr>
        <w:t xml:space="preserve">，不是改造 </w:t>
      </w:r>
      <w:r>
        <w:rPr>
          <w:rFonts w:ascii="Consolas" w:hAnsi="Consolas" w:eastAsia="SimSun"/>
          <w:b w:val="0"/>
          <w:sz w:val="20"/>
        </w:rPr>
        <w:t>partition_data.py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在实验脚本里把 </w:t>
      </w:r>
      <w:r>
        <w:rPr>
          <w:rFonts w:ascii="Consolas" w:hAnsi="Consolas" w:eastAsia="SimSun"/>
          <w:b w:val="0"/>
          <w:sz w:val="20"/>
        </w:rPr>
        <w:t>--iid 0</w:t>
      </w:r>
      <w:r>
        <w:rPr>
          <w:rFonts w:ascii="Times New Roman" w:hAnsi="Times New Roman" w:eastAsia="SimSun"/>
          <w:b w:val="0"/>
          <w:sz w:val="21"/>
        </w:rPr>
        <w:t xml:space="preserve"> 改成 </w:t>
      </w:r>
      <w:r>
        <w:rPr>
          <w:rFonts w:ascii="Consolas" w:hAnsi="Consolas" w:eastAsia="SimSun"/>
          <w:b w:val="0"/>
          <w:sz w:val="20"/>
        </w:rPr>
        <w:t>--iid dir0.5</w:t>
      </w:r>
      <w:r>
        <w:rPr>
          <w:rFonts w:ascii="Times New Roman" w:hAnsi="Times New Roman" w:eastAsia="SimSun"/>
          <w:b w:val="0"/>
          <w:sz w:val="21"/>
        </w:rPr>
        <w:t>，复用全部现有训练 + unlearning 链路。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forget client 仍为 client 0，但因 Dirichlet 划分后 client 0 的样本分布与其他客户端不同，</w:t>
      </w:r>
      <w:r>
        <w:rPr>
          <w:rFonts w:ascii="Times New Roman" w:hAnsi="Times New Roman" w:eastAsia="SimSun"/>
          <w:b/>
          <w:sz w:val="21"/>
        </w:rPr>
        <w:t>这反而让 MIA 信号更强</w:t>
      </w:r>
      <w:r>
        <w:rPr>
          <w:rFonts w:ascii="Times New Roman" w:hAnsi="Times New Roman" w:eastAsia="SimSun"/>
          <w:b w:val="0"/>
          <w:sz w:val="21"/>
        </w:rPr>
        <w:t>——这是 codex 提到的 IID 下 MIA 信号弱的天然解药。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注意：</w:t>
      </w:r>
      <w:r>
        <w:rPr>
          <w:rFonts w:ascii="Consolas" w:hAnsi="Consolas" w:eastAsia="SimSun"/>
          <w:b w:val="0"/>
          <w:sz w:val="20"/>
        </w:rPr>
        <w:t>partition_idx_labeldir</w:t>
      </w:r>
      <w:r>
        <w:rPr>
          <w:rFonts w:ascii="Times New Roman" w:hAnsi="Times New Roman" w:eastAsia="SimSun"/>
          <w:b w:val="0"/>
          <w:sz w:val="21"/>
        </w:rPr>
        <w:t xml:space="preserve"> 是按 </w:t>
      </w:r>
      <w:r>
        <w:rPr>
          <w:rFonts w:ascii="Consolas" w:hAnsi="Consolas" w:eastAsia="SimSun"/>
          <w:b w:val="0"/>
          <w:sz w:val="20"/>
        </w:rPr>
        <w:t>y_train</w:t>
      </w:r>
      <w:r>
        <w:rPr>
          <w:rFonts w:ascii="Times New Roman" w:hAnsi="Times New Roman" w:eastAsia="SimSun"/>
          <w:b w:val="0"/>
          <w:sz w:val="21"/>
        </w:rPr>
        <w:t xml:space="preserve"> 标签 Dirichlet 划分（即按 task category 维度异构），不是按样本数量异构。这对 Dolly 这种 instruction-tuning 数据是合理的。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P3 因此从原来的"改造接口"任务降级为"实验跑通 + 写章节"，与 codex 评级 </w:t>
      </w:r>
      <w:r>
        <w:rPr>
          <w:rFonts w:ascii="Times New Roman" w:hAnsi="Times New Roman" w:eastAsia="SimSun"/>
          <w:b/>
          <w:sz w:val="21"/>
        </w:rPr>
        <w:t>高可行</w:t>
      </w:r>
      <w:r>
        <w:rPr>
          <w:rFonts w:ascii="Times New Roman" w:hAnsi="Times New Roman" w:eastAsia="SimSun"/>
          <w:b w:val="0"/>
          <w:sz w:val="21"/>
        </w:rPr>
        <w:t xml:space="preserve"> 一致。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5.4 P3 交付物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α=0.5 下 5 种模型 × seed 42 的对照表，作为 §5.6 主表。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§5.6 新章节：「Non-IID Generalization」，约 1.5 页，包含一段 setup 描述 + 主表 + 一段机制讨论。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六、P4 — 第二 Baseline + LiRA-lite（5 天）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只在 P1~P3 完成的前提下做。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6.1 第二 Baseline：GA-with-Guards（ablation 风格）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这是我（claude）补充的设计、codex 没明确给的方案。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把 P2 的纯 GA 和本文主方法之间做一个 </w:t>
      </w:r>
      <w:r>
        <w:rPr>
          <w:rFonts w:ascii="Times New Roman" w:hAnsi="Times New Roman" w:eastAsia="SimSun"/>
          <w:b/>
          <w:sz w:val="21"/>
        </w:rPr>
        <w:t>ablation 对照</w:t>
      </w:r>
      <w:r>
        <w:rPr>
          <w:rFonts w:ascii="Times New Roman" w:hAnsi="Times New Roman" w:eastAsia="SimSun"/>
          <w:b w:val="0"/>
          <w:sz w:val="21"/>
        </w:rPr>
        <w:t>：GA 信号 + 本文的 norm clip + step guard + forget-loss guard，但</w:t>
      </w:r>
      <w:r>
        <w:rPr>
          <w:rFonts w:ascii="Times New Roman" w:hAnsi="Times New Roman" w:eastAsia="SimSun"/>
          <w:b/>
          <w:sz w:val="21"/>
        </w:rPr>
        <w:t>不用</w:t>
      </w:r>
      <w:r>
        <w:rPr>
          <w:rFonts w:ascii="Times New Roman" w:hAnsi="Times New Roman" w:eastAsia="SimSun"/>
          <w:b w:val="0"/>
          <w:sz w:val="21"/>
        </w:rPr>
        <w:t xml:space="preserve"> retained-set curvature。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它回答的问题：</w:t>
      </w:r>
      <w:r>
        <w:rPr>
          <w:rFonts w:ascii="Times New Roman" w:hAnsi="Times New Roman" w:eastAsia="SimSun"/>
          <w:b/>
          <w:sz w:val="21"/>
        </w:rPr>
        <w:t>guard 机制本身贡献多少，curvature 信息贡献多少？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如果 GA-with-guards 的 utility 表现接近本文主方法，说明 guard 是主因；如果显著差，说明 retained-set curvature 是主因。</w:t>
      </w:r>
      <w:r>
        <w:rPr>
          <w:rFonts w:ascii="Times New Roman" w:hAnsi="Times New Roman" w:eastAsia="SimSun"/>
          <w:b/>
          <w:sz w:val="21"/>
        </w:rPr>
        <w:t>两种结论都对论文有利</w:t>
      </w:r>
      <w:r>
        <w:rPr>
          <w:rFonts w:ascii="Times New Roman" w:hAnsi="Times New Roman" w:eastAsia="SimSun"/>
          <w:b w:val="0"/>
          <w:sz w:val="21"/>
        </w:rPr>
        <w:t>：前者证明 guard 是普适控制工具，后者证明曲率信息不可替代。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实现成本：在现有 server.py 加一个 </w:t>
      </w:r>
      <w:r>
        <w:rPr>
          <w:rFonts w:ascii="Consolas" w:hAnsi="Consolas" w:eastAsia="SimSun"/>
          <w:b w:val="0"/>
          <w:sz w:val="20"/>
        </w:rPr>
        <w:t>--unlearn_method ga_guarded</w:t>
      </w:r>
      <w:r>
        <w:rPr>
          <w:rFonts w:ascii="Times New Roman" w:hAnsi="Times New Roman" w:eastAsia="SimSun"/>
          <w:b w:val="0"/>
          <w:sz w:val="21"/>
        </w:rPr>
        <w:t xml:space="preserve"> 开关，复用现有 guard 代码。约 2 天。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6.2 LiRA-lite（仅在 loss-based MIA 信号确认强后做）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训练 3 个 shadow model（圆数压到 10、data_sample 压到 0.2），仅在主方法和 forget-batch 两组上跑 LiRA。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不强求 5 seeds，单 seed 即可。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仅作为 P2 loss-based MIA 的 robustness check：若 LiRA AUC 与 loss-based AUC 的方向一致，论文 MIA 章节加一段"结论在更强攻击下保持"。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若超时或信号不一致，写进 future work，不阻塞投稿。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6.3 P4 交付物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主表新增 GA-with-guards 一行（5 seeds mean ± std）。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§5.7 新章节：「Ablation: Curvature vs Guard Contribution」，约 1 页。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（可选）LiRA-lite 结果一段，放 §5 末尾或 appendix。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七、P5 — 跨模型族 + 半页理论（5 天）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7.1 跨模型族验证（不是规模扩展，仍属低优先级）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明确放弃 7B 扩展（codex 论据成立：</w:t>
      </w:r>
      <w:r>
        <w:rPr>
          <w:rFonts w:ascii="Consolas" w:hAnsi="Consolas" w:eastAsia="SimSun"/>
          <w:b w:val="0"/>
          <w:sz w:val="20"/>
        </w:rPr>
        <w:t>stage4_large_model_data_20260504</w:t>
      </w:r>
      <w:r>
        <w:rPr>
          <w:rFonts w:ascii="Times New Roman" w:hAnsi="Times New Roman" w:eastAsia="SimSun"/>
          <w:b w:val="0"/>
          <w:sz w:val="21"/>
        </w:rPr>
        <w:t xml:space="preserve"> 已显示大模型下 retained update 范数收缩、各变体趋同）。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改做</w:t>
      </w:r>
      <w:r>
        <w:rPr>
          <w:rFonts w:ascii="Times New Roman" w:hAnsi="Times New Roman" w:eastAsia="SimSun"/>
          <w:b/>
          <w:sz w:val="21"/>
        </w:rPr>
        <w:t>低成本跨族验证</w:t>
      </w:r>
      <w:r>
        <w:rPr>
          <w:rFonts w:ascii="Times New Roman" w:hAnsi="Times New Roman" w:eastAsia="SimSun"/>
          <w:b w:val="0"/>
          <w:sz w:val="21"/>
        </w:rPr>
        <w:t>：在 Qwen2-0.5B 配置基础上，</w:t>
      </w:r>
      <w:r>
        <w:rPr>
          <w:rFonts w:ascii="Times New Roman" w:hAnsi="Times New Roman" w:eastAsia="SimSun"/>
          <w:b/>
          <w:sz w:val="21"/>
        </w:rPr>
        <w:t>首选 LLaMA-3.2-1B</w:t>
      </w:r>
      <w:r>
        <w:rPr>
          <w:rFonts w:ascii="Times New Roman" w:hAnsi="Times New Roman" w:eastAsia="SimSun"/>
          <w:b w:val="0"/>
          <w:sz w:val="21"/>
        </w:rPr>
        <w:t xml:space="preserve"> 跑主对比 + 方向消融，单 seed。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关键警告（codex 指出）</w:t>
      </w:r>
      <w:r>
        <w:rPr>
          <w:rFonts w:ascii="Times New Roman" w:hAnsi="Times New Roman" w:eastAsia="SimSun"/>
          <w:b w:val="0"/>
          <w:sz w:val="21"/>
        </w:rPr>
        <w:t xml:space="preserve">：当前 LoRA target modules 在 </w:t>
      </w:r>
      <w:r>
        <w:rPr>
          <w:rFonts w:ascii="Consolas" w:hAnsi="Consolas" w:eastAsia="SimSun"/>
          <w:b w:val="0"/>
          <w:sz w:val="20"/>
        </w:rPr>
        <w:t>server.py:60</w:t>
      </w:r>
      <w:r>
        <w:rPr>
          <w:rFonts w:ascii="Times New Roman" w:hAnsi="Times New Roman" w:eastAsia="SimSun"/>
          <w:b w:val="0"/>
          <w:sz w:val="21"/>
        </w:rPr>
        <w:t xml:space="preserve"> 写死为 </w:t>
      </w:r>
      <w:r>
        <w:rPr>
          <w:rFonts w:ascii="Consolas" w:hAnsi="Consolas" w:eastAsia="SimSun"/>
          <w:b w:val="0"/>
          <w:sz w:val="20"/>
        </w:rPr>
        <w:t>q_proj/k_proj/v_proj/o_proj/gate_proj/up_proj/down_proj</w:t>
      </w:r>
      <w:r>
        <w:rPr>
          <w:rFonts w:ascii="Times New Roman" w:hAnsi="Times New Roman" w:eastAsia="SimSun"/>
          <w:b w:val="0"/>
          <w:sz w:val="21"/>
        </w:rPr>
        <w:t>，这对 Qwen 和 LLaMA 系列天然匹配，但</w:t>
      </w:r>
      <w:r>
        <w:rPr>
          <w:rFonts w:ascii="Times New Roman" w:hAnsi="Times New Roman" w:eastAsia="SimSun"/>
          <w:b/>
          <w:sz w:val="21"/>
        </w:rPr>
        <w:t>对 Pythia 不直接适配</w:t>
      </w:r>
      <w:r>
        <w:rPr>
          <w:rFonts w:ascii="Times New Roman" w:hAnsi="Times New Roman" w:eastAsia="SimSun"/>
          <w:b w:val="0"/>
          <w:sz w:val="21"/>
        </w:rPr>
        <w:t xml:space="preserve">（Pythia 用 GPT-NeoX 架构，模块命名是 </w:t>
      </w:r>
      <w:r>
        <w:rPr>
          <w:rFonts w:ascii="Consolas" w:hAnsi="Consolas" w:eastAsia="SimSun"/>
          <w:b w:val="0"/>
          <w:sz w:val="20"/>
        </w:rPr>
        <w:t>query_key_value</w:t>
      </w:r>
      <w:r>
        <w:rPr>
          <w:rFonts w:ascii="Times New Roman" w:hAnsi="Times New Roman" w:eastAsia="SimSun"/>
          <w:b w:val="0"/>
          <w:sz w:val="21"/>
        </w:rPr>
        <w:t xml:space="preserve"> 等）。因此：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LLaMA-3.2-1B 是真正的"零代码改"跨族验证</w:t>
      </w:r>
      <w:r>
        <w:rPr>
          <w:rFonts w:ascii="Times New Roman" w:hAnsi="Times New Roman" w:eastAsia="SimSun"/>
          <w:b w:val="0"/>
          <w:sz w:val="21"/>
        </w:rPr>
        <w:t>：模块命名匹配，直接换模型名即可。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Pythia-1.4B 不是平替</w:t>
      </w:r>
      <w:r>
        <w:rPr>
          <w:rFonts w:ascii="Times New Roman" w:hAnsi="Times New Roman" w:eastAsia="SimSun"/>
          <w:b w:val="0"/>
          <w:sz w:val="21"/>
        </w:rPr>
        <w:t>，是需要额外改 LoRA target modules 适配的潜在工作。如果 LLaMA 路径走通就不必动 Pythia；只有 LLaMA 显存或下载受阻时再考虑 Pythia，且明确接受会有 1~2 天的适配成本。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目的：证明方法不依赖 Qwen 系列特有的训练分布。LLaMA 路径成本 1~2 天显存可控。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P5 整体在 codex 评级中是 </w:t>
      </w:r>
      <w:r>
        <w:rPr>
          <w:rFonts w:ascii="Times New Roman" w:hAnsi="Times New Roman" w:eastAsia="SimSun"/>
          <w:b/>
          <w:sz w:val="21"/>
        </w:rPr>
        <w:t>低到中可行</w:t>
      </w:r>
      <w:r>
        <w:rPr>
          <w:rFonts w:ascii="Times New Roman" w:hAnsi="Times New Roman" w:eastAsia="SimSun"/>
          <w:b w:val="0"/>
          <w:sz w:val="21"/>
        </w:rPr>
        <w:t>，因此</w:t>
      </w:r>
      <w:r>
        <w:rPr>
          <w:rFonts w:ascii="Times New Roman" w:hAnsi="Times New Roman" w:eastAsia="SimSun"/>
          <w:b/>
          <w:sz w:val="21"/>
        </w:rPr>
        <w:t>不构成投稿阻塞项</w:t>
      </w:r>
      <w:r>
        <w:rPr>
          <w:rFonts w:ascii="Times New Roman" w:hAnsi="Times New Roman" w:eastAsia="SimSun"/>
          <w:b w:val="0"/>
          <w:sz w:val="21"/>
        </w:rPr>
        <w:t>。完成则进主文 §5.8，未完成则写进 future work。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7.2 半页理论小节（§3.9 supporting rationale）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按 codex 建议写成 supporting rationale，不写成完整收敛理论。具体提供：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局部二次近似的合理性陈述</w:t>
      </w:r>
      <w:r>
        <w:rPr>
          <w:rFonts w:ascii="Times New Roman" w:hAnsi="Times New Roman" w:eastAsia="SimSun"/>
          <w:b w:val="0"/>
          <w:sz w:val="21"/>
        </w:rPr>
        <w:t>：在 θ* 附近用 Taylor 展开到二阶，说明 retained-set Hessian 是"在不破坏 retained-task 几何前提下走最陡方向"的局部最优近似。</w:t>
      </w:r>
      <w:r>
        <w:rPr>
          <w:rFonts w:ascii="Times New Roman" w:hAnsi="Times New Roman" w:eastAsia="SimSun"/>
          <w:b/>
          <w:sz w:val="21"/>
        </w:rPr>
        <w:t>用陈述句，不用定理。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Sign probing 的可靠性</w:t>
      </w:r>
      <w:r>
        <w:rPr>
          <w:rFonts w:ascii="Times New Roman" w:hAnsi="Times New Roman" w:eastAsia="SimSun"/>
          <w:b w:val="0"/>
          <w:sz w:val="21"/>
        </w:rPr>
        <w:t>：刻画为"一次 empirical risk check"，引用 trust-region 文献 [14] 说明这是常见做法。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Stepped acceptance guard 的解释</w:t>
      </w:r>
      <w:r>
        <w:rPr>
          <w:rFonts w:ascii="Times New Roman" w:hAnsi="Times New Roman" w:eastAsia="SimSun"/>
          <w:b w:val="0"/>
          <w:sz w:val="21"/>
        </w:rPr>
        <w:t>：在 Lipschitz 平滑假设下，stepped guard 的接受准则可视为离散化的 trust-region radius adjustment。</w:t>
      </w:r>
      <w:r>
        <w:rPr>
          <w:rFonts w:ascii="Times New Roman" w:hAnsi="Times New Roman" w:eastAsia="SimSun"/>
          <w:b/>
          <w:sz w:val="21"/>
        </w:rPr>
        <w:t>给一个 Proposition 陈述，不给证明，引用 [14] 章节号。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长度严格控制在半页内。</w:t>
      </w:r>
      <w:r>
        <w:rPr>
          <w:rFonts w:ascii="Times New Roman" w:hAnsi="Times New Roman" w:eastAsia="SimSun"/>
          <w:b/>
          <w:sz w:val="21"/>
        </w:rPr>
        <w:t>绝对不写定理-证明形式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7.3 P5 交付物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一组跨族模型主对比（约 6 行表）。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§3.9 新小节，半页 supporting rationale。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八、写作重构（W 阶段，6 天）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P1~P5 不要等全部做完才动笔。</w:t>
      </w:r>
      <w:r>
        <w:rPr>
          <w:rFonts w:ascii="Times New Roman" w:hAnsi="Times New Roman" w:eastAsia="SimSun"/>
          <w:b/>
          <w:sz w:val="21"/>
        </w:rPr>
        <w:t>P2 结束就可以开始改写 Method 和 Results 章节</w:t>
      </w:r>
      <w:r>
        <w:rPr>
          <w:rFonts w:ascii="Times New Roman" w:hAnsi="Times New Roman" w:eastAsia="SimSun"/>
          <w:b w:val="0"/>
          <w:sz w:val="21"/>
        </w:rPr>
        <w:t>，让写作与实验并行。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8.1 必改章节清单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章节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改动要点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Abstract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按 §一 主线表述重写。强调三件事：识别 sign-misalignment、guard-based 控制方案、MIA-validated forgetting evidence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§1 Introduction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删除自我削弱句，按主线表述改写贡献段。Retrain 作为 oracle 引入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§2 Related Work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扩到 35~50 篇，新增三段：LLM unlearning（TOFU、NPO、RMU、Eldan &amp; Russinovich）、近期联邦 LLM unlearning、MIA-based unlearning evaluation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§2.3 Table 1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加一列「MIA evaluation provided」，把定性比较升级一格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§3.9（新）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半页 supporting rationale，参 §7.2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§4 Experimental Design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加 MIA protocol（引 P1 备忘录）、Dirichlet 划分描述、5 seeds 说明、accepted_steps 字段定义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§5.2 Main Trade-off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**重写最关键**：加 MIA AUC 列；把 retrain "forget loss 不增" 改成 "retrain is the oracle; we report it for completeness, not as a baseline we aim to surpass"；加入 GA 一行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§5.3 Direction Ablation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加 mean ± std；Seed 44 全拒情况单独段落，定位为"guard 主动保护的正面证据"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§5.4 Scale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删除/精简旧 2×2 scale 表；保留作为附录或简短段落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§5.5 Seeds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 5 seeds mean ± std + accepted-steps 分布讨论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§5.6（新）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Non-IID α=0.5 主对比，参 §5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§5.7（新）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Ablation: GA-with-guards vs 主方法，参 §6.1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§5.8（可选）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跨模型族验证，参 §7.1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§6 Limitations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缩短，主要保留"单数据集"与"二阶近似的浅近性"两条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§7 Conclusion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重写，按主线表述。**去掉 "bounded claim"**。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8.2 图表重做清单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Figure 1（新）</w:t>
      </w:r>
      <w:r>
        <w:rPr>
          <w:rFonts w:ascii="Times New Roman" w:hAnsi="Times New Roman" w:eastAsia="SimSun"/>
          <w:b w:val="0"/>
          <w:sz w:val="21"/>
        </w:rPr>
        <w:t>：方法 pipeline overview，包含 forget gradient → retained curvature HVP → direction probe → stepped guard 四步流程。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Figure 2</w:t>
      </w:r>
      <w:r>
        <w:rPr>
          <w:rFonts w:ascii="Times New Roman" w:hAnsi="Times New Roman" w:eastAsia="SimSun"/>
          <w:b w:val="0"/>
          <w:sz w:val="21"/>
        </w:rPr>
        <w:t>：FL vs FedHDS convergence（保留，重出 300 DPI）。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Figure 3（新主图）</w:t>
      </w:r>
      <w:r>
        <w:rPr>
          <w:rFonts w:ascii="Times New Roman" w:hAnsi="Times New Roman" w:eastAsia="SimSun"/>
          <w:b w:val="0"/>
          <w:sz w:val="21"/>
        </w:rPr>
        <w:t>：scatter 图，x 轴 global loss 增量、y 轴 MIA AUC 下降，每方法一个点 + 误差棒。</w:t>
      </w:r>
      <w:r>
        <w:rPr>
          <w:rFonts w:ascii="Times New Roman" w:hAnsi="Times New Roman" w:eastAsia="SimSun"/>
          <w:b/>
          <w:sz w:val="21"/>
        </w:rPr>
        <w:t>这张是新论文的封面级证据图。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Figure 4（新）</w:t>
      </w:r>
      <w:r>
        <w:rPr>
          <w:rFonts w:ascii="Times New Roman" w:hAnsi="Times New Roman" w:eastAsia="SimSun"/>
          <w:b w:val="0"/>
          <w:sz w:val="21"/>
        </w:rPr>
        <w:t>：direction probing 示意图，两条候选轨迹 + guard 截断。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Figure 5（新）</w:t>
      </w:r>
      <w:r>
        <w:rPr>
          <w:rFonts w:ascii="Times New Roman" w:hAnsi="Times New Roman" w:eastAsia="SimSun"/>
          <w:b w:val="0"/>
          <w:sz w:val="21"/>
        </w:rPr>
        <w:t>：accepted_steps heatmap，5 seeds × 主方法各 setting。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所有图重出 300 DPI PNG + 矢量 PDF 双版本。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8.3 投稿包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paper_draft_v3.docx（USTC 模板）+ 英文清稿版双备份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Cover letter：开头三句话突出 P1~P3 三项实质性补强（MIA、GA baseline、non-IID）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Highlights（KBS 必备）：5 条以内，对应核心 claim C1/C2/C3 + GA 对比 + MIA evidence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Graphical abstract（KBS 必备）：用 Figure 1 简化版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Response letter 草稿模板：预判 reviewer 会问的 5 个问题及答案（包括"为什么不和 FedEraser 比"、"为什么不做更大模型"）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九、参考时间表（仅供进度对齐，非硬约束）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按信号驱动优先级展开，每天数表示从 D+1 开始的天数：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日期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主任务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D+1 ~ D+2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P1：定 claims + MIA protocol + 备忘录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D+3 ~ D+9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P2：MIA 实现、GA baseline、5 seeds 主表跑完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D+10 ~ D+14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P3：Dirichlet 划分 + α=0.5 主对比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D+15 ~ D+19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P4：GA-with-guards ablation +（视情况）LiRA-lite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D+20 ~ D+24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P5：跨模型族 + §3.9 理论小节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D+8 ~ D+30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W：写作重构（与实验并行，P2 结束即开始）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D+25 ~ D+28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图表重做 + 投稿包准备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D+29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内审 1~2 人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D+30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定稿提交</w:t>
            </w:r>
          </w:p>
        </w:tc>
      </w:tr>
    </w:tbl>
    <w:p/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如果某优先级超时，</w:t>
      </w:r>
      <w:r>
        <w:rPr>
          <w:rFonts w:ascii="Times New Roman" w:hAnsi="Times New Roman" w:eastAsia="SimSun"/>
          <w:b/>
          <w:sz w:val="21"/>
        </w:rPr>
        <w:t>优先切割该优先级的非必要工作</w:t>
      </w:r>
      <w:r>
        <w:rPr>
          <w:rFonts w:ascii="Times New Roman" w:hAnsi="Times New Roman" w:eastAsia="SimSun"/>
          <w:b w:val="0"/>
          <w:sz w:val="21"/>
        </w:rPr>
        <w:t>（例如 P4 砍掉 LiRA-lite、P5 砍掉跨模型族），保留主线足够即可投稿，不延后整体节奏。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十、风险与应对预案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风险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概率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影响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应对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Pre-unlearning MIA AUC 接近随机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高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立即切到 non-IID（P3 上提到 P2 之前）；保留 IID 设置仅供对照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Shadow model 训练超时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低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砍掉 LiRA-lite，只交付 loss-based MIA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Dirichlet 划分下 FedHDS 训练崩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低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高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把 α 调到 0.7~1.0，写明"轻度异构"；保留 IID 主表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GA-with-guards 与主方法数值过于接近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写成"guard 是普适机制，curvature 提供方向先验"的双卖点叙事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LLaMA 模型显存不够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低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改用 Pythia-1.4B 或干脆放弃跨族验证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内审后大改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高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预留 D+29 后 1~2 天缓冲；若仍不够，延后 3~5 天投稿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单项卡住超 3 天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立即跳到下一优先级，被卡项目按计划降级或砍掉</w:t>
            </w:r>
          </w:p>
        </w:tc>
      </w:tr>
    </w:tbl>
    <w:p/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十一、投稿决策树</w:t>
      </w:r>
    </w:p>
    <w:p>
      <w:pPr>
        <w:spacing w:after="40"/>
        <w:ind w:left="283"/>
      </w:pPr>
      <w:r>
        <w:rPr>
          <w:rFonts w:ascii="Consolas" w:hAnsi="Consolas" w:eastAsia="SimSun"/>
          <w:b w:val="0"/>
          <w:sz w:val="19"/>
        </w:rPr>
        <w:t>D+28 检查点：</w:t>
      </w:r>
      <w:r>
        <w:br/>
      </w:r>
      <w:r>
        <w:rPr>
          <w:rFonts w:ascii="Consolas" w:hAnsi="Consolas" w:eastAsia="SimSun"/>
          <w:b w:val="0"/>
          <w:sz w:val="19"/>
        </w:rPr>
        <w:t>├── P1+P2+P3 都完成？</w:t>
      </w:r>
      <w:r>
        <w:br/>
      </w:r>
      <w:r>
        <w:rPr>
          <w:rFonts w:ascii="Consolas" w:hAnsi="Consolas" w:eastAsia="SimSun"/>
          <w:b w:val="0"/>
          <w:sz w:val="19"/>
        </w:rPr>
        <w:t>│   ├── 是 + P4(GA-with-guards) 也完成 → 试投 KBS 或 Information Sciences</w:t>
      </w:r>
      <w:r>
        <w:br/>
      </w:r>
      <w:r>
        <w:rPr>
          <w:rFonts w:ascii="Consolas" w:hAnsi="Consolas" w:eastAsia="SimSun"/>
          <w:b w:val="0"/>
          <w:sz w:val="19"/>
        </w:rPr>
        <w:t>│   ├── 是 + P4/P5 部分完成 → 投 Knowledge-Based Systems</w:t>
      </w:r>
      <w:r>
        <w:br/>
      </w:r>
      <w:r>
        <w:rPr>
          <w:rFonts w:ascii="Consolas" w:hAnsi="Consolas" w:eastAsia="SimSun"/>
          <w:b w:val="0"/>
          <w:sz w:val="19"/>
        </w:rPr>
        <w:t>│   └── 否（P3 没完成）→ 投 Neurocomputing 或 FGCS</w:t>
      </w:r>
      <w:r>
        <w:br/>
      </w:r>
      <w:r>
        <w:rPr>
          <w:rFonts w:ascii="Consolas" w:hAnsi="Consolas" w:eastAsia="SimSun"/>
          <w:b w:val="0"/>
          <w:sz w:val="19"/>
        </w:rPr>
        <w:t>└── 连 P2 都没完成 → 推迟 2 周，绝不裸投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首选</w:t>
      </w:r>
      <w:r>
        <w:rPr>
          <w:rFonts w:ascii="Times New Roman" w:hAnsi="Times New Roman" w:eastAsia="SimSun"/>
          <w:b w:val="0"/>
          <w:sz w:val="21"/>
        </w:rPr>
        <w:t>：Knowledge-Based Systems（IF ≈ 7.5，已引用过该刊同方向工作 [11]）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备选</w:t>
      </w:r>
      <w:r>
        <w:rPr>
          <w:rFonts w:ascii="Times New Roman" w:hAnsi="Times New Roman" w:eastAsia="SimSun"/>
          <w:b w:val="0"/>
          <w:sz w:val="21"/>
        </w:rPr>
        <w:t>：Neurocomputing（IF ≈ 6，实验型友好）/ Future Generation Computer Systems（IF ≈ 7，系统叙事）</w:t>
      </w:r>
    </w:p>
    <w:p>
      <w:pPr>
        <w:spacing w:after="40" w:line="336" w:lineRule="auto"/>
      </w:pPr>
      <w:r>
        <w:rPr>
          <w:rFonts w:ascii="Times New Roman" w:hAnsi="Times New Roman" w:eastAsia="SimSun"/>
          <w:b/>
          <w:sz w:val="21"/>
        </w:rPr>
        <w:t>进阶</w:t>
      </w:r>
      <w:r>
        <w:rPr>
          <w:rFonts w:ascii="Times New Roman" w:hAnsi="Times New Roman" w:eastAsia="SimSun"/>
          <w:b w:val="0"/>
          <w:sz w:val="21"/>
        </w:rPr>
        <w:t>：Information Sciences（仅在 P4 完整、MIA 结果干净时考虑）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十二、Checklist 总览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P1（2 天）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写 claims 三元组 C1/C2/C3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写 mia_protocol.md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实现 mia_loss_based.py 骨架并在 FedHDS baseline 上跑通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验证 pre-unlearning MIA AUC &gt; 0.5（否则触发 fallback）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P2（7 天）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实现 Gradient Ascent baseline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4 unlearning methods × 5 seeds + 2~4 组 reference 主表跑完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修改 </w:t>
      </w:r>
      <w:r>
        <w:rPr>
          <w:rFonts w:ascii="Consolas" w:hAnsi="Consolas" w:eastAsia="SimSun"/>
          <w:b w:val="0"/>
          <w:sz w:val="20"/>
        </w:rPr>
        <w:t>scripts/make_paper_table.py</w:t>
      </w:r>
      <w:r>
        <w:rPr>
          <w:rFonts w:ascii="Times New Roman" w:hAnsi="Times New Roman" w:eastAsia="SimSun"/>
          <w:b w:val="0"/>
          <w:sz w:val="21"/>
        </w:rPr>
        <w:t xml:space="preserve">，把已有的 </w:t>
      </w:r>
      <w:r>
        <w:rPr>
          <w:rFonts w:ascii="Consolas" w:hAnsi="Consolas" w:eastAsia="SimSun"/>
          <w:b w:val="0"/>
          <w:sz w:val="20"/>
        </w:rPr>
        <w:t>unlearn_steps_accepted</w:t>
      </w:r>
      <w:r>
        <w:rPr>
          <w:rFonts w:ascii="Times New Roman" w:hAnsi="Times New Roman" w:eastAsia="SimSun"/>
          <w:b w:val="0"/>
          <w:sz w:val="21"/>
        </w:rPr>
        <w:t xml:space="preserve"> / </w:t>
      </w:r>
      <w:r>
        <w:rPr>
          <w:rFonts w:ascii="Consolas" w:hAnsi="Consolas" w:eastAsia="SimSun"/>
          <w:b w:val="0"/>
          <w:sz w:val="20"/>
        </w:rPr>
        <w:t>unlearn_num_steps</w:t>
      </w:r>
      <w:r>
        <w:rPr>
          <w:rFonts w:ascii="Times New Roman" w:hAnsi="Times New Roman" w:eastAsia="SimSun"/>
          <w:b w:val="0"/>
          <w:sz w:val="21"/>
        </w:rPr>
        <w:t xml:space="preserve"> / </w:t>
      </w:r>
      <w:r>
        <w:rPr>
          <w:rFonts w:ascii="Consolas" w:hAnsi="Consolas" w:eastAsia="SimSun"/>
          <w:b w:val="0"/>
          <w:sz w:val="20"/>
        </w:rPr>
        <w:t>actual_param_delta_l2_norm</w:t>
      </w:r>
      <w:r>
        <w:rPr>
          <w:rFonts w:ascii="Times New Roman" w:hAnsi="Times New Roman" w:eastAsia="SimSun"/>
          <w:b w:val="0"/>
          <w:sz w:val="21"/>
        </w:rPr>
        <w:t xml:space="preserve"> 字段显式映射到论文表格列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升级版 Table 3（mean ± std）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Figure 3 scatter 图（MIA AUC vs global loss Δ）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P3（5 天）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使用现有 </w:t>
      </w:r>
      <w:r>
        <w:rPr>
          <w:rFonts w:ascii="Consolas" w:hAnsi="Consolas" w:eastAsia="SimSun"/>
          <w:b w:val="0"/>
          <w:sz w:val="20"/>
        </w:rPr>
        <w:t>--iid dir0.5</w:t>
      </w:r>
      <w:r>
        <w:rPr>
          <w:rFonts w:ascii="Times New Roman" w:hAnsi="Times New Roman" w:eastAsia="SimSun"/>
          <w:b w:val="0"/>
          <w:sz w:val="21"/>
        </w:rPr>
        <w:t xml:space="preserve"> CLI 直接接线（无需改 </w:t>
      </w:r>
      <w:r>
        <w:rPr>
          <w:rFonts w:ascii="Consolas" w:hAnsi="Consolas" w:eastAsia="SimSun"/>
          <w:b w:val="0"/>
          <w:sz w:val="20"/>
        </w:rPr>
        <w:t>partition_data.py</w:t>
      </w:r>
      <w:r>
        <w:rPr>
          <w:rFonts w:ascii="Times New Roman" w:hAnsi="Times New Roman" w:eastAsia="SimSun"/>
          <w:b w:val="0"/>
          <w:sz w:val="21"/>
        </w:rPr>
        <w:t>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α=0.5 主对比 + 方向消融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§5.6 Non-IID 章节初稿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P4（5 天）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GA-with-guards 实现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§5.7 Ablation 章节初稿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（可选）LiRA-lite 3 shadow models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（可选）LiRA AUC 段落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P5（5 天，非阻塞）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</w:t>
      </w:r>
      <w:r>
        <w:rPr>
          <w:rFonts w:ascii="Times New Roman" w:hAnsi="Times New Roman" w:eastAsia="SimSun"/>
          <w:b/>
          <w:sz w:val="21"/>
        </w:rPr>
        <w:t>首选</w:t>
      </w:r>
      <w:r>
        <w:rPr>
          <w:rFonts w:ascii="Times New Roman" w:hAnsi="Times New Roman" w:eastAsia="SimSun"/>
          <w:b w:val="0"/>
          <w:sz w:val="21"/>
        </w:rPr>
        <w:t xml:space="preserve"> LLaMA-3.2-1B 主对比（单 seed，LoRA target modules 无需改）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Pythia-1.4B 仅作为 LLaMA 受阻时的备选，需先适配 </w:t>
      </w:r>
      <w:r>
        <w:rPr>
          <w:rFonts w:ascii="Consolas" w:hAnsi="Consolas" w:eastAsia="SimSun"/>
          <w:b w:val="0"/>
          <w:sz w:val="20"/>
        </w:rPr>
        <w:t>server.py:60</w:t>
      </w:r>
      <w:r>
        <w:rPr>
          <w:rFonts w:ascii="Times New Roman" w:hAnsi="Times New Roman" w:eastAsia="SimSun"/>
          <w:b w:val="0"/>
          <w:sz w:val="21"/>
        </w:rPr>
        <w:t xml:space="preserve"> 的 target modules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§3.9 supporting rationale 半页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 xml:space="preserve">☐ </w:t>
      </w:r>
      <w:r>
        <w:rPr>
          <w:rFonts w:ascii="Times New Roman" w:hAnsi="Times New Roman" w:eastAsia="SimSun"/>
          <w:b/>
          <w:sz w:val="21"/>
        </w:rPr>
        <w:t>若到 D+24 仍未完成，整段移入 future work，不阻塞投稿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W（贯穿后 3 周）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Abstract / §1 Introduction / §7 Conclusion 按主线重写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§2 Related Work 扩到 35~50 篇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§5.2 Main Trade-off 重写（retrain 改 oracle，新增 GA，加 MIA 列）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§5.3 Direction Ablation 加 mean ± std + Seed 44 段落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§5.5 Seeds 改 5 种子均值方差 + accepted_steps 分布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Figure 1 pipeline overview 新画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Figure 4 direction probing 示意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Figure 5 accepted_steps heatmap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所有图重出 300 DPI + PDF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Cover letter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Highlights × 5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Graphical abstract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内审 1~2 人</w:t>
      </w:r>
    </w:p>
    <w:p>
      <w:pPr>
        <w:spacing w:after="40" w:line="336" w:lineRule="auto"/>
        <w:ind w:left="397"/>
      </w:pPr>
      <w:r>
        <w:rPr>
          <w:rFonts w:ascii="Times New Roman" w:hAnsi="Times New Roman" w:eastAsia="SimSun"/>
          <w:b w:val="0"/>
          <w:sz w:val="21"/>
        </w:rPr>
        <w:t>☐ 定稿提交</w:t>
      </w:r>
    </w:p>
    <w:p>
      <w:pPr>
        <w:pBdr>
          <w:bottom w:val="single" w:sz="6" w:space="1" w:color="808080"/>
        </w:pBdr>
      </w:pPr>
    </w:p>
    <w:p>
      <w:pPr>
        <w:spacing w:before="160" w:after="80"/>
      </w:pPr>
      <w:r>
        <w:rPr>
          <w:rFonts w:ascii="Times New Roman" w:hAnsi="Times New Roman" w:eastAsia="SimHei"/>
          <w:b/>
          <w:sz w:val="30"/>
        </w:rPr>
        <w:t>十三、结语与最终成功标准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v2.1 计划在 v2 主线基础上做了 5 处技术校正（codex review 反馈）：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1. MIA 代码路径从 </w:t>
      </w:r>
      <w:r>
        <w:rPr>
          <w:rFonts w:ascii="Consolas" w:hAnsi="Consolas" w:eastAsia="SimSun"/>
          <w:b w:val="0"/>
          <w:sz w:val="20"/>
        </w:rPr>
        <w:t>evaluations/mia_loss_based.py</w:t>
      </w:r>
      <w:r>
        <w:rPr>
          <w:rFonts w:ascii="Times New Roman" w:hAnsi="Times New Roman" w:eastAsia="SimSun"/>
          <w:b w:val="0"/>
          <w:sz w:val="21"/>
        </w:rPr>
        <w:t xml:space="preserve"> 改为 </w:t>
      </w:r>
      <w:r>
        <w:rPr>
          <w:rFonts w:ascii="Consolas" w:hAnsi="Consolas" w:eastAsia="SimSun"/>
          <w:b w:val="0"/>
          <w:sz w:val="20"/>
        </w:rPr>
        <w:t>scripts/mia_loss_based.py</w:t>
      </w:r>
      <w:r>
        <w:rPr>
          <w:rFonts w:ascii="Times New Roman" w:hAnsi="Times New Roman" w:eastAsia="SimSun"/>
          <w:b w:val="0"/>
          <w:sz w:val="21"/>
        </w:rPr>
        <w:t xml:space="preserve"> 或扩展现有 </w:t>
      </w:r>
      <w:r>
        <w:rPr>
          <w:rFonts w:ascii="Consolas" w:hAnsi="Consolas" w:eastAsia="SimSun"/>
          <w:b w:val="0"/>
          <w:sz w:val="20"/>
        </w:rPr>
        <w:t>evaluations.py</w:t>
      </w:r>
      <w:r>
        <w:rPr>
          <w:rFonts w:ascii="Times New Roman" w:hAnsi="Times New Roman" w:eastAsia="SimSun"/>
          <w:b w:val="0"/>
          <w:sz w:val="21"/>
        </w:rPr>
        <w:t>，避免与顶层文件命名冲突。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2. Non-IID 入口使用现有 </w:t>
      </w:r>
      <w:r>
        <w:rPr>
          <w:rFonts w:ascii="Consolas" w:hAnsi="Consolas" w:eastAsia="SimSun"/>
          <w:b w:val="0"/>
          <w:sz w:val="20"/>
        </w:rPr>
        <w:t>--iid dir0.5</w:t>
      </w:r>
      <w:r>
        <w:rPr>
          <w:rFonts w:ascii="Times New Roman" w:hAnsi="Times New Roman" w:eastAsia="SimSun"/>
          <w:b w:val="0"/>
          <w:sz w:val="21"/>
        </w:rPr>
        <w:t xml:space="preserve">，不新增 </w:t>
      </w:r>
      <w:r>
        <w:rPr>
          <w:rFonts w:ascii="Consolas" w:hAnsi="Consolas" w:eastAsia="SimSun"/>
          <w:b w:val="0"/>
          <w:sz w:val="20"/>
        </w:rPr>
        <w:t>--iid_split</w:t>
      </w:r>
      <w:r>
        <w:rPr>
          <w:rFonts w:ascii="Times New Roman" w:hAnsi="Times New Roman" w:eastAsia="SimSun"/>
          <w:b w:val="0"/>
          <w:sz w:val="21"/>
        </w:rPr>
        <w:t xml:space="preserve"> 参数；P3 从"接口改造"降级为"接线 + 复跑"。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3. </w:t>
      </w:r>
      <w:r>
        <w:rPr>
          <w:rFonts w:ascii="Consolas" w:hAnsi="Consolas" w:eastAsia="SimSun"/>
          <w:b w:val="0"/>
          <w:sz w:val="20"/>
        </w:rPr>
        <w:t>accepted_steps</w:t>
      </w:r>
      <w:r>
        <w:rPr>
          <w:rFonts w:ascii="Times New Roman" w:hAnsi="Times New Roman" w:eastAsia="SimSun"/>
          <w:b w:val="0"/>
          <w:sz w:val="21"/>
        </w:rPr>
        <w:t>、</w:t>
      </w:r>
      <w:r>
        <w:rPr>
          <w:rFonts w:ascii="Consolas" w:hAnsi="Consolas" w:eastAsia="SimSun"/>
          <w:b w:val="0"/>
          <w:sz w:val="20"/>
        </w:rPr>
        <w:t>actual update L2</w:t>
      </w:r>
      <w:r>
        <w:rPr>
          <w:rFonts w:ascii="Times New Roman" w:hAnsi="Times New Roman" w:eastAsia="SimSun"/>
          <w:b w:val="0"/>
          <w:sz w:val="21"/>
        </w:rPr>
        <w:t xml:space="preserve"> 等字段</w:t>
      </w:r>
      <w:r>
        <w:rPr>
          <w:rFonts w:ascii="Times New Roman" w:hAnsi="Times New Roman" w:eastAsia="SimSun"/>
          <w:b/>
          <w:sz w:val="21"/>
        </w:rPr>
        <w:t>已在 `summary.csv` 中</w:t>
      </w:r>
      <w:r>
        <w:rPr>
          <w:rFonts w:ascii="Times New Roman" w:hAnsi="Times New Roman" w:eastAsia="SimSun"/>
          <w:b w:val="0"/>
          <w:sz w:val="21"/>
        </w:rPr>
        <w:t>，P2 这部分是</w:t>
      </w:r>
      <w:r>
        <w:rPr>
          <w:rFonts w:ascii="Times New Roman" w:hAnsi="Times New Roman" w:eastAsia="SimSun"/>
          <w:b/>
          <w:sz w:val="21"/>
        </w:rPr>
        <w:t>表格映射 + 写作</w:t>
      </w:r>
      <w:r>
        <w:rPr>
          <w:rFonts w:ascii="Times New Roman" w:hAnsi="Times New Roman" w:eastAsia="SimSun"/>
          <w:b w:val="0"/>
          <w:sz w:val="21"/>
        </w:rPr>
        <w:t>，不是新实现。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4. P2 实验矩阵明确为 4 unlearning methods × 5 seeds + 2~4 组 reference；retrain oracle 仅 1~2 seeds，不进 critical path。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5. P5 跨族验证首选 LLaMA-3.2-1B（LoRA target modules 自然匹配），Pythia-1.4B 需要额外适配，不是零成本平替。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新增一条原则（codex 强调）：</w:t>
      </w:r>
      <w:r>
        <w:rPr>
          <w:rFonts w:ascii="Times New Roman" w:hAnsi="Times New Roman" w:eastAsia="SimSun"/>
          <w:b/>
          <w:sz w:val="21"/>
        </w:rPr>
        <w:t>MIA member/non-member 集必须与现有 zeroshot eval set（category 7 held-out）解耦</w:t>
      </w:r>
      <w:r>
        <w:rPr>
          <w:rFonts w:ascii="Times New Roman" w:hAnsi="Times New Roman" w:eastAsia="SimSun"/>
          <w:b w:val="0"/>
          <w:sz w:val="21"/>
        </w:rPr>
        <w:t xml:space="preserve">，绝不复用 </w:t>
      </w:r>
      <w:r>
        <w:rPr>
          <w:rFonts w:ascii="Consolas" w:hAnsi="Consolas" w:eastAsia="SimSun"/>
          <w:b w:val="0"/>
          <w:sz w:val="20"/>
        </w:rPr>
        <w:t>eval_loader</w:t>
      </w:r>
      <w:r>
        <w:rPr>
          <w:rFonts w:ascii="Times New Roman" w:hAnsi="Times New Roman" w:eastAsia="SimSun"/>
          <w:b w:val="0"/>
          <w:sz w:val="21"/>
        </w:rPr>
        <w:t>，否则攻击协议会被审稿人挑出来。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最终成功标准（codex 建议，作为执行硬底线）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D+28 前必须完成 P1 + P2 + P3</w:t>
      </w:r>
      <w:r>
        <w:rPr>
          <w:rFonts w:ascii="Times New Roman" w:hAnsi="Times New Roman" w:eastAsia="SimSun"/>
          <w:b w:val="0"/>
          <w:sz w:val="21"/>
        </w:rPr>
        <w:t>。这是投稿底线。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P4 只保 GA-with-guards</w:t>
      </w:r>
      <w:r>
        <w:rPr>
          <w:rFonts w:ascii="Times New Roman" w:hAnsi="Times New Roman" w:eastAsia="SimSun"/>
          <w:b w:val="0"/>
          <w:sz w:val="21"/>
        </w:rPr>
        <w:t xml:space="preserve"> 这一个 ablation；LiRA-lite 不许阻塞投稿。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P5（跨模型族 + 半页理论）任何一项都不许阻塞投稿</w:t>
      </w:r>
      <w:r>
        <w:rPr>
          <w:rFonts w:ascii="Times New Roman" w:hAnsi="Times New Roman" w:eastAsia="SimSun"/>
          <w:b w:val="0"/>
          <w:sz w:val="21"/>
        </w:rPr>
        <w:t>。完成则进正文，未完成则进 future work。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• 单项卡住超 3 天立刻按优先级降级，跳到下一项。</w:t>
      </w:r>
    </w:p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codex 评级对应的执行节奏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评级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项目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处理方式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高可行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P1、P3、W 重写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按时间表执行，作为投稿底层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中可行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P2（瓶颈）、P4 GA-with-guards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重点保障 P2，P4 简单且回报高，必做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低到中可行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LiRA-lite、P5 跨族、P5 理论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全部非阻塞，按余力做；时间不够直接砍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SimHei"/>
          <w:b/>
          <w:sz w:val="26"/>
        </w:rPr>
        <w:t>一句话总结</w:t>
      </w:r>
    </w:p>
    <w:p>
      <w:pPr>
        <w:spacing w:after="40" w:line="336" w:lineRule="auto"/>
      </w:pPr>
      <w:r>
        <w:rPr>
          <w:rFonts w:ascii="Times New Roman" w:hAnsi="Times New Roman" w:eastAsia="SimSun"/>
          <w:b w:val="0"/>
          <w:sz w:val="21"/>
        </w:rPr>
        <w:t>一个月内按 P1→P2→P3 完成即可投 Neurocomputing；推进到 P4 即可投 KBS；P5 完整可挑战 Information Sciences。</w:t>
      </w:r>
      <w:r>
        <w:rPr>
          <w:rFonts w:ascii="Times New Roman" w:hAnsi="Times New Roman" w:eastAsia="SimSun"/>
          <w:b/>
          <w:sz w:val="21"/>
        </w:rPr>
        <w:t>投稿决策按 D+28 实际进度执行，绝不为等高优先级而延后</w:t>
      </w:r>
      <w:r>
        <w:rPr>
          <w:rFonts w:ascii="Times New Roman" w:hAnsi="Times New Roman" w:eastAsia="SimSun"/>
          <w:b w:val="0"/>
          <w:sz w:val="21"/>
        </w:rPr>
        <w:t>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  <w:rFonts w:ascii="Times New Roman" w:hAnsi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