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6BBF6"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2B303240"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4645D2B7"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7FB1842D" w14:textId="77777777" w:rsidR="00F91569"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5828C069" w14:textId="77777777" w:rsidR="00F91569" w:rsidRDefault="00000000">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經營管理方：毅源開發股份有限公司（下稱「乙方」）</w:t>
      </w:r>
    </w:p>
    <w:p w14:paraId="2E6A64F8" w14:textId="77777777" w:rsidR="004645F8" w:rsidRPr="008A2146" w:rsidRDefault="004645F8">
      <w:pPr>
        <w:spacing w:line="420" w:lineRule="auto"/>
        <w:jc w:val="both"/>
        <w:rPr>
          <w:rFonts w:ascii="標楷體" w:eastAsia="標楷體" w:hAnsi="標楷體" w:cs="Times New Roman"/>
          <w:color w:val="000000"/>
        </w:rPr>
      </w:pPr>
    </w:p>
    <w:p w14:paraId="42B05C5B"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02D3D5DF" w14:textId="77777777" w:rsidR="004645F8" w:rsidRPr="008A2146" w:rsidRDefault="004645F8">
      <w:pPr>
        <w:spacing w:line="420" w:lineRule="auto"/>
        <w:jc w:val="both"/>
        <w:rPr>
          <w:rFonts w:ascii="標楷體" w:eastAsia="標楷體" w:hAnsi="標楷體" w:cs="Times New Roman"/>
          <w:color w:val="000000"/>
        </w:rPr>
      </w:pPr>
    </w:p>
    <w:p w14:paraId="13C07214"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58E5273C" w14:textId="77777777" w:rsidR="00F91569"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6A1EFB9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41A6C50B"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35E2142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D2B2DB9"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3C85F616"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7A3E88B3" w14:textId="77777777" w:rsidR="00F91569"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4C0F2BA5" w14:textId="77777777" w:rsidR="00F91569"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7D0A3314" w14:textId="77777777" w:rsidR="00F91569"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0B5673D0" w14:textId="77777777" w:rsidR="00F91569"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採月結制，即以每一（1）個月為一期，乙方於代收合作場站之停車營收（未稅）後，由甲乙雙方依甲方分得 {{ party_a_percent }}%、乙方分得 {{ party_b_percent }}%之比例進行營收分潤。</w:t>
      </w:r>
    </w:p>
    <w:p w14:paraId="0EA5BB9F" w14:textId="77777777" w:rsidR="00F91569"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071B7A10" w14:textId="77777777" w:rsidR="00F91569"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最低保障收益：乙方保障甲方每期（月）最低可獲得之場地合作收益為新台幣{{ min_guarantee }}元整（含稅）。若當期依比例拆帳未達此金額，乙方仍應補足至此保底金額支付予甲方。</w:t>
      </w:r>
    </w:p>
    <w:p w14:paraId="44266D3D" w14:textId="77777777" w:rsidR="00F91569"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超額分潤機制：當合作場站之單月停車營收（未稅）超過新台幣{{ excess_threshold }}元（下稱「超額門檻」）時，就超過該門檻之營收部分，甲乙雙方另依甲方分得 {{ excess_party_a_percent }}%、乙方分得 {{ excess_party_b_percent }}%之比例分配超額分潤。</w:t>
      </w:r>
    </w:p>
    <w:p w14:paraId="11398432"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66912D21"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6A7D4951"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63728BB4"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_________</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3C666C15"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404D267D"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6ACA6079"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70E404B4"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76956C3E"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D66744B"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3E883F22"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0BEAC5AF"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48AE853E"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6A3A7DFA"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60FFD395"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5164ED52"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27F135B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6BA74A0E"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BD0F659"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6A87602A"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66810F0F"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002BB08F"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272105F6"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38EE880F"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31E67992"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71D2B2DF"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3B25173D" w14:textId="77777777" w:rsidR="004645F8" w:rsidRPr="008A2146" w:rsidRDefault="004645F8">
      <w:pPr>
        <w:spacing w:line="420" w:lineRule="auto"/>
        <w:ind w:left="988"/>
        <w:jc w:val="both"/>
        <w:rPr>
          <w:rFonts w:ascii="標楷體" w:eastAsia="標楷體" w:hAnsi="標楷體" w:cs="Times New Roman"/>
          <w:color w:val="000000"/>
        </w:rPr>
      </w:pPr>
    </w:p>
    <w:p w14:paraId="18F94D50"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2F17BAD9"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3C67E6EE"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791318F7"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6CB1BA22"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793E94AC" w14:textId="7777777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w:t>
      </w:r>
      <w:r w:rsidRPr="008A2146">
        <w:rPr>
          <w:rFonts w:ascii="標楷體" w:eastAsia="標楷體" w:hAnsi="標楷體" w:cs="Times New Roman" w:hint="eastAsia"/>
          <w:color w:val="000000"/>
        </w:rPr>
        <w:lastRenderedPageBreak/>
        <w:t>方之營業收入或服務費用，乙方毋庸就此代收轉付金額另行開立統一發票。</w:t>
      </w:r>
    </w:p>
    <w:p w14:paraId="70DA8118" w14:textId="77777777"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0997643E"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FED4F0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1DFCA0D9"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7FB3633E" w14:textId="62C83544"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F937E4" w:rsidRPr="00F937E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1FF34D7E"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53F099F0"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04E6ABF"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6B620411"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2A42E27C"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62F76E82"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49576BA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39CA0497" w14:textId="77777777" w:rsidR="00F91569"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161EF8AA"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3D364323"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65BA6416"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3A9EA00C"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726EB018"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1B666A5A"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430ACC3F"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104A66A7"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1150DF60"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66961D05"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27E43D08"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A062B2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59B3644B"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521B7054"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1B1339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0615D37F"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0E5F713B"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7E87907B"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31BEA825"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7A45736C"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5569EA39"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5B4B6D70"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77B24EA1"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0E7F7AB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4B946F10"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1875A0D1"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73A729E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6EFF2A54"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4E07C756"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1B76FA99"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3E787694"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2E69F20B"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31776783"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4CCAEC6C"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1FDCD14A"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7555C67E"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76ACBBF8"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5BB3FE0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2324F96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5C81D537"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7BDD7A2A"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7AA49FA1"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188CE5CB"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70584B6C"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065274A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245225C7"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7E80077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10ABB867"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26CDFC3F"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4752B289"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4A980DB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4652ADB9"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6CDF6B4B"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52241B53"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4E391B63"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7FDC95CE" w14:textId="77777777" w:rsidR="00920E4E" w:rsidRPr="00920E4E" w:rsidRDefault="00920E4E" w:rsidP="00920E4E">
      <w:pPr>
        <w:widowControl/>
        <w:rPr>
          <w:rFonts w:ascii="新細明體" w:eastAsia="新細明體" w:hAnsi="新細明體" w:cs="新細明體"/>
        </w:rPr>
      </w:pPr>
    </w:p>
    <w:p w14:paraId="4C6BEECE"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63B52F1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38DDB3BF"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2C45670D"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7D8F2E31"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78EC1126"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135AC8AE" w14:textId="77777777" w:rsidR="004645F8" w:rsidRPr="008A2146" w:rsidRDefault="004645F8">
      <w:pPr>
        <w:spacing w:line="420" w:lineRule="auto"/>
        <w:jc w:val="both"/>
        <w:rPr>
          <w:rFonts w:ascii="標楷體" w:eastAsia="標楷體" w:hAnsi="標楷體" w:cs="Times New Roman"/>
          <w:color w:val="000000"/>
        </w:rPr>
      </w:pPr>
    </w:p>
    <w:p w14:paraId="1CD18804"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2D5BBBE6"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3344341B"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5A8FC992"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5934D71B"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5B2D0451" w14:textId="77777777" w:rsidR="002057A8" w:rsidRPr="008A2146" w:rsidRDefault="002057A8" w:rsidP="002057A8">
      <w:pPr>
        <w:spacing w:line="420" w:lineRule="auto"/>
        <w:ind w:left="425"/>
        <w:jc w:val="both"/>
        <w:rPr>
          <w:rFonts w:ascii="標楷體" w:eastAsia="標楷體" w:hAnsi="標楷體" w:cs="Times New Roman"/>
          <w:color w:val="000000"/>
        </w:rPr>
      </w:pPr>
    </w:p>
    <w:p w14:paraId="690B8BA3"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乙方名稱：毅源開發股份有限公司</w:t>
      </w:r>
    </w:p>
    <w:p w14:paraId="7AF8E1D9"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代表人：吳品毅</w:t>
      </w:r>
    </w:p>
    <w:p w14:paraId="38FD48C7"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統一編號：62204330</w:t>
      </w:r>
    </w:p>
    <w:p w14:paraId="67DDD960"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聯絡地址：臺北市松山區寶清街21號4樓之1</w:t>
      </w:r>
    </w:p>
    <w:p w14:paraId="44E924F8"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電子郵件：service@yiyuandev.com</w:t>
      </w:r>
    </w:p>
    <w:p w14:paraId="3F3C29EA" w14:textId="77777777" w:rsidR="00DF3BBA" w:rsidRDefault="00DF3BBA">
      <w:pPr>
        <w:spacing w:line="420" w:lineRule="auto"/>
        <w:jc w:val="both"/>
        <w:rPr>
          <w:rFonts w:ascii="標楷體" w:eastAsia="標楷體" w:hAnsi="標楷體" w:cs="Times New Roman"/>
          <w:color w:val="000000"/>
        </w:rPr>
      </w:pPr>
    </w:p>
    <w:p w14:paraId="0220DE76" w14:textId="77777777" w:rsidR="0024616E" w:rsidRDefault="0024616E">
      <w:pPr>
        <w:spacing w:line="420" w:lineRule="auto"/>
        <w:jc w:val="both"/>
        <w:rPr>
          <w:rFonts w:ascii="標楷體" w:eastAsia="標楷體" w:hAnsi="標楷體" w:cs="Times New Roman"/>
          <w:color w:val="000000"/>
        </w:rPr>
      </w:pPr>
    </w:p>
    <w:p w14:paraId="42031049" w14:textId="77777777" w:rsidR="0024616E" w:rsidRDefault="0024616E">
      <w:pPr>
        <w:spacing w:line="420" w:lineRule="auto"/>
        <w:jc w:val="both"/>
        <w:rPr>
          <w:rFonts w:ascii="標楷體" w:eastAsia="標楷體" w:hAnsi="標楷體" w:cs="Times New Roman"/>
          <w:color w:val="000000"/>
        </w:rPr>
      </w:pPr>
    </w:p>
    <w:p w14:paraId="0A949BF0" w14:textId="77777777" w:rsidR="002F35EC" w:rsidRDefault="002F35EC">
      <w:pPr>
        <w:spacing w:line="420" w:lineRule="auto"/>
        <w:jc w:val="both"/>
        <w:rPr>
          <w:rFonts w:ascii="標楷體" w:eastAsia="標楷體" w:hAnsi="標楷體" w:cs="Times New Roman"/>
          <w:color w:val="000000"/>
        </w:rPr>
      </w:pPr>
    </w:p>
    <w:p w14:paraId="022F0163" w14:textId="77777777" w:rsidR="002F35EC" w:rsidRDefault="002F35EC">
      <w:pPr>
        <w:spacing w:line="420" w:lineRule="auto"/>
        <w:jc w:val="both"/>
        <w:rPr>
          <w:rFonts w:ascii="標楷體" w:eastAsia="標楷體" w:hAnsi="標楷體" w:cs="Times New Roman"/>
          <w:color w:val="000000"/>
        </w:rPr>
      </w:pPr>
    </w:p>
    <w:p w14:paraId="6054D31C" w14:textId="77777777" w:rsidR="002F35EC" w:rsidRDefault="002F35EC">
      <w:pPr>
        <w:spacing w:line="420" w:lineRule="auto"/>
        <w:jc w:val="both"/>
        <w:rPr>
          <w:rFonts w:ascii="標楷體" w:eastAsia="標楷體" w:hAnsi="標楷體" w:cs="Times New Roman"/>
          <w:color w:val="000000"/>
        </w:rPr>
      </w:pPr>
    </w:p>
    <w:p w14:paraId="3133B018" w14:textId="77777777" w:rsidR="002F35EC" w:rsidRDefault="002F35EC">
      <w:pPr>
        <w:spacing w:line="420" w:lineRule="auto"/>
        <w:jc w:val="both"/>
        <w:rPr>
          <w:rFonts w:ascii="標楷體" w:eastAsia="標楷體" w:hAnsi="標楷體" w:cs="Times New Roman"/>
          <w:color w:val="000000"/>
        </w:rPr>
      </w:pPr>
    </w:p>
    <w:p w14:paraId="26F747CF" w14:textId="77777777" w:rsidR="002F35EC" w:rsidRDefault="002F35EC">
      <w:pPr>
        <w:spacing w:line="420" w:lineRule="auto"/>
        <w:jc w:val="both"/>
        <w:rPr>
          <w:rFonts w:ascii="標楷體" w:eastAsia="標楷體" w:hAnsi="標楷體" w:cs="Times New Roman"/>
          <w:color w:val="000000"/>
        </w:rPr>
      </w:pPr>
    </w:p>
    <w:p w14:paraId="778AA7CA" w14:textId="77777777" w:rsidR="002F35EC" w:rsidRDefault="002F35EC">
      <w:pPr>
        <w:spacing w:line="420" w:lineRule="auto"/>
        <w:jc w:val="both"/>
        <w:rPr>
          <w:rFonts w:ascii="標楷體" w:eastAsia="標楷體" w:hAnsi="標楷體" w:cs="Times New Roman"/>
          <w:color w:val="000000"/>
        </w:rPr>
      </w:pPr>
    </w:p>
    <w:p w14:paraId="1D53D730" w14:textId="77777777" w:rsidR="002F35EC" w:rsidRDefault="002F35EC">
      <w:pPr>
        <w:spacing w:line="420" w:lineRule="auto"/>
        <w:jc w:val="both"/>
        <w:rPr>
          <w:rFonts w:ascii="標楷體" w:eastAsia="標楷體" w:hAnsi="標楷體" w:cs="Times New Roman"/>
          <w:color w:val="000000"/>
        </w:rPr>
      </w:pPr>
    </w:p>
    <w:p w14:paraId="34730802" w14:textId="77777777" w:rsidR="002F35EC" w:rsidRDefault="002F35EC">
      <w:pPr>
        <w:spacing w:line="420" w:lineRule="auto"/>
        <w:jc w:val="both"/>
        <w:rPr>
          <w:rFonts w:ascii="標楷體" w:eastAsia="標楷體" w:hAnsi="標楷體" w:cs="Times New Roman"/>
          <w:color w:val="000000"/>
        </w:rPr>
      </w:pPr>
    </w:p>
    <w:p w14:paraId="3C06F7B7" w14:textId="77777777" w:rsidR="0024616E" w:rsidRPr="008A2146" w:rsidRDefault="0024616E">
      <w:pPr>
        <w:spacing w:line="420" w:lineRule="auto"/>
        <w:jc w:val="both"/>
        <w:rPr>
          <w:rFonts w:ascii="標楷體" w:eastAsia="標楷體" w:hAnsi="標楷體" w:cs="Times New Roman"/>
          <w:color w:val="000000"/>
        </w:rPr>
      </w:pPr>
    </w:p>
    <w:p w14:paraId="7259E9CA" w14:textId="77777777" w:rsidR="00F91569"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7E6AE111"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65493E96"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800A9" w14:textId="77777777" w:rsidR="00D6574E" w:rsidRDefault="00D6574E">
      <w:r>
        <w:separator/>
      </w:r>
    </w:p>
  </w:endnote>
  <w:endnote w:type="continuationSeparator" w:id="0">
    <w:p w14:paraId="082950D2" w14:textId="77777777" w:rsidR="00D6574E" w:rsidRDefault="00D657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68CE37A5-281B-4BB1-85A8-EFA0BA7E9BAD}"/>
    <w:embedBold r:id="rId2" w:subsetted="1" w:fontKey="{CABF588F-8811-4765-8F5B-54E270FE00F1}"/>
    <w:embedItalic r:id="rId3" w:subsetted="1" w:fontKey="{99779636-CA67-44EB-A1CB-DD1755F3AF91}"/>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3C0E23DA-7DC7-44F5-8AB9-419985C909E5}"/>
    <w:embedBold r:id="rId5" w:fontKey="{2A30D705-CEAD-481E-BAE1-D30540DD1A81}"/>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0350E9F-8F84-434D-96DB-CC468F85F18D}"/>
    <w:embedItalic r:id="rId7" w:fontKey="{6A61F82D-F4A1-4272-8D9A-CBB1219E91DA}"/>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E431D203-9717-42DF-9EE5-5738769524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94B82"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5EC27F75"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69B4A"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7EB0402B"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59373" w14:textId="77777777" w:rsidR="00D6574E" w:rsidRDefault="00D6574E">
      <w:r>
        <w:separator/>
      </w:r>
    </w:p>
  </w:footnote>
  <w:footnote w:type="continuationSeparator" w:id="0">
    <w:p w14:paraId="2C2B447E" w14:textId="77777777" w:rsidR="00D6574E" w:rsidRDefault="00D657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B3236"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107660B7" w14:textId="77777777">
      <w:tc>
        <w:tcPr>
          <w:tcW w:w="3483" w:type="dxa"/>
          <w:vAlign w:val="center"/>
        </w:tcPr>
        <w:p w14:paraId="2AEFA579"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46ABE36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4B40CFF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3FDD14DC" w14:textId="77777777">
      <w:tc>
        <w:tcPr>
          <w:tcW w:w="3483" w:type="dxa"/>
          <w:vAlign w:val="center"/>
        </w:tcPr>
        <w:p w14:paraId="2869123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61ED8C1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7125528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53FA98BD" w14:textId="77777777">
      <w:tc>
        <w:tcPr>
          <w:tcW w:w="3483" w:type="dxa"/>
          <w:vAlign w:val="center"/>
        </w:tcPr>
        <w:p w14:paraId="1F761EC1"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11869BFF"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741B3CDB"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4FC27C2D"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6574E"/>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1569"/>
    <w:rsid w:val="00F937E4"/>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E316D8"/>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854</Words>
  <Characters>4869</Characters>
  <Application>Microsoft Office Word</Application>
  <DocSecurity>0</DocSecurity>
  <Lines>40</Lines>
  <Paragraphs>11</Paragraphs>
  <ScaleCrop>false</ScaleCrop>
  <Company/>
  <LinksUpToDate>false</LinksUpToDate>
  <CharactersWithSpaces>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