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6BBF6"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2B303240"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4645D2B7"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7FB1842D" w14:textId="77777777" w:rsidR="00F91569"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5828C069" w14:textId="77777777" w:rsidR="00F91569" w:rsidRDefault="00000000">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經營管理方：毅源開發股份有限公司（下稱「乙方」）</w:t>
      </w:r>
    </w:p>
    <w:p w14:paraId="2E6A64F8" w14:textId="77777777" w:rsidR="004645F8" w:rsidRPr="008A2146" w:rsidRDefault="004645F8">
      <w:pPr>
        <w:spacing w:line="420" w:lineRule="auto"/>
        <w:jc w:val="both"/>
        <w:rPr>
          <w:rFonts w:ascii="標楷體" w:eastAsia="標楷體" w:hAnsi="標楷體" w:cs="Times New Roman"/>
          <w:color w:val="000000"/>
        </w:rPr>
      </w:pPr>
    </w:p>
    <w:p w14:paraId="42B05C5B"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02D3D5DF" w14:textId="77777777" w:rsidR="004645F8" w:rsidRPr="008A2146" w:rsidRDefault="004645F8">
      <w:pPr>
        <w:spacing w:line="420" w:lineRule="auto"/>
        <w:jc w:val="both"/>
        <w:rPr>
          <w:rFonts w:ascii="標楷體" w:eastAsia="標楷體" w:hAnsi="標楷體" w:cs="Times New Roman"/>
          <w:color w:val="000000"/>
        </w:rPr>
      </w:pPr>
    </w:p>
    <w:p w14:paraId="13C07214"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58E5273C" w14:textId="77777777" w:rsidR="00F91569"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6A1EFB9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41A6C50B"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35E2142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D2B2DB9"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3C85F616"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7A3E88B3" w14:textId="77777777" w:rsidR="00F91569"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4C0F2BA5" w14:textId="77777777" w:rsidR="00F91569"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7D0A3314" w14:textId="77777777" w:rsidR="00F91569"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0B5673D0" w14:textId="77777777" w:rsidR="00F91569"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0EA5BB9F" w14:textId="77777777" w:rsidR="00F91569"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071B7A10" w14:textId="77777777" w:rsidR="00F91569"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44266D3D" w14:textId="77777777" w:rsidR="00F91569"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11398432"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66912D21"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6A7D4951"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3728BB4"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 deposit }}</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3C666C15"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404D267D"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6ACA6079"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70E404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76956C3E"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D66744B"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3E883F22"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BEAC5A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48AE853E"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6A3A7DFA"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60FFD395"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164ED52"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7F135B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6BA74A0E"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BD0F659"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6A87602A"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66810F0F"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002BB08F"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272105F6"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38EE880F"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31E67992"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71D2B2DF"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3B25173D" w14:textId="77777777" w:rsidR="004645F8" w:rsidRPr="008A2146" w:rsidRDefault="004645F8">
      <w:pPr>
        <w:spacing w:line="420" w:lineRule="auto"/>
        <w:ind w:left="988"/>
        <w:jc w:val="both"/>
        <w:rPr>
          <w:rFonts w:ascii="標楷體" w:eastAsia="標楷體" w:hAnsi="標楷體" w:cs="Times New Roman"/>
          <w:color w:val="000000"/>
        </w:rPr>
      </w:pPr>
    </w:p>
    <w:p w14:paraId="18F94D50"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2F17BAD9"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水電費負擔與代收轉付條款：</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合作場站營運所衍生之電費（包含但不限於系統硬體設備用電、監視器用電、夜間LED照明用電等）及水費，其費用負擔，於下方二種方式中擇一勾選適用：</w:t>
      </w:r>
    </w:p>
    <w:p>
      <w:pPr>
        <w:pBdr>
          <w:top w:val="nil"/>
          <w:left w:val="nil"/>
          <w:bottom w:val="nil"/>
          <w:right w:val="nil"/>
          <w:between w:val="nil"/>
        </w:pBdr>
        <w:spacing w:line="420" w:lineRule="auto"/>
        <w:ind w:left="1418"/>
        <w:jc w:val="both"/>
        <w:rPr>
          <w:rFonts w:ascii="標楷體" w:eastAsia="標楷體" w:hAnsi="標楷體" w:cs="Times New Roman"/>
          <w:color w:val="000000"/>
        </w:rPr>
      </w:pPr>
      <w:r>
        <w:rPr>
          <w:rFonts w:ascii="標楷體" w:eastAsia="標楷體" w:hAnsi="標楷體" w:cs="Times New Roman" w:hint="eastAsia"/>
          <w:color w:val="000000"/>
        </w:rPr>
        <w:t xml:space="preserve">{{ util_party_a_check }} 由甲方負擔　{{ util_party_b_check }} 由乙方負擔</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前款所定之費用負擔，不因相關單據（如台灣電力公司、自來水公司之帳單或通知單）抬頭之記載為何而受影響。</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倘相關水電單據由現場消費者或第三人交付，或因故流轉至非負擔方處者，非負擔方應將單據原封轉交負擔方；如非負擔方已先行代為繳納，得憑原始單據及繳費證明向負擔方請求返還。負擔方為甲方時，乙方得自應給付甲方之場地合作收益或乙方代收之停車營收中扣抵轉付；負擔方為乙方時，乙方應返還甲方實際代墊之金額。</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雙方明確理解，前款款項之往來純屬會計上之代收代付及代收轉付性質，非屬任一方之營業收入或服務費用，雙方均毋庸就此代收轉付金額另行開立統一發票。</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color w:val="000000"/>
        </w:rPr>
        <w:t xml:space="preserve">因乙方營運合作場站而生之人事費、電話費、乙方投保之保險費、乙方設備定期安檢費、停管系統保養維修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水、電費用之負擔，另依前項約定辦理。</w:t>
      </w:r>
    </w:p>
    <w:p w14:paraId="0997643E"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FED4F0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1DFCA0D9"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7FB3633E" w14:textId="62C83544"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F937E4" w:rsidRPr="00F937E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1FF34D7E"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3F099F0"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04E6ABF"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6B62041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2A42E27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62F76E82"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49576BA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39CA0497" w14:textId="77777777" w:rsidR="00F91569"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161EF8AA"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3D364323"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65BA6416"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3A9EA00C"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726EB018"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B666A5A"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430ACC3F"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104A66A7"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1150DF60"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66961D0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27E43D0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A062B2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59B3644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521B7054"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1B1339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0615D37F"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0E5F713B"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7E87907B"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31BEA825"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7A45736C"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5569EA39"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5B4B6D70"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77B24EA1"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0E7F7AB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4B946F10"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1875A0D1"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73A729E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6EFF2A54"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4E07C756"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1B76FA99"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3E787694"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2E69F20B"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31776783"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4CCAEC6C"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1FDCD14A"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7555C67E"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76ACBBF8"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5BB3FE0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2324F96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C81D537"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7BDD7A2A"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7AA49FA1"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188CE5CB"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0584B6C"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065274A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245225C7"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7E80077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10ABB867"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26CDFC3F"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4752B289"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4A980DB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4652ADB9"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6CDF6B4B"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52241B53"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4E391B6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7FDC95CE" w14:textId="77777777" w:rsidR="00920E4E" w:rsidRPr="00920E4E" w:rsidRDefault="00920E4E" w:rsidP="00920E4E">
      <w:pPr>
        <w:widowControl/>
        <w:rPr>
          <w:rFonts w:ascii="新細明體" w:eastAsia="新細明體" w:hAnsi="新細明體" w:cs="新細明體"/>
        </w:rPr>
      </w:pPr>
    </w:p>
    <w:p w14:paraId="4C6BEECE"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63B52F1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38DDB3BF"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2C45670D"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r>
    </w:p>
    <w:p w14:paraId="78EC1126"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135AC8AE" w14:textId="77777777" w:rsidR="004645F8" w:rsidRPr="008A2146" w:rsidRDefault="004645F8">
      <w:pPr>
        <w:spacing w:line="420" w:lineRule="auto"/>
        <w:jc w:val="both"/>
        <w:rPr>
          <w:rFonts w:ascii="標楷體" w:eastAsia="標楷體" w:hAnsi="標楷體" w:cs="Times New Roman"/>
          <w:color w:val="000000"/>
        </w:rPr>
      </w:pPr>
    </w:p>
    <w:p w14:paraId="1CD18804"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2D5BBBE6"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3344341B"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5A8FC992"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5934D71B"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5B2D0451" w14:textId="77777777" w:rsidR="002057A8" w:rsidRPr="008A2146" w:rsidRDefault="002057A8" w:rsidP="002057A8">
      <w:pPr>
        <w:spacing w:line="420" w:lineRule="auto"/>
        <w:ind w:left="425"/>
        <w:jc w:val="both"/>
        <w:rPr>
          <w:rFonts w:ascii="標楷體" w:eastAsia="標楷體" w:hAnsi="標楷體" w:cs="Times New Roman"/>
          <w:color w:val="000000"/>
        </w:rPr>
      </w:pPr>
    </w:p>
    <w:p w14:paraId="690B8BA3"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乙方名稱：毅源開發股份有限公司</w:t>
      </w:r>
    </w:p>
    <w:p w14:paraId="7AF8E1D9"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代表人：吳品毅</w:t>
      </w:r>
    </w:p>
    <w:p w14:paraId="38FD48C7"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統一編號：62204330</w:t>
      </w:r>
    </w:p>
    <w:p w14:paraId="67DDD960"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聯絡地址：臺北市松山區寶清街21號4樓之1</w:t>
      </w:r>
    </w:p>
    <w:p w14:paraId="44E924F8"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電子郵件：service@yiyuandev.com</w:t>
      </w:r>
    </w:p>
    <w:p w14:paraId="3F3C29EA" w14:textId="77777777" w:rsidR="00DF3BBA" w:rsidRDefault="00DF3BBA">
      <w:pPr>
        <w:spacing w:line="420" w:lineRule="auto"/>
        <w:jc w:val="both"/>
        <w:rPr>
          <w:rFonts w:ascii="標楷體" w:eastAsia="標楷體" w:hAnsi="標楷體" w:cs="Times New Roman"/>
          <w:color w:val="000000"/>
        </w:rPr>
      </w:pPr>
    </w:p>
    <w:p w14:paraId="0220DE76" w14:textId="77777777" w:rsidR="0024616E" w:rsidRDefault="0024616E">
      <w:pPr>
        <w:spacing w:line="420" w:lineRule="auto"/>
        <w:jc w:val="both"/>
        <w:rPr>
          <w:rFonts w:ascii="標楷體" w:eastAsia="標楷體" w:hAnsi="標楷體" w:cs="Times New Roman"/>
          <w:color w:val="000000"/>
        </w:rPr>
      </w:pPr>
    </w:p>
    <w:p w14:paraId="42031049" w14:textId="77777777" w:rsidR="0024616E" w:rsidRDefault="0024616E">
      <w:pPr>
        <w:spacing w:line="420" w:lineRule="auto"/>
        <w:jc w:val="both"/>
        <w:rPr>
          <w:rFonts w:ascii="標楷體" w:eastAsia="標楷體" w:hAnsi="標楷體" w:cs="Times New Roman"/>
          <w:color w:val="000000"/>
        </w:rPr>
      </w:pPr>
    </w:p>
    <w:p w14:paraId="0A949BF0" w14:textId="77777777" w:rsidR="002F35EC" w:rsidRDefault="002F35EC">
      <w:pPr>
        <w:spacing w:line="420" w:lineRule="auto"/>
        <w:jc w:val="both"/>
        <w:rPr>
          <w:rFonts w:ascii="標楷體" w:eastAsia="標楷體" w:hAnsi="標楷體" w:cs="Times New Roman"/>
          <w:color w:val="000000"/>
        </w:rPr>
      </w:pPr>
    </w:p>
    <w:p w14:paraId="7259E9CA" w14:textId="77777777" w:rsidR="00F91569"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7E6AE111"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65493E96"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800A9" w14:textId="77777777" w:rsidR="00D6574E" w:rsidRDefault="00D6574E">
      <w:r>
        <w:separator/>
      </w:r>
    </w:p>
  </w:endnote>
  <w:endnote w:type="continuationSeparator" w:id="0">
    <w:p w14:paraId="082950D2" w14:textId="77777777" w:rsidR="00D6574E" w:rsidRDefault="00D657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68CE37A5-281B-4BB1-85A8-EFA0BA7E9BAD}"/>
    <w:embedBold r:id="rId2" w:subsetted="1" w:fontKey="{CABF588F-8811-4765-8F5B-54E270FE00F1}"/>
    <w:embedItalic r:id="rId3" w:subsetted="1" w:fontKey="{99779636-CA67-44EB-A1CB-DD1755F3AF91}"/>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3C0E23DA-7DC7-44F5-8AB9-419985C909E5}"/>
    <w:embedBold r:id="rId5" w:fontKey="{2A30D705-CEAD-481E-BAE1-D30540DD1A81}"/>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0350E9F-8F84-434D-96DB-CC468F85F18D}"/>
    <w:embedItalic r:id="rId7" w:fontKey="{6A61F82D-F4A1-4272-8D9A-CBB1219E91DA}"/>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E431D203-9717-42DF-9EE5-5738769524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94B82"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5EC27F75"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69B4A"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7EB0402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59373" w14:textId="77777777" w:rsidR="00D6574E" w:rsidRDefault="00D6574E">
      <w:r>
        <w:separator/>
      </w:r>
    </w:p>
  </w:footnote>
  <w:footnote w:type="continuationSeparator" w:id="0">
    <w:p w14:paraId="2C2B447E" w14:textId="77777777" w:rsidR="00D6574E" w:rsidRDefault="00D657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B3236"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107660B7" w14:textId="77777777">
      <w:tc>
        <w:tcPr>
          <w:tcW w:w="3483" w:type="dxa"/>
          <w:vAlign w:val="center"/>
        </w:tcPr>
        <w:p w14:paraId="2AEFA57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46ABE36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4B40CFF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3FDD14DC" w14:textId="77777777">
      <w:tc>
        <w:tcPr>
          <w:tcW w:w="3483" w:type="dxa"/>
          <w:vAlign w:val="center"/>
        </w:tcPr>
        <w:p w14:paraId="2869123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61ED8C1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7125528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53FA98BD" w14:textId="77777777">
      <w:tc>
        <w:tcPr>
          <w:tcW w:w="3483" w:type="dxa"/>
          <w:vAlign w:val="center"/>
        </w:tcPr>
        <w:p w14:paraId="1F761EC1"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11869BFF"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741B3CDB"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FC27C2D"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6574E"/>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1569"/>
    <w:rsid w:val="00F937E4"/>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E316D8"/>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854</Words>
  <Characters>4869</Characters>
  <Application>Microsoft Office Word</Application>
  <DocSecurity>0</DocSecurity>
  <Lines>40</Lines>
  <Paragraphs>11</Paragraphs>
  <ScaleCrop>false</ScaleCrop>
  <Company/>
  <LinksUpToDate>false</LinksUpToDate>
  <CharactersWithSpaces>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