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955F" w14:textId="727585F5" w:rsidR="006A42F1" w:rsidRPr="00872F3D" w:rsidRDefault="00C658AC" w:rsidP="00872F3D">
      <w:pPr>
        <w:pStyle w:val="Heading3"/>
        <w:spacing w:before="0" w:after="0"/>
      </w:pPr>
      <w:r w:rsidRPr="0033109F">
        <w:t>Title</w:t>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21F28B92" w14:textId="794EA759"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w:t>
      </w:r>
      <w:r w:rsidR="00471B0D">
        <w:t>comprised</w:t>
      </w:r>
      <w:r>
        <w:t xml:space="preserve">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 xml:space="preserve">resulting spectra </w:t>
      </w:r>
      <w:r w:rsidR="00471B0D">
        <w:t>have been</w:t>
      </w:r>
      <w:r>
        <w:t xml:space="preserve"> deposited</w:t>
      </w:r>
      <w:r w:rsidR="0019511B">
        <w:t xml:space="preserve"> </w:t>
      </w:r>
      <w:r w:rsidR="00471B0D">
        <w:t>in</w:t>
      </w:r>
      <w:r w:rsidR="0019511B">
        <w:t xml:space="preserve"> an online repository</w:t>
      </w:r>
      <w:r>
        <w:t xml:space="preserve">, </w:t>
      </w:r>
      <w:r w:rsidR="00471B0D">
        <w:t>to enable</w:t>
      </w:r>
      <w:r>
        <w:t xml:space="preserve">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91CE428" w14:textId="3D0E5EE3" w:rsidR="00A178EF" w:rsidRDefault="00292A95" w:rsidP="006A42F1">
      <w:r>
        <w:t>Peptides are short sequences of amino acids which are naturally produced in organisms, both through the translation of mRNA but importantly also through the degradation of proteins. These peptides play important roles in different biological systems, such as</w:t>
      </w:r>
      <w:r w:rsidR="00E53328">
        <w:t xml:space="preserve">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w:t>
      </w:r>
      <w:r w:rsidR="00471B0D">
        <w:t xml:space="preserve"> and pathological</w:t>
      </w:r>
      <w:r w:rsidR="00E53328">
        <w:t xml:space="preserve">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 xml:space="preserve">due to their </w:t>
      </w:r>
      <w:r w:rsidR="00A3229A">
        <w:lastRenderedPageBreak/>
        <w:t>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1ED096E5" w:rsidR="00262168" w:rsidRDefault="00471B0D" w:rsidP="006A42F1">
      <w:r>
        <w:t>We previously</w:t>
      </w:r>
      <w:r w:rsidR="00262168">
        <w:t xml:space="preserve"> carried out</w:t>
      </w:r>
      <w:r>
        <w:t xml:space="preserve"> a study</w:t>
      </w:r>
      <w:r w:rsidR="00262168">
        <w:t xml:space="preserve">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t>
      </w:r>
      <w:r>
        <w:t>The extensive nature</w:t>
      </w:r>
      <w:r w:rsidR="00E53328">
        <w:t xml:space="preserve">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r w:rsidRPr="0033109F">
        <w:t>Methods</w:t>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27995ACC" w:rsidR="00292A95" w:rsidRPr="006A7E16" w:rsidRDefault="00292A95" w:rsidP="00292A95">
      <w:r>
        <w:t xml:space="preserve">The proteomic content of the samples was </w:t>
      </w:r>
      <w:r w:rsidR="00471B0D">
        <w:t>separated from the peptidome content</w:t>
      </w:r>
      <w:r>
        <w:t xml:space="preserve">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w:t>
      </w:r>
      <w:r w:rsidR="00B73E56">
        <w:t xml:space="preserve"> This was performed in a non-blinded manner.</w:t>
      </w:r>
      <w:r>
        <w:t xml:space="preserve">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w:t>
      </w:r>
      <w:r w:rsidR="00886A3E">
        <w:t>upgraded</w:t>
      </w:r>
      <w:r w:rsidR="002215A8">
        <w:t xml:space="preserve">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31563FBF"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w:t>
      </w:r>
      <w:r w:rsidR="00471B0D">
        <w:t>After removal, the</w:t>
      </w:r>
      <w:r w:rsidR="00092F42">
        <w:t xml:space="preserve">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7A7A6F7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w:t>
      </w:r>
      <w:r w:rsidR="00471B0D">
        <w:t>Th</w:t>
      </w:r>
      <w:r w:rsidR="00521C3E">
        <w:t>e wound fluid samples were</w:t>
      </w:r>
      <w:r w:rsidR="00471B0D">
        <w:t xml:space="preserve"> </w:t>
      </w:r>
      <w:r w:rsidR="00471B0D">
        <w:lastRenderedPageBreak/>
        <w:t>subsequently</w:t>
      </w:r>
      <w:r w:rsidR="00521C3E">
        <w:t xml:space="preserv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183B3B7A"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w:t>
      </w:r>
      <w:r w:rsidR="00471B0D">
        <w:rPr>
          <w:rFonts w:cs="Calibri"/>
        </w:rPr>
        <w:t>manufacturer’s</w:t>
      </w:r>
      <w:r w:rsidR="00FF33C2">
        <w:rPr>
          <w:rFonts w:cs="Calibri"/>
        </w:rPr>
        <w:t xml:space="preserve">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w:t>
      </w:r>
      <w:r w:rsidR="00886A3E">
        <w:rPr>
          <w:rFonts w:cs="Calibri"/>
        </w:rPr>
        <w:t>data was acquired using</w:t>
      </w:r>
      <w:r w:rsidR="0063607C">
        <w:rPr>
          <w:rFonts w:cs="Calibri"/>
        </w:rPr>
        <w:t xml:space="preserve">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42FB2A5D"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w:t>
      </w:r>
      <w:r w:rsidR="00886A3E">
        <w:rPr>
          <w:rFonts w:cs="Calibri"/>
        </w:rPr>
        <w:t xml:space="preserve">methionine </w:t>
      </w:r>
      <w:r w:rsidR="00AF3AB1">
        <w:rPr>
          <w:rFonts w:cs="Calibri"/>
        </w:rPr>
        <w:t xml:space="preserve">oxidation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r w:rsidRPr="0033109F">
        <w:t>Data Records</w:t>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8"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9"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r w:rsidRPr="0033109F">
        <w:t>Technical Validation</w:t>
      </w:r>
    </w:p>
    <w:p w14:paraId="21A9549C" w14:textId="535B9C82" w:rsidR="002E7D8D" w:rsidRDefault="00784E4C" w:rsidP="00AF3ADB">
      <w:r>
        <w:t xml:space="preserve">To characterize the dataset, </w:t>
      </w:r>
      <w:r w:rsidR="00965C2E">
        <w:t xml:space="preserve">general characteristics of the different groups </w:t>
      </w:r>
      <w:r w:rsidR="00306145">
        <w:t>are</w:t>
      </w:r>
      <w:r w:rsidR="00965C2E">
        <w:t xml:space="preserve"> summarized</w:t>
      </w:r>
      <w:r w:rsidR="00306145">
        <w:t xml:space="preserve"> in </w:t>
      </w:r>
      <w:r w:rsidR="0057349D">
        <w:t>Fig</w:t>
      </w:r>
      <w:r w:rsidR="00306145">
        <w:t>ure</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w:t>
      </w:r>
      <w:r w:rsidR="00306145">
        <w:t>a higher number of</w:t>
      </w:r>
      <w:r w:rsidR="003204F1">
        <w:t xml:space="preserve"> unique peptides </w:t>
      </w:r>
      <w:r w:rsidR="00306145">
        <w:lastRenderedPageBreak/>
        <w:t>identified</w:t>
      </w:r>
      <w:r w:rsidR="003204F1">
        <w:t xml:space="preserve">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w:t>
      </w:r>
      <w:r w:rsidR="00306145">
        <w:t>d</w:t>
      </w:r>
      <w:r w:rsidR="009A2F78">
        <w:t xml:space="preserve">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7AF548CE"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w:t>
      </w:r>
      <w:r w:rsidR="00784E4C">
        <w:t xml:space="preserve">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r>
        <w:t>Usage Notes</w:t>
      </w:r>
    </w:p>
    <w:p w14:paraId="204F2836" w14:textId="14347BEF"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w:t>
      </w:r>
      <w:r w:rsidR="00306145">
        <w:t xml:space="preserve"> that can be reduced</w:t>
      </w:r>
      <w:r w:rsidR="009A2F78">
        <w:t xml:space="preserv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r>
        <w:t>Code A</w:t>
      </w:r>
      <w:r w:rsidR="00DD2C29" w:rsidRPr="00B60457">
        <w:t>vailability</w:t>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r w:rsidRPr="0033109F">
        <w:t>Acknowledgements</w:t>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r w:rsidRPr="0033109F">
        <w:t xml:space="preserve">Author </w:t>
      </w:r>
      <w:r w:rsidR="007D356C">
        <w:t>c</w:t>
      </w:r>
      <w:r w:rsidR="003A5F03" w:rsidRPr="0033109F">
        <w:t>ontributions</w:t>
      </w:r>
    </w:p>
    <w:p w14:paraId="27350BDF" w14:textId="714FE1D9" w:rsidR="006C2EB6" w:rsidRPr="0033109F" w:rsidRDefault="004D7A72" w:rsidP="006A42F1">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r w:rsidR="00754783">
        <w:t xml:space="preserve"> All authors contributed </w:t>
      </w:r>
      <w:proofErr w:type="gramStart"/>
      <w:r w:rsidR="00754783">
        <w:t>in</w:t>
      </w:r>
      <w:proofErr w:type="gramEnd"/>
      <w:r w:rsidR="00754783">
        <w:t xml:space="preserve"> editing the manuscript.</w:t>
      </w:r>
    </w:p>
    <w:p w14:paraId="70458278" w14:textId="77777777" w:rsidR="00932878" w:rsidRDefault="00467ECA" w:rsidP="002F096F">
      <w:pPr>
        <w:pStyle w:val="Heading3"/>
        <w:spacing w:before="0" w:after="0"/>
      </w:pPr>
      <w:r w:rsidRPr="0033109F">
        <w:lastRenderedPageBreak/>
        <w:t xml:space="preserve">Competing </w:t>
      </w:r>
      <w:r w:rsidR="007D356C">
        <w:t>i</w:t>
      </w:r>
      <w:r w:rsidRPr="0033109F">
        <w:t>nterests</w:t>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r w:rsidRPr="0033109F">
        <w:t>References</w:t>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0"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r>
        <w:lastRenderedPageBreak/>
        <w:t>Figures</w:t>
      </w:r>
    </w:p>
    <w:p w14:paraId="69F215AF" w14:textId="77777777" w:rsidR="0077301C" w:rsidRPr="0033109F" w:rsidRDefault="0077301C" w:rsidP="0077301C"/>
    <w:p w14:paraId="0736DA68" w14:textId="77777777" w:rsidR="0077301C" w:rsidRDefault="0077301C" w:rsidP="0077301C">
      <w:pPr>
        <w:pStyle w:val="Heading3"/>
        <w:spacing w:before="0" w:after="0"/>
      </w:pPr>
      <w:r>
        <w:t>Figure Legends</w:t>
      </w:r>
    </w:p>
    <w:p w14:paraId="525EF8A9" w14:textId="3A0FD1C2" w:rsidR="00760411" w:rsidRDefault="00760411" w:rsidP="00FD1F9D">
      <w:r>
        <w:t xml:space="preserve">Figure 1. </w:t>
      </w:r>
      <w:r w:rsidR="00306145">
        <w:t>Schematic i</w:t>
      </w:r>
      <w:r w:rsidR="00456BD2">
        <w:t>llustration of the sample</w:t>
      </w:r>
      <w:r w:rsidR="00306145">
        <w:t>s</w:t>
      </w:r>
      <w:r w:rsidR="00456BD2">
        <w:t>,</w:t>
      </w:r>
      <w:r w:rsidR="00306145">
        <w:t xml:space="preserve"> the sample</w:t>
      </w:r>
      <w:r w:rsidR="00456BD2">
        <w:t xml:space="preserve"> preparation</w:t>
      </w:r>
      <w:r w:rsidR="00306145">
        <w:t>,</w:t>
      </w:r>
      <w:r w:rsidR="00456BD2">
        <w:t xml:space="preserve">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w:t>
      </w:r>
      <w:r w:rsidR="00306145">
        <w:t>ed the</w:t>
      </w:r>
      <w:r>
        <w:t xml:space="preserve"> fluids from the wound.</w:t>
      </w:r>
      <w:r w:rsidR="008D79C0">
        <w:t xml:space="preserve"> </w:t>
      </w:r>
      <w:r w:rsidR="008D79C0">
        <w:rPr>
          <w:b/>
          <w:bCs/>
        </w:rPr>
        <w:t>b</w:t>
      </w:r>
      <w:r>
        <w:t xml:space="preserve"> Dressings were collected at </w:t>
      </w:r>
      <w:r w:rsidR="00456BD2">
        <w:t xml:space="preserve">every 24 hours </w:t>
      </w:r>
      <w:r w:rsidR="00306145">
        <w:t>over</w:t>
      </w:r>
      <w:r w:rsidR="00456BD2">
        <w:t xml:space="preserve">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w:t>
      </w:r>
      <w:r w:rsidR="009E6FFA">
        <w:t>liquid chromatography-mass spectrometry</w:t>
      </w:r>
      <w:r w:rsidR="00306145">
        <w:t xml:space="preserve"> analysis</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7053985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ontrol</w:t>
      </w:r>
      <w:r w:rsidR="00CC0316">
        <w:t xml:space="preserve">, Double infection – </w:t>
      </w:r>
      <w:r w:rsidR="00CC0316">
        <w:rPr>
          <w:i/>
          <w:iCs/>
        </w:rPr>
        <w:t xml:space="preserve">Staphylococcus aureus </w:t>
      </w:r>
      <w:r w:rsidR="00CC0316">
        <w:t xml:space="preserve">samples infected with </w:t>
      </w:r>
      <w:r w:rsidR="00CC0316">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rsidR="00CE1AA7">
        <w:t xml:space="preserve">.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ADA7643" w14:textId="5EBCCCFA" w:rsidR="009C53AA" w:rsidRPr="0033109F" w:rsidRDefault="00CF1C3B" w:rsidP="00754783">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754783">
        <w:t xml:space="preserve">, Double infection – </w:t>
      </w:r>
      <w:r w:rsidR="00754783">
        <w:rPr>
          <w:i/>
          <w:iCs/>
        </w:rPr>
        <w:t xml:space="preserve">Staphylococcus aureus </w:t>
      </w:r>
      <w:r w:rsidR="00754783">
        <w:t xml:space="preserve">samples infected with </w:t>
      </w:r>
      <w:r w:rsidR="00754783">
        <w:rPr>
          <w:i/>
          <w:iCs/>
        </w:rPr>
        <w:t xml:space="preserve">Pseudomonas aeruginosa </w:t>
      </w:r>
      <w:r w:rsidR="00754783">
        <w:t xml:space="preserve">after 24h, Accidental double infection – </w:t>
      </w:r>
      <w:r w:rsidR="00754783">
        <w:rPr>
          <w:i/>
          <w:iCs/>
        </w:rPr>
        <w:t>Staphylococcus aureus</w:t>
      </w:r>
      <w:r w:rsidR="00754783">
        <w:t xml:space="preserve"> samples contaminated with </w:t>
      </w:r>
      <w:r w:rsidR="00754783">
        <w:rPr>
          <w:i/>
          <w:iCs/>
        </w:rPr>
        <w:t>Pseudomonas aeruginosa</w:t>
      </w:r>
      <w:r>
        <w:t>.</w:t>
      </w:r>
      <w:r w:rsidR="00CC0316">
        <w:t xml:space="preserve"> Samples labelled as “blind” are blinded replicates. Samples labelled with “known”, or otherwise not labelled with “blind” are the original samples.</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sectPr w:rsidR="009C53AA" w:rsidRPr="0033109F" w:rsidSect="00C338ED">
      <w:footerReference w:type="default" r:id="rId11"/>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6E6CF" w14:textId="77777777" w:rsidR="00064A3C" w:rsidRDefault="00064A3C" w:rsidP="007D356C">
      <w:r>
        <w:separator/>
      </w:r>
    </w:p>
  </w:endnote>
  <w:endnote w:type="continuationSeparator" w:id="0">
    <w:p w14:paraId="0E8F9C6E" w14:textId="77777777" w:rsidR="00064A3C" w:rsidRDefault="00064A3C"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1EE1E" w14:textId="77777777" w:rsidR="00064A3C" w:rsidRDefault="00064A3C" w:rsidP="007D356C">
      <w:r>
        <w:separator/>
      </w:r>
    </w:p>
  </w:footnote>
  <w:footnote w:type="continuationSeparator" w:id="0">
    <w:p w14:paraId="6D87A756" w14:textId="77777777" w:rsidR="00064A3C" w:rsidRDefault="00064A3C"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64A3C"/>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A57FB"/>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06145"/>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1B0D"/>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1209"/>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54783"/>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86A3E"/>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3E56"/>
    <w:rsid w:val="00B74693"/>
    <w:rsid w:val="00B75D08"/>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4452"/>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0316"/>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1E37"/>
    <w:rsid w:val="00E32A7A"/>
    <w:rsid w:val="00E353D5"/>
    <w:rsid w:val="00E35D7C"/>
    <w:rsid w:val="00E362DA"/>
    <w:rsid w:val="00E40B20"/>
    <w:rsid w:val="00E446C5"/>
    <w:rsid w:val="00E53328"/>
    <w:rsid w:val="00E62DEA"/>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1C15"/>
    <w:rsid w:val="00F65605"/>
    <w:rsid w:val="00F758A3"/>
    <w:rsid w:val="00F83591"/>
    <w:rsid w:val="00F95A11"/>
    <w:rsid w:val="00F964DB"/>
    <w:rsid w:val="00FA0AC8"/>
    <w:rsid w:val="00FB1022"/>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6019/PXD048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publications/i/item/WHO-EMP-IAU-2017.12" TargetMode="External"/><Relationship Id="rId4" Type="http://schemas.openxmlformats.org/officeDocument/2006/relationships/settings" Target="settings.xml"/><Relationship Id="rId9" Type="http://schemas.openxmlformats.org/officeDocument/2006/relationships/hyperlink" Target="https://dx.doi.org/10.6019/PXD0550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2962</Words>
  <Characters>15700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18625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2</cp:revision>
  <dcterms:created xsi:type="dcterms:W3CDTF">2024-09-23T12:46:00Z</dcterms:created>
  <dcterms:modified xsi:type="dcterms:W3CDTF">2024-09-23T12:46:00Z</dcterms:modified>
</cp:coreProperties>
</file>