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2D05" w14:textId="5DD3A1F5" w:rsidR="002D352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Courier New" w:hAnsi="Courier New" w:cs="Courier New"/>
        </w:rPr>
      </w:pPr>
      <w:bookmarkStart w:id="0" w:name="The_Shift_How_the_Trampoline_P"/>
      <w:r>
        <w:rPr>
          <w:rFonts w:ascii="Corbel" w:hAnsi="Corbel" w:cs="Corbel"/>
          <w:color w:val="7F7F7F"/>
          <w:sz w:val="48"/>
        </w:rPr>
        <w:t xml:space="preserve">Chapter </w:t>
      </w:r>
      <w:bookmarkEnd w:id="0"/>
      <w:r w:rsidR="00A94D2B">
        <w:rPr>
          <w:rFonts w:ascii="Corbel" w:hAnsi="Corbel" w:cs="Corbel"/>
          <w:color w:val="7F7F7F"/>
          <w:sz w:val="48"/>
        </w:rPr>
        <w:t>Five</w:t>
      </w:r>
    </w:p>
    <w:p w14:paraId="6A2BE9E3" w14:textId="77777777" w:rsidR="002D3523"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Courier New" w:hAnsi="Courier New" w:cs="Courier New"/>
        </w:rPr>
        <w:sectPr w:rsidR="002D3523">
          <w:headerReference w:type="default" r:id="rId6"/>
          <w:footerReference w:type="default" r:id="rId7"/>
          <w:endnotePr>
            <w:numFmt w:val="decimal"/>
          </w:endnotePr>
          <w:pgSz w:w="12240" w:h="15840"/>
          <w:pgMar w:top="1440" w:right="1440" w:bottom="1440" w:left="1440" w:header="720" w:footer="720" w:gutter="0"/>
          <w:pgNumType w:start="1"/>
          <w:cols w:space="720"/>
        </w:sectPr>
      </w:pPr>
      <w:r>
        <w:rPr>
          <w:rFonts w:ascii="Corbel" w:hAnsi="Corbel" w:cs="Corbel"/>
          <w:color w:val="7F7F7F"/>
          <w:sz w:val="36"/>
        </w:rPr>
        <w:t>The Shift: How the Trampoline Park Model Evolved</w:t>
      </w:r>
    </w:p>
    <w:p w14:paraId="31B897D6" w14:textId="77777777" w:rsidR="002D3523" w:rsidRDefault="002D35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rPr>
          <w:rFonts w:ascii="Courier New" w:hAnsi="Courier New" w:cs="Courier New"/>
        </w:rPr>
      </w:pPr>
    </w:p>
    <w:p w14:paraId="11A5B593" w14:textId="77777777" w:rsidR="002D3523" w:rsidRDefault="00000000">
      <w:pPr>
        <w:widowControl w:val="0"/>
        <w:autoSpaceDE w:val="0"/>
        <w:autoSpaceDN w:val="0"/>
        <w:adjustRightInd w:val="0"/>
        <w:spacing w:after="160" w:line="278" w:lineRule="auto"/>
        <w:ind w:firstLine="360"/>
        <w:jc w:val="center"/>
        <w:rPr>
          <w:rFonts w:ascii="Courier New" w:hAnsi="Courier New" w:cs="Courier New"/>
        </w:rPr>
      </w:pPr>
      <w:r>
        <w:rPr>
          <w:rFonts w:ascii="Sitka Text" w:hAnsi="Sitka Text" w:cs="Sitka Text"/>
          <w:b/>
        </w:rPr>
        <w:t xml:space="preserve">The Inflection Point </w:t>
      </w:r>
    </w:p>
    <w:p w14:paraId="1D339129"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By the time the 2010s arrived, the early parks — Sky Zone in Las Vegas, Xtreme Trampolines near Chicago, Rebounderz in Longwood, and House of Air in San Francisco — had already proven the concept had potential. Each had tested the same basic idea: give people a giant padded space to fly, flip, and move, and they</w:t>
      </w:r>
      <w:r>
        <w:rPr>
          <w:rFonts w:ascii="Sitka Text" w:eastAsia="Sitka Text" w:hAnsi="Sitka Text" w:cs="Sitka Text"/>
        </w:rPr>
        <w:t>’ll keep coming back.</w:t>
      </w:r>
    </w:p>
    <w:p w14:paraId="1D339129" w14:textId="77777777" w:rsidR="002D3523" w:rsidRDefault="00000000">
      <w:pPr>
        <w:spacing w:before="120" w:after="200"/>
      </w:pPr>
      <w:r>
        <w:rPr>
          <w:b/>
          <w:i/>
          <w:color w:val="6B4C9A"/>
          <w:sz w:val="20"/>
        </w:rPr>
        <w:t xml:space="preserve">[VISUAL STRATEGY — NOTE] </w:t>
      </w:r>
      <w:r>
        <w:rPr>
          <w:i/>
          <w:color w:val="6B4C9A"/>
          <w:sz w:val="20"/>
        </w:rPr>
        <w:t>Five of the nine photos sent in this chapter's “Unassigned Possible Photos” folder actually belong to Chapter 4, not here: Jeff and Rick Platt.jpg, Jeff Platt.jpg, Centeredge Manager Console.png, Centeredge Passes.png, and Active8.jpg. They're portraits and software screenshots tied to specific people profiled in Chapter 4 (the Platts, Tom Burnett, Phillip Howell). Recommend moving those five into Chapter 4's tracker instead. The notes below cover what's left that genuinely fits this chapter.</w:t>
      </w:r>
    </w:p>
    <w:p w14:paraId="5E5493AE"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This was the kind of entertainment parents could get behind — indoor, clean, and weatherproof. Kids burned energy while teens got to show off. Not only that, but the price point worked. Compared to a day at an amusement park or a party at a play center, trampoline parks were accessible</w:t>
      </w:r>
      <w:r>
        <w:rPr>
          <w:rFonts w:cs="Calibri"/>
        </w:rPr>
        <w:t>.</w:t>
      </w:r>
    </w:p>
    <w:p w14:paraId="6DB2667B"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The timing probably helped. The country was crawling out of the 2008 financial crisis, which meant that families were cutting back on high-ticket outings but still wanted to give their kids something special. Trampoline parks were special because they were just different enough to feel fresh</w:t>
      </w:r>
      <w:r>
        <w:rPr>
          <w:rFonts w:cs="Calibri"/>
        </w:rPr>
        <w:t>.</w:t>
      </w:r>
    </w:p>
    <w:p w14:paraId="70126894"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 xml:space="preserve">As attendance grew, operators began to look beyond single-location success. Consistent demand, high return rates, and strong unit-level performance raised a critical question: could this model be standardized and scaled across markets? </w:t>
      </w:r>
    </w:p>
    <w:p w14:paraId="0D42E530"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By the early 2010s, the industry</w:t>
      </w:r>
      <w:r>
        <w:rPr>
          <w:rFonts w:ascii="Sitka Text" w:eastAsia="Sitka Text" w:hAnsi="Sitka Text" w:cs="Sitka Text"/>
        </w:rPr>
        <w:t xml:space="preserve">’s rapid expansion — from fewer than forty parks in 2011 to more than 280 by 2014 — had answered that question, proving the model could be replicated across markets. Now the question was how far it could go. </w:t>
      </w:r>
    </w:p>
    <w:p w14:paraId="5A5F19CF"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Those in the industry began looking beyond the core experience, identifying new ways to increase revenue, expand reach, and improve efficiency. This next phase focused on evolving the business, introducing new revenue streams, leveraging emerging marketing channels, and broadening the customer base beyond its original focus. What followed was a shift from proving the concept to maximizing its potential.</w:t>
      </w:r>
    </w:p>
    <w:p w14:paraId="0D6DFCF5" w14:textId="77777777" w:rsidR="002D3523" w:rsidRDefault="00000000">
      <w:pPr>
        <w:widowControl w:val="0"/>
        <w:autoSpaceDE w:val="0"/>
        <w:autoSpaceDN w:val="0"/>
        <w:adjustRightInd w:val="0"/>
        <w:spacing w:after="160" w:line="278" w:lineRule="auto"/>
        <w:ind w:firstLine="360"/>
        <w:jc w:val="center"/>
        <w:rPr>
          <w:rFonts w:ascii="Courier New" w:hAnsi="Courier New" w:cs="Courier New"/>
        </w:rPr>
      </w:pPr>
      <w:r>
        <w:rPr>
          <w:rFonts w:ascii="Sitka Text" w:hAnsi="Sitka Text" w:cs="Sitka Text"/>
          <w:b/>
        </w:rPr>
        <w:t>The Rise of the Second Wave</w:t>
      </w:r>
    </w:p>
    <w:p w14:paraId="4F8E05EA"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Once the concept proved itself, the question was how to scale without losing what made the experience work. Jeff Platt was working toward an answer, beginning to shape a franchise model for Sky Zone that could be adapted across markets. The systems weren</w:t>
      </w:r>
      <w:r>
        <w:rPr>
          <w:rFonts w:ascii="Sitka Text" w:eastAsia="Sitka Text" w:hAnsi="Sitka Text" w:cs="Sitka Text"/>
        </w:rPr>
        <w:t xml:space="preserve">’t fully defined yet, but a repeatable approach was </w:t>
      </w:r>
      <w:r>
        <w:rPr>
          <w:rFonts w:ascii="Sitka Text" w:eastAsia="Sitka Text" w:hAnsi="Sitka Text" w:cs="Sitka Text"/>
        </w:rPr>
        <w:lastRenderedPageBreak/>
        <w:t>starting to take form, covering layout, operations, and guest flow.</w:t>
      </w:r>
    </w:p>
    <w:p w14:paraId="1685C3B8"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That early structure didn</w:t>
      </w:r>
      <w:r>
        <w:rPr>
          <w:rFonts w:ascii="Sitka Text" w:eastAsia="Sitka Text" w:hAnsi="Sitka Text" w:cs="Sitka Text"/>
        </w:rPr>
        <w:t xml:space="preserve">’t just support Sky Zone’s </w:t>
      </w:r>
      <w:proofErr w:type="gramStart"/>
      <w:r>
        <w:rPr>
          <w:rFonts w:ascii="Sitka Text" w:eastAsia="Sitka Text" w:hAnsi="Sitka Text" w:cs="Sitka Text"/>
        </w:rPr>
        <w:t>growth,</w:t>
      </w:r>
      <w:proofErr w:type="gramEnd"/>
      <w:r>
        <w:rPr>
          <w:rFonts w:ascii="Sitka Text" w:eastAsia="Sitka Text" w:hAnsi="Sitka Text" w:cs="Sitka Text"/>
        </w:rPr>
        <w:t xml:space="preserve"> it created a foundation others could build on. A second wave of brands, including Urban Air, Launch, and Altitude, entered the market in the early 2010s, accelerating expansion within a model that was still evolving.</w:t>
      </w:r>
    </w:p>
    <w:p w14:paraId="24B217ED"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Urban Air was one of the first to push the model beyond its original form. Founded in 2011 in Southlake, Texas, the brand began franchising in 2014 and expanded across multiple markets. By the late 2010s, Urban Air had grown from forty-five to more than 120 locations, with systemwide sales increasing nearly 300% to $216 million over a three-year period — clear indicators of how quickly the concept was scaling.</w:t>
      </w:r>
    </w:p>
    <w:p w14:paraId="5F4CADC5"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 xml:space="preserve">Rather than relying solely on trampoline-based attractions, Urban Air expanded into a broader indoor adventure format, incorporating multiple activity zones designed to increase length of stay and overall spend per visit. The approach proved effective </w:t>
      </w:r>
      <w:proofErr w:type="gramStart"/>
      <w:r>
        <w:rPr>
          <w:rFonts w:ascii="Sitka Text" w:hAnsi="Sitka Text" w:cs="Sitka Text"/>
        </w:rPr>
        <w:t>at</w:t>
      </w:r>
      <w:proofErr w:type="gramEnd"/>
      <w:r>
        <w:rPr>
          <w:rFonts w:ascii="Sitka Text" w:hAnsi="Sitka Text" w:cs="Sitka Text"/>
        </w:rPr>
        <w:t xml:space="preserve"> scale, with the brand reaching more than two hundred locations nationwide and generating hundreds of millions in annual revenue. By the time the second wave was fully underway, Urban Air had helped redefine what a trampoline park could be — expanding the concept into a broader, multi-attraction experience.</w:t>
      </w:r>
    </w:p>
    <w:p w14:paraId="1BB35422"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Launch Trampoline Park was founded in 2012 in Warwick, Rhode Island, by Rob and Erin Arnold, with a second location opening shortly after in Connecticut. The company began franchising around 2013, growing through a model that could be replicated and adapted across markets during the early years of the second wave.</w:t>
      </w:r>
    </w:p>
    <w:p w14:paraId="49AF4F9A"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What set Launch apart was its focus on the overall guest experience. Rather than centering solely on trampoline courts, it became a multi-attraction indoor venue, integrating elements such as ninja courses, laser tag, bowling, and expanded food and beverage offerings. By 2018, the brand had grown to approximately seventeen locations. This created additional revenue streams and extended the length of stay, positioning Launch as a more experience-driven alternative within the second wave of growth.</w:t>
      </w:r>
    </w:p>
    <w:p w14:paraId="658DAA13"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 xml:space="preserve">While </w:t>
      </w:r>
      <w:proofErr w:type="gramStart"/>
      <w:r>
        <w:rPr>
          <w:rFonts w:ascii="Sitka Text" w:hAnsi="Sitka Text" w:cs="Sitka Text"/>
        </w:rPr>
        <w:t>Launch</w:t>
      </w:r>
      <w:proofErr w:type="gramEnd"/>
      <w:r>
        <w:rPr>
          <w:rFonts w:ascii="Sitka Text" w:hAnsi="Sitka Text" w:cs="Sitka Text"/>
        </w:rPr>
        <w:t xml:space="preserve"> focused on enhancing the guest experience through added attractions and longer stays, other operators prioritized efficiency and volume. Altitude Trampoline Park was founded in 2013 by Curt Skallerup and John Hagan, </w:t>
      </w:r>
      <w:r>
        <w:rPr>
          <w:rFonts w:ascii="Sitka Text" w:hAnsi="Sitka Text" w:cs="Sitka Text"/>
        </w:rPr>
        <w:lastRenderedPageBreak/>
        <w:t>entering the market with a focus on high-throughput operations and scalable unit performance.</w:t>
      </w:r>
    </w:p>
    <w:p w14:paraId="06C280A9"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The brand began franchising in 2016, expanding across multiple markets through a model built for repeatability. Early growth was driven by efficient layouts, standardized operations, and a system that could be deployed quickly across locations. What differentiated Altitude was its emphasis on unit economics, with average park revenues typically ranging from $1 million to $3 million annually. A key driver of that performance was the introduction of membership programs, which encouraged repeat visitation and created a recurring revenue stream. Combined with party-driven sales and a model designed for high volume, this approach positioned Altitude as a brand built for efficient, scalable growth during the second wave.</w:t>
      </w:r>
    </w:p>
    <w:p w14:paraId="6ECE7A21"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As these second-wave brands expanded, they weren</w:t>
      </w:r>
      <w:r>
        <w:rPr>
          <w:rFonts w:ascii="Sitka Text" w:eastAsia="Sitka Text" w:hAnsi="Sitka Text" w:cs="Sitka Text"/>
        </w:rPr>
        <w:t>’t operating in isolation. The broader ecosystem was evolving alongside them. Companies like Best American Trampolines had moved beyond component manufacturing into full park design, while Fun Spot brought field-tested fabrication expertise and Adventure Solutions introduced more intentional layouts and multi-attraction integration. Together, these elements created a more complete and scalable system — one that allowed the industry to grow faster, operate more efficiently, and support a wider range of experiences as expansion accelerated.</w:t>
      </w:r>
    </w:p>
    <w:p w14:paraId="6ECE7A21" w14:textId="77777777" w:rsidR="002D3523" w:rsidRDefault="00000000">
      <w:pPr>
        <w:spacing w:before="120" w:after="200"/>
      </w:pPr>
      <w:r>
        <w:rPr>
          <w:b/>
          <w:i/>
          <w:color w:val="B8860B"/>
          <w:sz w:val="20"/>
        </w:rPr>
        <w:t xml:space="preserve">[VISUAL STRATEGY — ADD] </w:t>
      </w:r>
      <w:r>
        <w:rPr>
          <w:i/>
          <w:color w:val="B8860B"/>
          <w:sz w:val="20"/>
        </w:rPr>
        <w:t>Urban Air, Launch, and Altitude are each profiled with real growth figures in this section, but none of the three have a photo. Recommend sourcing at least one representative photo, ideally for whichever of the three the client considers most central to the chapter's argument. Needs sourcing.</w:t>
      </w:r>
    </w:p>
    <w:p w14:paraId="023040AC" w14:textId="77777777" w:rsidR="002D3523" w:rsidRDefault="00000000">
      <w:pPr>
        <w:widowControl w:val="0"/>
        <w:autoSpaceDE w:val="0"/>
        <w:autoSpaceDN w:val="0"/>
        <w:adjustRightInd w:val="0"/>
        <w:spacing w:after="160" w:line="278" w:lineRule="auto"/>
        <w:ind w:firstLine="360"/>
        <w:jc w:val="center"/>
        <w:rPr>
          <w:rFonts w:ascii="Courier New" w:hAnsi="Courier New" w:cs="Courier New"/>
        </w:rPr>
      </w:pPr>
      <w:r>
        <w:rPr>
          <w:rFonts w:ascii="Sitka Text" w:hAnsi="Sitka Text" w:cs="Sitka Text"/>
          <w:b/>
        </w:rPr>
        <w:t>Sky Socks and the Monetization of the Model</w:t>
      </w:r>
    </w:p>
    <w:p w14:paraId="102DC38E"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 xml:space="preserve">Grip socks were hardly </w:t>
      </w:r>
      <w:proofErr w:type="gramStart"/>
      <w:r>
        <w:rPr>
          <w:rFonts w:ascii="Sitka Text" w:hAnsi="Sitka Text" w:cs="Sitka Text"/>
        </w:rPr>
        <w:t>a new invention</w:t>
      </w:r>
      <w:proofErr w:type="gramEnd"/>
      <w:r>
        <w:rPr>
          <w:rFonts w:ascii="Sitka Text" w:hAnsi="Sitka Text" w:cs="Sitka Text"/>
        </w:rPr>
        <w:t>, but trampoline parks were among the first to standardize and require them at scale. As venues multiplied, grip socks became one of the most consequential tools in the industry</w:t>
      </w:r>
      <w:r>
        <w:rPr>
          <w:rFonts w:ascii="Sitka Text" w:eastAsia="Sitka Text" w:hAnsi="Sitka Text" w:cs="Sitka Text"/>
        </w:rPr>
        <w:t>’s arsenal.</w:t>
      </w:r>
    </w:p>
    <w:p w14:paraId="46B3D37D"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 xml:space="preserve">Sky Zone made them mandatory: one pair per jumper, purchased at the door. The decision was rooted in safety and consistency: standardized footwear reduced debris on the courts, simplified enforcement, and aligned with insurance expectations. It also </w:t>
      </w:r>
      <w:proofErr w:type="gramStart"/>
      <w:r>
        <w:rPr>
          <w:rFonts w:ascii="Sitka Text" w:hAnsi="Sitka Text" w:cs="Sitka Text"/>
        </w:rPr>
        <w:t>simplified</w:t>
      </w:r>
      <w:proofErr w:type="gramEnd"/>
      <w:r>
        <w:rPr>
          <w:rFonts w:ascii="Sitka Text" w:hAnsi="Sitka Text" w:cs="Sitka Text"/>
        </w:rPr>
        <w:t xml:space="preserve"> the check-in process. Rather than negotiating footwear with every arriving guest, parks simply dispensed the required footwear for a faster, more uniform check-in process that allowed them to process higher volumes with less friction.</w:t>
      </w:r>
    </w:p>
    <w:p w14:paraId="7BC53607"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 xml:space="preserve">Because socks were required for participation, they also became a part of the trampoline park revenue model. While guests could reuse them </w:t>
      </w:r>
      <w:proofErr w:type="gramStart"/>
      <w:r>
        <w:rPr>
          <w:rFonts w:ascii="Sitka Text" w:hAnsi="Sitka Text" w:cs="Sitka Text"/>
        </w:rPr>
        <w:t>across</w:t>
      </w:r>
      <w:proofErr w:type="gramEnd"/>
      <w:r>
        <w:rPr>
          <w:rFonts w:ascii="Sitka Text" w:hAnsi="Sitka Text" w:cs="Sitka Text"/>
        </w:rPr>
        <w:t xml:space="preserve"> visits, brand-specific requirements and simple forgetfulness often led to repeat </w:t>
      </w:r>
      <w:r>
        <w:rPr>
          <w:rFonts w:ascii="Sitka Text" w:hAnsi="Sitka Text" w:cs="Sitka Text"/>
        </w:rPr>
        <w:lastRenderedPageBreak/>
        <w:t xml:space="preserve">purchases. In a 2014 interview, Sky Zone CEO Jeff Platt noted that the company was selling approximately 15 million pairs of socks annually. </w:t>
      </w:r>
    </w:p>
    <w:p w14:paraId="57B69FA8"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Socks were no longer just a piece of equipment, they became a standardized, branded product tied to participation and consistency.  In a model built on throughput and volume, even small per-guest purchases scaled quickly. As the second wave took hold, this type of built-in monetization became a defining characteristic of the industry, shifting the focus beyond admission toward more integrated, repeatable revenue streams. The branding dimension had its own value. As the model spread, other brands adopted their own versions — different colors, logos, and designs that made the product instantly recognizable from park to park. Kids compared them, collected them, and showed them off. In birthday photos and social media posts, the socks were visible, turning a required item into a subtle but consistent form of brand exposure. What started as a simple requirement became a piece of built-in marketing that scaled with the industry.</w:t>
      </w:r>
    </w:p>
    <w:p w14:paraId="57B69FA8" w14:textId="77777777" w:rsidR="002D3523" w:rsidRDefault="00000000">
      <w:pPr>
        <w:spacing w:before="120" w:after="200"/>
      </w:pPr>
      <w:r>
        <w:rPr>
          <w:b/>
          <w:i/>
          <w:color w:val="B8860B"/>
          <w:sz w:val="20"/>
        </w:rPr>
        <w:t xml:space="preserve">[VISUAL STRATEGY — ADD] </w:t>
      </w:r>
      <w:r>
        <w:rPr>
          <w:i/>
          <w:color w:val="B8860B"/>
          <w:sz w:val="20"/>
        </w:rPr>
        <w:t>Add “Sky Socks.jpg” here. This is a strong, direct match, a stack of branded Sky Zone grip socks, and this section is entirely about how socks became a revenue line. Already sent, no further sourcing needed.</w:t>
      </w:r>
    </w:p>
    <w:p w14:paraId="1417C647" w14:textId="77777777" w:rsidR="002D3523" w:rsidRDefault="00000000">
      <w:pPr>
        <w:widowControl w:val="0"/>
        <w:autoSpaceDE w:val="0"/>
        <w:autoSpaceDN w:val="0"/>
        <w:adjustRightInd w:val="0"/>
        <w:spacing w:after="160" w:line="278" w:lineRule="auto"/>
        <w:ind w:firstLine="360"/>
        <w:jc w:val="center"/>
        <w:rPr>
          <w:rFonts w:ascii="Courier New" w:hAnsi="Courier New" w:cs="Courier New"/>
        </w:rPr>
      </w:pPr>
      <w:r>
        <w:rPr>
          <w:rFonts w:ascii="Sitka Text" w:hAnsi="Sitka Text" w:cs="Sitka Text"/>
          <w:b/>
        </w:rPr>
        <w:t>Social Media and the Acceleration of Demand</w:t>
      </w:r>
    </w:p>
    <w:p w14:paraId="6F1E47E3"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Before brands had marketing teams, they had guests with phones.</w:t>
      </w:r>
    </w:p>
    <w:p w14:paraId="77B8D535"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Facebook, Instagram, Snapchat, and YouTube were in heavy use at the height of the boom. Flips, dodgeball games, foam pit dives, and birthday moments became natural fodder for organic content produced by guests simply having fun. Parents posted videos, teens tagged friends, and influencers used parks as filming locations.</w:t>
      </w:r>
    </w:p>
    <w:p w14:paraId="08D85B4D"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Thanks to social media, brands didn</w:t>
      </w:r>
      <w:r>
        <w:rPr>
          <w:rFonts w:ascii="Sitka Text" w:eastAsia="Sitka Text" w:hAnsi="Sitka Text" w:cs="Sitka Text"/>
        </w:rPr>
        <w:t>’t have to spend much to get noticed. A repost or a tagged photo could spread the word. Small gestures — tag us, use the hashtag, share your photos to win a free party — meant significant reach without significant cost</w:t>
      </w:r>
      <w:r>
        <w:rPr>
          <w:rFonts w:cs="Calibri"/>
        </w:rPr>
        <w:t>.</w:t>
      </w:r>
    </w:p>
    <w:p w14:paraId="6F3354FD"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This organic visibility didn</w:t>
      </w:r>
      <w:r>
        <w:rPr>
          <w:rFonts w:ascii="Sitka Text" w:eastAsia="Sitka Text" w:hAnsi="Sitka Text" w:cs="Sitka Text"/>
        </w:rPr>
        <w:t xml:space="preserve">’t go unnoticed. As content continued to circulate across platforms like YouTube, brands began to recognize how naturally trampoline park experiences translated to video. Early efforts to capture that momentum included filming activities like trampoline dodgeball, which combined movement, competition, and spectacle. Brands such as Sky Zone experimented with recorded formats like Ultimate Dodgeball, which, in later years, would generate significant online traction, with individual videos reaching millions of views — some surpassing as many as 10 million. </w:t>
      </w:r>
      <w:proofErr w:type="gramStart"/>
      <w:r>
        <w:rPr>
          <w:rFonts w:ascii="Sitka Text" w:eastAsia="Sitka Text" w:hAnsi="Sitka Text" w:cs="Sitka Text"/>
        </w:rPr>
        <w:t>Trampoline park</w:t>
      </w:r>
      <w:proofErr w:type="gramEnd"/>
      <w:r>
        <w:rPr>
          <w:rFonts w:ascii="Sitka Text" w:eastAsia="Sitka Text" w:hAnsi="Sitka Text" w:cs="Sitka Text"/>
        </w:rPr>
        <w:t xml:space="preserve"> videos </w:t>
      </w:r>
      <w:proofErr w:type="gramStart"/>
      <w:r>
        <w:rPr>
          <w:rFonts w:ascii="Sitka Text" w:eastAsia="Sitka Text" w:hAnsi="Sitka Text" w:cs="Sitka Text"/>
        </w:rPr>
        <w:t>were proving</w:t>
      </w:r>
      <w:proofErr w:type="gramEnd"/>
      <w:r>
        <w:rPr>
          <w:rFonts w:ascii="Sitka Text" w:eastAsia="Sitka Text" w:hAnsi="Sitka Text" w:cs="Sitka Text"/>
        </w:rPr>
        <w:t xml:space="preserve"> to be highly watchable and built for sharing at scale.</w:t>
      </w:r>
    </w:p>
    <w:p w14:paraId="6F3354FD" w14:textId="77777777" w:rsidR="002D3523" w:rsidRDefault="00000000">
      <w:pPr>
        <w:spacing w:before="120" w:after="200"/>
      </w:pPr>
      <w:r>
        <w:rPr>
          <w:b/>
          <w:i/>
          <w:color w:val="6B4C9A"/>
          <w:sz w:val="20"/>
        </w:rPr>
        <w:t xml:space="preserve">[VISUAL STRATEGY — NOTE] </w:t>
      </w:r>
      <w:r>
        <w:rPr>
          <w:i/>
          <w:color w:val="6B4C9A"/>
          <w:sz w:val="20"/>
        </w:rPr>
        <w:t>A generic dodgeball-on-trampoline stock photo (“images.jpg”) was sent for this section. The filename suggests it may be an unlicensed web pull rather than a properly sourced stock image. If it's meant for use here, recommend confirming licensing first or swapping in a properly licensed alternative.</w:t>
      </w:r>
    </w:p>
    <w:p w14:paraId="1F505AB5"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lastRenderedPageBreak/>
        <w:t>The rise of social media didn</w:t>
      </w:r>
      <w:r>
        <w:rPr>
          <w:rFonts w:ascii="Sitka Text" w:eastAsia="Sitka Text" w:hAnsi="Sitka Text" w:cs="Sitka Text"/>
        </w:rPr>
        <w:t xml:space="preserve">’t just change how experiences were shared, it began to influence how they were designed. Interactive visual elements like angel wing murals, first introduced by artist Colette Miller in 2012, were created specifically for participation, encouraging people to step into the artwork and photograph themselves. As similar murals gained popularity, particularly after Taylor Swift posted a photo of herself posing in front of one in 2014, the format became a viral social media trend. </w:t>
      </w:r>
    </w:p>
    <w:p w14:paraId="68B4A1B3"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 xml:space="preserve">As these visual trends gained traction, trampoline park manufacturers began incorporating them into park environments. Companies like Best American Trampolines, led by Phillip Howell, started integrating murals, bold graphics, and vibrant backdrops directly into park layouts — often designing specific walls intended for photo worthy moments, encouraging guests to step in, snap a photo, and share it online. </w:t>
      </w:r>
      <w:r>
        <w:rPr>
          <w:rFonts w:ascii="Sitka Text" w:eastAsia="Sitka Text" w:hAnsi="Sitka Text" w:cs="Sitka Text"/>
        </w:rPr>
        <w:t>“I saw a picture of the wings online and asked my muralist to incorporate them into our parks for selfie purposes,” Phillip explained.</w:t>
      </w:r>
    </w:p>
    <w:p w14:paraId="68B4A1B3" w14:textId="77777777" w:rsidR="002D3523" w:rsidRDefault="00000000">
      <w:pPr>
        <w:spacing w:before="120" w:after="200"/>
      </w:pPr>
      <w:r>
        <w:rPr>
          <w:b/>
          <w:i/>
          <w:color w:val="B8860B"/>
          <w:sz w:val="20"/>
        </w:rPr>
        <w:t xml:space="preserve">[VISUAL STRATEGY — ADD] </w:t>
      </w:r>
      <w:r>
        <w:rPr>
          <w:i/>
          <w:color w:val="B8860B"/>
          <w:sz w:val="20"/>
        </w:rPr>
        <w:t>This section references a real, well-known angel-wing mural trend (including a specific celebrity photo moment), but recommend sourcing a generic angel-wing mural photo at a trampoline park rather than trying to clear rights to any celebrity's image, which carries meaningfully higher licensing cost and risk for the same visual point. This ties directly to Phillip Howell's quote just above. Needs sourcing.</w:t>
      </w:r>
    </w:p>
    <w:p w14:paraId="74AC48F5"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As social media behavior accelerated, these built-in moments became a consistent feature across parks, turning physical space into a repeatable content opportunity. Soon, creators were using trampoline parks to film parkour clips, stunt videos, and choreographed routines. Video-driven platforms like YouTube — which had surpassed one billion users by the early 2010s — amplified this behavior, with movement-based channels such as STORROR Parkour generating millions of views on content filmed in trampoline and training environments.</w:t>
      </w:r>
    </w:p>
    <w:p w14:paraId="1077E5A7"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As short-form video platforms emerged, first through Musical.ly and later TikTok — trampoline park environments became increasingly suited to viral content: quick, visual, and performance driven. While much of this growth was organic and difficult to measure directly at the time, its effects were evident: social media was accelerating awareness and influencing how guests discovered and engaged with the experience.</w:t>
      </w:r>
    </w:p>
    <w:p w14:paraId="62B1FAE0" w14:textId="77777777" w:rsidR="002D3523" w:rsidRDefault="00000000">
      <w:pPr>
        <w:widowControl w:val="0"/>
        <w:autoSpaceDE w:val="0"/>
        <w:autoSpaceDN w:val="0"/>
        <w:adjustRightInd w:val="0"/>
        <w:spacing w:after="160" w:line="278" w:lineRule="auto"/>
        <w:ind w:firstLine="360"/>
        <w:jc w:val="center"/>
        <w:rPr>
          <w:rFonts w:ascii="Courier New" w:hAnsi="Courier New" w:cs="Courier New"/>
        </w:rPr>
      </w:pPr>
      <w:r>
        <w:rPr>
          <w:rFonts w:ascii="Sitka Text" w:hAnsi="Sitka Text" w:cs="Sitka Text"/>
          <w:b/>
        </w:rPr>
        <w:t>Demographic Shifts and the Rise of Adult Participation</w:t>
      </w:r>
    </w:p>
    <w:p w14:paraId="60F260F4"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 xml:space="preserve">Trampoline parks </w:t>
      </w:r>
      <w:proofErr w:type="gramStart"/>
      <w:r>
        <w:rPr>
          <w:rFonts w:ascii="Sitka Text" w:hAnsi="Sitka Text" w:cs="Sitka Text"/>
        </w:rPr>
        <w:t>launched</w:t>
      </w:r>
      <w:proofErr w:type="gramEnd"/>
      <w:r>
        <w:rPr>
          <w:rFonts w:ascii="Sitka Text" w:hAnsi="Sitka Text" w:cs="Sitka Text"/>
        </w:rPr>
        <w:t xml:space="preserve"> as a kids</w:t>
      </w:r>
      <w:r>
        <w:rPr>
          <w:rFonts w:ascii="Sitka Text" w:eastAsia="Sitka Text" w:hAnsi="Sitka Text" w:cs="Sitka Text"/>
        </w:rPr>
        <w:t>’ destination. Originally, parents showed up because they were the ones booking the party, handing out the socks, and sitting on the sidelines. Over time, parents saw how much fun their kids were having and started to join in. High schoolers came on their own after school. College students booked late-night sessions. Local gyms began using trampoline parks as venues for fitness classes.</w:t>
      </w:r>
    </w:p>
    <w:p w14:paraId="4D7E5AF7"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lastRenderedPageBreak/>
        <w:t xml:space="preserve">Birthday party revenue was reliable, but there was a limit to how much it could generate. By the mid-2010s, broader consumer trends were already shifting toward experience-based spending, with 78% of millennials reporting they preferred to spend money on </w:t>
      </w:r>
      <w:proofErr w:type="gramStart"/>
      <w:r>
        <w:rPr>
          <w:rFonts w:ascii="Sitka Text" w:hAnsi="Sitka Text" w:cs="Sitka Text"/>
        </w:rPr>
        <w:t>experiences</w:t>
      </w:r>
      <w:proofErr w:type="gramEnd"/>
      <w:r>
        <w:rPr>
          <w:rFonts w:ascii="Sitka Text" w:hAnsi="Sitka Text" w:cs="Sitka Text"/>
        </w:rPr>
        <w:t xml:space="preserve"> rather than products. Fitness classes were one of the industry</w:t>
      </w:r>
      <w:r>
        <w:rPr>
          <w:rFonts w:ascii="Sitka Text" w:eastAsia="Sitka Text" w:hAnsi="Sitka Text" w:cs="Sitka Text"/>
        </w:rPr>
        <w:t xml:space="preserve">’s first attempts to expand the revenue model — trampoline-based workouts that were high-intensity and low-impact, pulling in parents already familiar with </w:t>
      </w:r>
      <w:proofErr w:type="gramStart"/>
      <w:r>
        <w:rPr>
          <w:rFonts w:ascii="Sitka Text" w:eastAsia="Sitka Text" w:hAnsi="Sitka Text" w:cs="Sitka Text"/>
        </w:rPr>
        <w:t>the space</w:t>
      </w:r>
      <w:proofErr w:type="gramEnd"/>
      <w:r>
        <w:rPr>
          <w:rFonts w:ascii="Sitka Text" w:eastAsia="Sitka Text" w:hAnsi="Sitka Text" w:cs="Sitka Text"/>
        </w:rPr>
        <w:t>.</w:t>
      </w:r>
    </w:p>
    <w:p w14:paraId="037485E8"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Adult dodgeball leagues followed, popular with the after-work crowd. Late-night sessions came next — glow nights and themed events aimed at teens and college students. Corporate groups began booking private sessions for team events. At the same time, U.S. consumer spending on recreation services continued to rise throughout the 2010s, reinforcing demand for social, group-based experiences. The same facility hosting kindergarten field trips during the day was running company offsites at night.</w:t>
      </w:r>
    </w:p>
    <w:p w14:paraId="2841D665"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 xml:space="preserve">New parks responded with design changes — improved food and </w:t>
      </w:r>
      <w:proofErr w:type="gramStart"/>
      <w:r>
        <w:rPr>
          <w:rFonts w:ascii="Sitka Text" w:hAnsi="Sitka Text" w:cs="Sitka Text"/>
        </w:rPr>
        <w:t>beverage</w:t>
      </w:r>
      <w:proofErr w:type="gramEnd"/>
      <w:r>
        <w:rPr>
          <w:rFonts w:ascii="Sitka Text" w:hAnsi="Sitka Text" w:cs="Sitka Text"/>
        </w:rPr>
        <w:t>, lounge areas, and attraction zones with broader age appeal. Climbing walls, ninja courses, and warped walls extended the experience without alienating younger guests. A park could host toddler time in the morning and a fitness class or dodgeball league at night — stretching operating hours and boosting per-capita spending.</w:t>
      </w:r>
    </w:p>
    <w:p w14:paraId="00CAB49E" w14:textId="77777777" w:rsidR="002D3523" w:rsidRDefault="00000000">
      <w:pPr>
        <w:widowControl w:val="0"/>
        <w:autoSpaceDE w:val="0"/>
        <w:autoSpaceDN w:val="0"/>
        <w:adjustRightInd w:val="0"/>
        <w:spacing w:after="160" w:line="278" w:lineRule="auto"/>
        <w:jc w:val="center"/>
        <w:rPr>
          <w:rFonts w:ascii="Courier New" w:hAnsi="Courier New" w:cs="Courier New"/>
        </w:rPr>
      </w:pPr>
      <w:r>
        <w:rPr>
          <w:rFonts w:ascii="Sitka Text" w:hAnsi="Sitka Text" w:cs="Sitka Text"/>
          <w:b/>
        </w:rPr>
        <w:t>The Cultural Sweet Spot That Drove Growth</w:t>
      </w:r>
    </w:p>
    <w:p w14:paraId="7B7FAF4B"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Families in the 2010s were spending more time on devices. Trampoline parks, however, were a space where people could have fun without screens. For parents, it required no selling. For kids, it required no instructions. Sign the waiver and go.</w:t>
      </w:r>
    </w:p>
    <w:p w14:paraId="6C74BC4B" w14:textId="77777777" w:rsidR="002D3523" w:rsidRDefault="00000000">
      <w:pPr>
        <w:widowControl w:val="0"/>
        <w:autoSpaceDE w:val="0"/>
        <w:autoSpaceDN w:val="0"/>
        <w:adjustRightInd w:val="0"/>
        <w:spacing w:after="160" w:line="278" w:lineRule="auto"/>
        <w:ind w:firstLine="360"/>
        <w:rPr>
          <w:rFonts w:ascii="Courier New" w:hAnsi="Courier New" w:cs="Courier New"/>
        </w:rPr>
      </w:pPr>
      <w:r>
        <w:rPr>
          <w:rFonts w:ascii="Sitka Text" w:hAnsi="Sitka Text" w:cs="Sitka Text"/>
        </w:rPr>
        <w:t>The experiential economy was reshaping how people spent money. Parks that were clean, safe, and well-staffed built loyalty quickly. But the growth of the 2010s didn</w:t>
      </w:r>
      <w:r>
        <w:rPr>
          <w:rFonts w:ascii="Sitka Text" w:eastAsia="Sitka Text" w:hAnsi="Sitka Text" w:cs="Sitka Text"/>
        </w:rPr>
        <w:t>’t sustain itself on energy alone. As participation expanded and usage intensified, the environment became more complex to manage. Behind the scenes, regulators and insurers began reinforcing safety standards, certification programs, and insurance alignment that made scaling possible. That’s the next part of the story.</w:t>
      </w:r>
    </w:p>
    <w:p w14:paraId="55686BC7" w14:textId="77777777" w:rsidR="002D3523" w:rsidRDefault="002D3523">
      <w:pPr>
        <w:widowControl w:val="0"/>
        <w:autoSpaceDE w:val="0"/>
        <w:autoSpaceDN w:val="0"/>
        <w:adjustRightInd w:val="0"/>
        <w:spacing w:after="160" w:line="278" w:lineRule="auto"/>
        <w:rPr>
          <w:rFonts w:hAnsi="Courier New" w:cs="Courier New"/>
        </w:rPr>
      </w:pPr>
    </w:p>
    <w:sectPr w:rsidR="002D3523">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0D00D" w14:textId="77777777" w:rsidR="00B64170" w:rsidRDefault="00B64170">
      <w:r>
        <w:separator/>
      </w:r>
    </w:p>
  </w:endnote>
  <w:endnote w:type="continuationSeparator" w:id="0">
    <w:p w14:paraId="6048F00B" w14:textId="77777777" w:rsidR="00B64170" w:rsidRDefault="00B64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Carlito">
    <w:altName w:val="Calibri"/>
    <w:charset w:val="00"/>
    <w:family w:val="auto"/>
    <w:pitch w:val="variable"/>
    <w:sig w:usb0="00000000" w:usb1="00000000" w:usb2="00000000" w:usb3="00000000" w:csb0="00000001" w:csb1="00000000"/>
  </w:font>
  <w:font w:name="Sitka Text">
    <w:panose1 w:val="02000505000000020004"/>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7680" w14:textId="77777777" w:rsidR="002D3523" w:rsidRDefault="00000000">
    <w:pPr>
      <w:widowControl w:val="0"/>
      <w:autoSpaceDE w:val="0"/>
      <w:autoSpaceDN w:val="0"/>
      <w:adjustRightInd w:val="0"/>
      <w:jc w:val="center"/>
      <w:rPr>
        <w:rFonts w:ascii="Carlito" w:hAnsi="Carlito" w:cs="Carlito"/>
      </w:rPr>
    </w:pPr>
    <w:r>
      <w:rPr>
        <w:rFonts w:ascii="Carlito" w:hAnsi="Carlito" w:cs="Carlito"/>
      </w:rPr>
      <w:fldChar w:fldCharType="begin"/>
    </w:r>
    <w:r>
      <w:rPr>
        <w:rFonts w:ascii="Carlito" w:hAnsi="Carlito" w:cs="Carlito"/>
      </w:rPr>
      <w:instrText>PAGE</w:instrText>
    </w:r>
    <w:r>
      <w:rPr>
        <w:rFonts w:ascii="Carlito" w:hAnsi="Carlito" w:cs="Carlito"/>
      </w:rPr>
      <w:fldChar w:fldCharType="separate"/>
    </w:r>
    <w:r>
      <w:rPr>
        <w:rFonts w:ascii="Carlito" w:hAnsi="Carlito" w:cs="Carlito"/>
      </w:rPr>
      <w:t>XXX</w:t>
    </w:r>
    <w:r>
      <w:rPr>
        <w:rFonts w:ascii="Carlito" w:hAnsi="Carlito" w:cs="Carli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587F2" w14:textId="77777777" w:rsidR="00B64170" w:rsidRDefault="00B64170">
      <w:r>
        <w:separator/>
      </w:r>
    </w:p>
  </w:footnote>
  <w:footnote w:type="continuationSeparator" w:id="0">
    <w:p w14:paraId="16A72CCA" w14:textId="77777777" w:rsidR="00B64170" w:rsidRDefault="00B64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1F20C" w14:textId="77777777" w:rsidR="002D3523" w:rsidRDefault="002D3523">
    <w:pPr>
      <w:widowControl w:val="0"/>
      <w:autoSpaceDE w:val="0"/>
      <w:autoSpaceDN w:val="0"/>
      <w:adjustRightInd w:val="0"/>
      <w:rPr>
        <w:rFonts w:ascii="Courier New" w:hAnsi="Courier New" w:cs="Courier New"/>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1200"/>
  <w:doNotShadeFormData/>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3523"/>
    <w:rsid w:val="002D3523"/>
    <w:rsid w:val="00A94D2B"/>
    <w:rsid w:val="00B64170"/>
    <w:rsid w:val="00DE7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CF260"/>
  <w15:docId w15:val="{BDDB4F4F-1919-4C54-90A6-B51B57D5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2103</Words>
  <Characters>11988</Characters>
  <Application>Microsoft Office Word</Application>
  <DocSecurity>0</DocSecurity>
  <Lines>99</Lines>
  <Paragraphs>28</Paragraphs>
  <ScaleCrop>false</ScaleCrop>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 High</dc:title>
  <cp:lastModifiedBy>Gina Elliott</cp:lastModifiedBy>
  <cp:revision>1</cp:revision>
  <dcterms:created xsi:type="dcterms:W3CDTF">2026-07-05T08:49:00Z</dcterms:created>
  <dcterms:modified xsi:type="dcterms:W3CDTF">2026-07-05T14:29:00Z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703b6e37-3fe6-4a63-ba6c-7174360e62cb</vt:lpwstr>
  </property>
</Properties>
</file>