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23975" cy="143443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3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i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73763"/>
          <w:sz w:val="20"/>
          <w:szCs w:val="20"/>
          <w:rtl w:val="0"/>
        </w:rPr>
        <w:t xml:space="preserve">YL Katz,  Law Offices,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i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73763"/>
          <w:sz w:val="20"/>
          <w:szCs w:val="20"/>
          <w:rtl w:val="0"/>
        </w:rPr>
        <w:t xml:space="preserve">New York, NY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73763"/>
          <w:sz w:val="20"/>
          <w:szCs w:val="20"/>
          <w:rtl w:val="0"/>
        </w:rPr>
        <w:t xml:space="preserve">9172732211 • ylk@katz-lawyers.com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10/16/2025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VIA EMAIL &amp; MAIL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By Email &amp; Certified Mail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Edwin Mason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Chairman, Stratagem Global Corporation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e.mason@stratagemcorp.com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Johnathan O’Brien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Vice Chairman &amp; CEO, Stratagem Global Corporation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jobrien@stratagemcorp.com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Stratagem Global Corporation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1717 K Street NW, Suite 700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Washington, DC 20006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Re: Final Demand / Notice of Enforcement, Investigation &amp; Criminal Referral (Corporate &amp; Personal Liability)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Gentlemen,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letter is the final demand — and formal notice — that your continued refusal to respond to prior demands compels us to escalate this matter in every available forum: civil, regulatory, and criminal.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silence and inaction can no longer be viewed as inadvertent or defensible. Rather, they constitute willful evasion, obstruction, and likely fraud.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hereby placed on notice of the following: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4qrb4v3quncr" w:id="0"/>
      <w:bookmarkEnd w:id="0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I. Corporate &amp; Personal Liability — No More Shielding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Joint and Several Liability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You, Stratagem Global Corporation (“Stratagem”), Edwin Mason, and Johnathan O’Brien are jointly and severally liable for all obligations arising from the Secured Promissory Note and the Pledge &amp; Security Agreement dated August 10, 2023 (the “Agreement”).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Veil Piercing / Personal Exposure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We will move to pierce the corporate veil, hold all corporate formalities disregarded, and seek recovery against your personal assets, guarantees, and other controlled entities.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Corporate Dissolution / Receivership / Liquidation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Without further notice, we will seek judicial dissolution, appointment of a receiver, and forced liquidation of all corporate assets, including pledged equity interests in Meade Transportation, Inc. and Virginia Freight Holdings, LLC.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Attachment / Garnishment / Foreclosure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We will seek pre-judgment attachment and garnishment of bank accounts, receivables, contracts, and property held in your individual or corporate name; pursue foreclosure of pledged collateral; and seek UCC and judicial liens on all assets.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27l9ycgvdnej" w:id="1"/>
      <w:bookmarkEnd w:id="1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II. Investigation, Subpoenas &amp; Discovery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have already conducted our due diligence, including: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Verifying that Edwin Mason is listed on Stratagem’s website as Chairman / Founding Partner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Confirming that Johnathan O’Brien is likewise described as Vice Chairman &amp; CEO / Founding Partner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Reviewing Stratagem’s site’s public “About / Team” page (listing Mason, O’Brien, CFO Ben Posner)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Noting that Stratagem has filed litigation in the U.S. District Court for the Western District of Virginia in “Stratagem Global Corporation et al v. Meade et al”, under 15 U.S.C. § 78m(a), confirming they engage in securities or investment-related claims.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 that, we will serve subpoenas and compulsory process (federal Rule 45 and state/county subpoenas) upon Stratagem, its officers, shareholders, transfer agents, banks, accountants, consultants, and other third parties, demanding: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 stock / membership / share ledgers, capital tables, option/warrant schedules, subscription agreements, transfer records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pledge / security / collateral assignments and UCC schedules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Operating agreements, bylaws, amendments, minute books, board resolutions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Bank account opening / KYC / signature cards, statements, wire / ACH logs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Financial statements, general ledgers, audit work papers, internal valuations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Communications, presentations, marketing or investor materials concerning collateral, equity, or fundraising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documents reflecting transfers, concealing or dissipation of assets.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will seek immediate motions to enforce, compel deposition, and impose sanctions for noncompliance or document destruction.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h1uos4o1v7zi" w:id="2"/>
      <w:bookmarkEnd w:id="2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III. SEC / State Securities / Regulatory Referral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Because Stratagem presents itself as an investment / growth / infrastructure / logistics / energy investment group (per its website)  , and because your obligations are tied to pledged equity interests and financing, we will refer this matter to:</w:t>
      </w:r>
    </w:p>
    <w:p w:rsidR="00000000" w:rsidDel="00000000" w:rsidP="00000000" w:rsidRDefault="00000000" w:rsidRPr="00000000" w14:paraId="00000030">
      <w:pPr>
        <w:spacing w:after="480" w:before="48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U.S. Securities and Exchange Commission (Division of Enforcement), for possible violations of Section 10(b), Rule 10b-5, and other securities statutes;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State securities regulators (in jurisdictions where you operate);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State attorneys general and consumer protection agencies if misrepresentations or deceptive practices are found.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will include this correspondence, demand letters, agreement documents, and subpoena responses in the referral.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hcxg0qgg30s4" w:id="3"/>
      <w:bookmarkEnd w:id="3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IV. Criminal Referrals &amp; Allegations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 advised that your conduct may also be the subject of criminal investigation. Among other potential violations: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Wire Fraud / Mail Fraud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(18 U.S.C. §§ 1341, 1343) — if you used interstate mail, email, or wire transfers to misrepresent or conceal obligations, collateral, or equity;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Bank Fraud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18 U.S.C. § 1344) if banking relationships were used to mask transfers;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Securities Fraud or False Filings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 federal securities laws;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Concealment, Misapplication, or Fraudulent Transfer of Collateral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e.g., under Va. Code § 18.2-185 or D.C. analogous statutes;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Obtaining Money by False Pretenses or Embezzlement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 applicable state law (Virginia, D.C.)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will prepare and file sworn complaints and affidavits with: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FBI / U.S. Attorney’s Office (White Collar Division)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SEC Criminal Enforcement wing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Commonwealth’s Attorney, City/County of Roanoke (or appropriate VA locality)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District of Columbia Office of the Attorney General, Public Integrity Division.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Once filed, we will request asset freezes, restraining orders, forfeiture of proceeds, and law enforcement cooperation with civil discovery.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3374suae0jqr" w:id="4"/>
      <w:bookmarkEnd w:id="4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V. Demand for Payment / Cure - Final Opportunity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light of the foregoing, you have no further excuse or safe haven. This is your final and non-negotiable opportunity to avoid full-blown enforcement, liquidation, regulatory and criminal exposure.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must within three (3) business days of receipt: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Contact our office with a detailed, binding payment proposal that cures all amounts in full and provides security;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 irrevocable written acknowledgment that you waive any defenses related to statute of limitations, laches, or any delays;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Authorize us to inspect, audit, and confirm collateral holdings;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Cease any further transfers, concealments, or destruction of documents or assets.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Notify any third party holding your assets or documents (banks, custodians, accountants) that they are preserved for legal process.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you fail to satisfy these within the three-day window, we will proceed immediately and simultaneously with: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48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Civil enforcement: judgment, attachment, receivership, dissolution, veil piercing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Investigative subpoenas, motion to compel, sanctions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 and regulatory referrals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48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Criminal complaints and law enforcement referrals.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will also seek recovery of all attorneys’ fees, costs, investigation expenses, and pre-judgment and post-judgment interest.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sz w:val="24"/>
          <w:szCs w:val="24"/>
        </w:rPr>
      </w:pPr>
      <w:bookmarkStart w:colFirst="0" w:colLast="0" w:name="_c34ra94z34nf" w:id="5"/>
      <w:bookmarkEnd w:id="5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VI. Reservation of Rights &amp; No Waiver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rights and remedies (at law, in equity, and under statute) are hereby expressly reserved. No failure or delay in exercising any right or remedy will operate as a waiver. You have been sufficiently warned.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Yael Katz, Esq.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Member, New York Bar </w:t>
      </w:r>
    </w:p>
    <w:p w:rsidR="00000000" w:rsidDel="00000000" w:rsidP="00000000" w:rsidRDefault="00000000" w:rsidRPr="00000000" w14:paraId="00000054">
      <w:pPr>
        <w:spacing w:after="16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YL Katz, Esq.</w:t>
        <w:br w:type="textWrapping"/>
        <w:t xml:space="preserve">YL Katz, Law Offices</w:t>
        <w:br w:type="textWrapping"/>
        <w:t xml:space="preserve">ylk@katz-lawyers.com | 917-273-2211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