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remediation-plan"/>
    <w:p>
      <w:pPr>
        <w:pStyle w:val="Heading1"/>
      </w:pPr>
      <w:r>
        <w:t xml:space="preserve">Remediation Plan</w:t>
      </w:r>
    </w:p>
    <w:p>
      <w:pPr>
        <w:pStyle w:val="FirstParagraph"/>
      </w:pPr>
      <w:r>
        <w:t xml:space="preserve">Sequenced so each step makes the next one measurable. The order matters more than the estimates: fixing tests before fixing the build means re-running everything, and fixing routes before settling the toolchain means the verification cannot be reproduced.</w:t>
      </w:r>
    </w:p>
    <w:p>
      <w:r>
        <w:pict>
          <v:rect style="width:0;height:1.5pt" o:hralign="center" o:hrstd="t" o:hr="t"/>
        </w:pict>
      </w:r>
    </w:p>
    <w:bookmarkStart w:id="20" w:name="step-0--close-main-before-anything-else"/>
    <w:p>
      <w:pPr>
        <w:pStyle w:val="Heading2"/>
      </w:pPr>
      <w:r>
        <w:t xml:space="preserve">Step 0 — Close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before anything else</w:t>
      </w:r>
    </w:p>
    <w:p>
      <w:pPr>
        <w:pStyle w:val="FirstParagraph"/>
      </w:pPr>
      <w:r>
        <w:rPr>
          <w:rStyle w:val="VerbatimChar"/>
          <w:bCs/>
          <w:b/>
        </w:rPr>
        <w:t xml:space="preserve">H-01</w:t>
      </w:r>
      <w:r>
        <w:rPr>
          <w:bCs/>
          <w:b/>
        </w:rPr>
        <w:t xml:space="preserve"> </w:t>
      </w:r>
      <w:r>
        <w:rPr>
          <w:bCs/>
          <w:b/>
        </w:rPr>
        <w:t xml:space="preserve">· 2–3 hours · do this regardless of which release path is chosen</w:t>
      </w:r>
    </w:p>
    <w:p>
      <w:pPr>
        <w:pStyle w:val="BodyText"/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required review, required status check. Remove the committed</w:t>
      </w:r>
      <w:r>
        <w:t xml:space="preserve"> </w:t>
      </w:r>
      <w:r>
        <w:rPr>
          <w:rStyle w:val="VerbatimChar"/>
        </w:rPr>
        <w:t xml:space="preserve">.gitconfig</w:t>
      </w:r>
      <w:r>
        <w:t xml:space="preserve"> </w:t>
      </w:r>
      <w:r>
        <w:t xml:space="preserve">that assigns agent authorship by default (5 minutes).</w:t>
      </w:r>
    </w:p>
    <w:p>
      <w:pPr>
        <w:pStyle w:val="BodyText"/>
      </w:pPr>
      <w:r>
        <w:t xml:space="preserve">This is out of sequence deliberately. Every other step in this plan repairs damage; this one is the only step that stops the damage recurring. Without it, 5,057 agent commits will be joined by more, through the same unguarded path, and a second audit in three months would produce a similar list. Open issue #1533 already names the problem.</w:t>
      </w:r>
    </w:p>
    <w:p>
      <w:pPr>
        <w:pStyle w:val="BodyText"/>
      </w:pPr>
      <w:r>
        <w:t xml:space="preserve">Two to three hours, and it is the highest-leverage work in this document.</w:t>
      </w:r>
    </w:p>
    <w:bookmarkEnd w:id="20"/>
    <w:bookmarkStart w:id="21" w:name="step-1--one-supported-toolchain"/>
    <w:p>
      <w:pPr>
        <w:pStyle w:val="Heading2"/>
      </w:pPr>
      <w:r>
        <w:t xml:space="preserve">Step 1 — One supported toolchain</w:t>
      </w:r>
    </w:p>
    <w:p>
      <w:pPr>
        <w:pStyle w:val="FirstParagraph"/>
      </w:pPr>
      <w:r>
        <w:rPr>
          <w:rStyle w:val="VerbatimChar"/>
          <w:bCs/>
          <w:b/>
        </w:rPr>
        <w:t xml:space="preserve">A-01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A-03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H-05</w:t>
      </w:r>
      <w:r>
        <w:rPr>
          <w:bCs/>
          <w:b/>
        </w:rPr>
        <w:t xml:space="preserve"> </w:t>
      </w:r>
      <w:r>
        <w:rPr>
          <w:bCs/>
          <w:b/>
        </w:rPr>
        <w:t xml:space="preserve">· 17–29h</w:t>
      </w:r>
    </w:p>
    <w:p>
      <w:pPr>
        <w:pStyle w:val="BodyText"/>
      </w:pPr>
      <w:r>
        <w:t xml:space="preserve">One Node version, one package manager, one install command, working from a clean checkout and identical in CI. Establish which of the four Dockerfiles the deployment pipeline actually uses and delete the rest. Nothing downstream is verifiable until a second engineer can reproduce a run.</w:t>
      </w:r>
      <w:r>
        <w:t xml:space="preserve"> </w:t>
      </w:r>
      <w:r>
        <w:rPr>
          <w:iCs/>
          <w:i/>
        </w:rPr>
        <w:t xml:space="preserve">Owner: front end. Blocks steps 2, 3, 4.</w:t>
      </w:r>
    </w:p>
    <w:bookmarkEnd w:id="21"/>
    <w:bookmarkStart w:id="22" w:name="step-2--repair-the-production-build"/>
    <w:p>
      <w:pPr>
        <w:pStyle w:val="Heading2"/>
      </w:pPr>
      <w:r>
        <w:t xml:space="preserve">Step 2 — Repair the production build</w:t>
      </w:r>
    </w:p>
    <w:p>
      <w:pPr>
        <w:pStyle w:val="FirstParagraph"/>
      </w:pPr>
      <w:r>
        <w:rPr>
          <w:rStyle w:val="VerbatimChar"/>
          <w:bCs/>
          <w:b/>
        </w:rPr>
        <w:t xml:space="preserve">A-13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A-26</w:t>
      </w:r>
      <w:r>
        <w:rPr>
          <w:bCs/>
          <w:b/>
        </w:rPr>
        <w:t xml:space="preserve"> </w:t>
      </w:r>
      <w:r>
        <w:rPr>
          <w:bCs/>
          <w:b/>
        </w:rPr>
        <w:t xml:space="preserve">· 9–26h</w:t>
      </w:r>
    </w:p>
    <w:p>
      <w:pPr>
        <w:pStyle w:val="BodyText"/>
      </w:pPr>
      <w:r>
        <w:t xml:space="preserve">Isolate the dev-only React Refresh / Babel path from the production pipeline. On the first successful build, capture main-chunk size, verify that the 98 route-level</w:t>
      </w:r>
      <w:r>
        <w:t xml:space="preserve"> </w:t>
      </w:r>
      <w:r>
        <w:rPr>
          <w:rStyle w:val="VerbatimChar"/>
        </w:rPr>
        <w:t xml:space="preserve">lazy()</w:t>
      </w:r>
      <w:r>
        <w:t xml:space="preserve"> </w:t>
      </w:r>
      <w:r>
        <w:t xml:space="preserve">splits survive into emitted chunks, and settle the source-map question.</w:t>
      </w:r>
      <w:r>
        <w:t xml:space="preserve"> </w:t>
      </w:r>
      <w:r>
        <w:rPr>
          <w:iCs/>
          <w:i/>
        </w:rPr>
        <w:t xml:space="preserve">Owner: front end.</w:t>
      </w:r>
    </w:p>
    <w:bookmarkEnd w:id="22"/>
    <w:bookmarkStart w:id="23" w:name="X052c5af9e372907d93c7cc14160990ac72ba34d"/>
    <w:p>
      <w:pPr>
        <w:pStyle w:val="Heading2"/>
      </w:pPr>
      <w:r>
        <w:t xml:space="preserve">Step 3 — Align the deployed route contract</w:t>
      </w:r>
    </w:p>
    <w:p>
      <w:pPr>
        <w:pStyle w:val="FirstParagraph"/>
      </w:pPr>
      <w:r>
        <w:rPr>
          <w:rStyle w:val="VerbatimChar"/>
          <w:bCs/>
          <w:b/>
        </w:rPr>
        <w:t xml:space="preserve">A-15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A-16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A-17</w:t>
      </w:r>
      <w:r>
        <w:rPr>
          <w:bCs/>
          <w:b/>
        </w:rPr>
        <w:t xml:space="preserve"> </w:t>
      </w:r>
      <w:r>
        <w:rPr>
          <w:bCs/>
          <w:b/>
        </w:rPr>
        <w:t xml:space="preserve">· 24–40h</w:t>
      </w:r>
    </w:p>
    <w:p>
      <w:pPr>
        <w:pStyle w:val="BodyText"/>
      </w:pPr>
      <w:r>
        <w:t xml:space="preserve">Reconcile route base, redirects and deployment rewrite rules into one source of truth so the named R1 routes resolve as named. Give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 explicit access-restricted state; stop</w:t>
      </w:r>
      <w:r>
        <w:t xml:space="preserve"> </w:t>
      </w:r>
      <w:r>
        <w:rPr>
          <w:rStyle w:val="VerbatimChar"/>
        </w:rPr>
        <w:t xml:space="preserve">manage-users</w:t>
      </w:r>
      <w:r>
        <w:t xml:space="preserve"> </w:t>
      </w:r>
      <w:r>
        <w:t xml:space="preserve">discarding its query context into billing.</w:t>
      </w:r>
      <w:r>
        <w:t xml:space="preserve"> </w:t>
      </w:r>
      <w:r>
        <w:rPr>
          <w:iCs/>
          <w:i/>
        </w:rPr>
        <w:t xml:space="preserve">Owner: front end plus deployment. Cannot be completed by the front end alone.</w:t>
      </w:r>
    </w:p>
    <w:bookmarkEnd w:id="23"/>
    <w:bookmarkStart w:id="24" w:name="X6e41c3d2bfc58bd75ac84ad08c6ebd27c190348"/>
    <w:p>
      <w:pPr>
        <w:pStyle w:val="Heading2"/>
      </w:pPr>
      <w:r>
        <w:t xml:space="preserve">Step 4 — Make the team-access chain work end to end</w:t>
      </w:r>
    </w:p>
    <w:p>
      <w:pPr>
        <w:pStyle w:val="FirstParagraph"/>
      </w:pPr>
      <w:r>
        <w:rPr>
          <w:rStyle w:val="VerbatimChar"/>
          <w:bCs/>
          <w:b/>
        </w:rPr>
        <w:t xml:space="preserve">A-12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A-22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A-23</w:t>
      </w:r>
      <w:r>
        <w:rPr>
          <w:bCs/>
          <w:b/>
        </w:rPr>
        <w:t xml:space="preserve"> </w:t>
      </w:r>
      <w:r>
        <w:rPr>
          <w:bCs/>
          <w:b/>
        </w:rPr>
        <w:t xml:space="preserve">· 28–52h front end, plus backend</w:t>
      </w:r>
    </w:p>
    <w:p>
      <w:pPr>
        <w:pStyle w:val="BodyText"/>
      </w:pPr>
      <w:r>
        <w:t xml:space="preserve">Now a hard blocker: multi-user is confirmed R1 scope.</w:t>
      </w:r>
    </w:p>
    <w:p>
      <w:pPr>
        <w:numPr>
          <w:ilvl w:val="0"/>
          <w:numId w:val="1001"/>
        </w:numPr>
        <w:pStyle w:val="Compact"/>
      </w:pPr>
      <w:r>
        <w:t xml:space="preserve">Re-run the invite path on the release candidate once step 3 lands, capturing what the audit could not reach: the</w:t>
      </w:r>
      <w:r>
        <w:t xml:space="preserve"> </w:t>
      </w:r>
      <w:r>
        <w:rPr>
          <w:rStyle w:val="VerbatimChar"/>
        </w:rPr>
        <w:t xml:space="preserve">Your role</w:t>
      </w:r>
      <w:r>
        <w:t xml:space="preserve"> </w:t>
      </w:r>
      <w:r>
        <w:t xml:space="preserve">value, invite submission, the literal</w:t>
      </w:r>
      <w:r>
        <w:t xml:space="preserve"> </w:t>
      </w:r>
      <w:r>
        <w:rPr>
          <w:rStyle w:val="VerbatimChar"/>
        </w:rPr>
        <w:t xml:space="preserve">invite_link</w:t>
      </w:r>
      <w:r>
        <w:t xml:space="preserve">, its behaviour in a private window, and email delivery.</w:t>
      </w:r>
    </w:p>
    <w:p>
      <w:pPr>
        <w:numPr>
          <w:ilvl w:val="0"/>
          <w:numId w:val="1001"/>
        </w:numPr>
        <w:pStyle w:val="Compact"/>
      </w:pPr>
      <w:r>
        <w:t xml:space="preserve">Build the invite acceptance route and landing surface — neither exists today.</w:t>
      </w:r>
    </w:p>
    <w:p>
      <w:pPr>
        <w:numPr>
          <w:ilvl w:val="0"/>
          <w:numId w:val="1001"/>
        </w:numPr>
        <w:pStyle w:val="Compact"/>
      </w:pPr>
      <w:r>
        <w:t xml:space="preserve">Resolve why a</w:t>
      </w:r>
      <w:r>
        <w:t xml:space="preserve"> </w:t>
      </w:r>
      <w:r>
        <w:rPr>
          <w:rStyle w:val="VerbatimChar"/>
        </w:rPr>
        <w:t xml:space="preserve">user_admin</w:t>
      </w:r>
      <w:r>
        <w:t xml:space="preserve"> </w:t>
      </w:r>
      <w:r>
        <w:t xml:space="preserve">bearer reaches seat-tier enforcement rather than failing on the documented</w:t>
      </w:r>
      <w:r>
        <w:t xml:space="preserve"> </w:t>
      </w:r>
      <w:r>
        <w:rPr>
          <w:rStyle w:val="VerbatimChar"/>
        </w:rPr>
        <w:t xml:space="preserve">{owner, admin}</w:t>
      </w:r>
      <w:r>
        <w:t xml:space="preserve"> </w:t>
      </w:r>
      <w:r>
        <w:t xml:space="preserve">gate.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member-list, revoke and remove endpoints. These do not exist and are not estimated here.</w:t>
      </w:r>
    </w:p>
    <w:p>
      <w:pPr>
        <w:pStyle w:val="FirstParagraph"/>
      </w:pPr>
      <w:r>
        <w:rPr>
          <w:iCs/>
          <w:i/>
        </w:rPr>
        <w:t xml:space="preserve">Owner: front end plus backend auth.</w:t>
      </w:r>
    </w:p>
    <w:bookmarkEnd w:id="24"/>
    <w:bookmarkStart w:id="25" w:name="step-5--instant-revocation"/>
    <w:p>
      <w:pPr>
        <w:pStyle w:val="Heading2"/>
      </w:pPr>
      <w:r>
        <w:t xml:space="preserve">Step 5 — Instant revocation</w:t>
      </w:r>
    </w:p>
    <w:p>
      <w:pPr>
        <w:pStyle w:val="FirstParagraph"/>
      </w:pPr>
      <w:r>
        <w:rPr>
          <w:rStyle w:val="VerbatimChar"/>
          <w:bCs/>
          <w:b/>
        </w:rPr>
        <w:t xml:space="preserve">A-24</w:t>
      </w:r>
      <w:r>
        <w:rPr>
          <w:bCs/>
          <w:b/>
        </w:rPr>
        <w:t xml:space="preserve"> </w:t>
      </w:r>
      <w:r>
        <w:rPr>
          <w:bCs/>
          <w:b/>
        </w:rPr>
        <w:t xml:space="preserve">· backend scope</w:t>
      </w:r>
    </w:p>
    <w:p>
      <w:pPr>
        <w:pStyle w:val="BodyText"/>
      </w:pPr>
      <w:r>
        <w:t xml:space="preserve">Fix #1427 so disconnect endpoints actually remove the connection record, or remove the instant-revocation claim from the product description until they do. The front end already behaves correctly and needs no change.</w:t>
      </w:r>
      <w:r>
        <w:t xml:space="preserve"> </w:t>
      </w:r>
      <w:r>
        <w:rPr>
          <w:iCs/>
          <w:i/>
        </w:rPr>
        <w:t xml:space="preserve">Owner: backend.</w:t>
      </w:r>
    </w:p>
    <w:bookmarkEnd w:id="25"/>
    <w:bookmarkStart w:id="26" w:name="step-6--biqc-wallet"/>
    <w:p>
      <w:pPr>
        <w:pStyle w:val="Heading2"/>
      </w:pPr>
      <w:r>
        <w:t xml:space="preserve">Step 6 — BIQc Wallet</w:t>
      </w:r>
    </w:p>
    <w:p>
      <w:pPr>
        <w:pStyle w:val="FirstParagraph"/>
      </w:pPr>
      <w:r>
        <w:rPr>
          <w:rStyle w:val="VerbatimChar"/>
          <w:bCs/>
          <w:b/>
        </w:rPr>
        <w:t xml:space="preserve">A-25</w:t>
      </w:r>
      <w:r>
        <w:rPr>
          <w:bCs/>
          <w:b/>
        </w:rPr>
        <w:t xml:space="preserve"> </w:t>
      </w:r>
      <w:r>
        <w:rPr>
          <w:bCs/>
          <w:b/>
        </w:rPr>
        <w:t xml:space="preserve">· 60–100h front end, backend substantial</w:t>
      </w:r>
    </w:p>
    <w:p>
      <w:pPr>
        <w:pStyle w:val="BodyText"/>
      </w:pPr>
      <w:r>
        <w:t xml:space="preserve">Cannot start before step 4 completes: credits cannot be allocated to members who cannot be listed, invited or removed.</w:t>
      </w:r>
    </w:p>
    <w:p>
      <w:pPr>
        <w:pStyle w:val="BodyText"/>
      </w:pPr>
      <w:r>
        <w:t xml:space="preserve">Sequence within the step: agree the specification (see open questions in</w:t>
      </w:r>
      <w:r>
        <w:t xml:space="preserve"> </w:t>
      </w:r>
      <w:r>
        <w:rPr>
          <w:rStyle w:val="VerbatimChar"/>
        </w:rPr>
        <w:t xml:space="preserve">06_...</w:t>
      </w:r>
      <w:r>
        <w:t xml:space="preserve">), then the backend ledger with allocation, per-member enforcement, top-up automation and audit trail, then the front-end purchase, allocation and balance surfaces with Governance/Admin gating.</w:t>
      </w:r>
    </w:p>
    <w:p>
      <w:pPr>
        <w:pStyle w:val="BodyText"/>
      </w:pPr>
      <w:r>
        <w:t xml:space="preserve">Concurrency behaviour must be tested explicitly before launch — two members spending against one balance, a top-up landing during consumption, a limit boundary hit by simultaneous requests. These are the failure modes that produce revenue loss or customer-visible billing errors.</w:t>
      </w:r>
    </w:p>
    <w:bookmarkEnd w:id="26"/>
    <w:bookmarkStart w:id="27" w:name="step-7--re-baseline-the-test-inventory"/>
    <w:p>
      <w:pPr>
        <w:pStyle w:val="Heading2"/>
      </w:pPr>
      <w:r>
        <w:t xml:space="preserve">Step 7 — Re-baseline the test inventory</w:t>
      </w:r>
    </w:p>
    <w:p>
      <w:pPr>
        <w:pStyle w:val="FirstParagraph"/>
      </w:pPr>
      <w:r>
        <w:rPr>
          <w:rStyle w:val="VerbatimChar"/>
          <w:bCs/>
          <w:b/>
        </w:rPr>
        <w:t xml:space="preserve">A-02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A-04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A-10</w:t>
      </w:r>
      <w:r>
        <w:rPr>
          <w:bCs/>
          <w:b/>
        </w:rPr>
        <w:t xml:space="preserve"> </w:t>
      </w:r>
      <w:r>
        <w:rPr>
          <w:bCs/>
          <w:b/>
        </w:rPr>
        <w:t xml:space="preserve">· 22–36h</w:t>
      </w:r>
    </w:p>
    <w:p>
      <w:pPr>
        <w:pStyle w:val="BodyText"/>
      </w:pPr>
      <w:r>
        <w:t xml:space="preserve">Not "make it green". Classify each of the eleven, then act per class: fix the one real violation (</w:t>
      </w:r>
      <w:r>
        <w:rPr>
          <w:rStyle w:val="VerbatimChar"/>
        </w:rPr>
        <w:t xml:space="preserve">A-04</w:t>
      </w:r>
      <w:r>
        <w:t xml:space="preserve">); delete tests targeting deleted surfaces (</w:t>
      </w:r>
      <w:r>
        <w:rPr>
          <w:rStyle w:val="VerbatimChar"/>
        </w:rPr>
        <w:t xml:space="preserve">A-05</w:t>
      </w:r>
      <w:r>
        <w:t xml:space="preserve">); update tests behind documented product decisions (</w:t>
      </w:r>
      <w:r>
        <w:rPr>
          <w:rStyle w:val="VerbatimChar"/>
        </w:rPr>
        <w:t xml:space="preserve">A-06</w:t>
      </w:r>
      <w:r>
        <w:t xml:space="preserve">); resolve contradictions by deciding which expectation is current (</w:t>
      </w:r>
      <w:r>
        <w:rPr>
          <w:rStyle w:val="VerbatimChar"/>
        </w:rPr>
        <w:t xml:space="preserve">A-07</w:t>
      </w:r>
      <w:r>
        <w:t xml:space="preserve">); fix the false positive (</w:t>
      </w:r>
      <w:r>
        <w:rPr>
          <w:rStyle w:val="VerbatimChar"/>
        </w:rPr>
        <w:t xml:space="preserve">A-08</w:t>
      </w:r>
      <w:r>
        <w:t xml:space="preserve">); reconcile the copy constants (</w:t>
      </w:r>
      <w:r>
        <w:rPr>
          <w:rStyle w:val="VerbatimChar"/>
        </w:rPr>
        <w:t xml:space="preserve">A-09</w:t>
      </w:r>
      <w:r>
        <w:t xml:space="preserve">); apply the existing router mock (</w:t>
      </w:r>
      <w:r>
        <w:rPr>
          <w:rStyle w:val="VerbatimChar"/>
        </w:rPr>
        <w:t xml:space="preserve">A-10</w:t>
      </w:r>
      <w:r>
        <w:t xml:space="preserve">). Then expand the CI gate beyond 7 suites — which is what step 0's required status check depends on.</w:t>
      </w:r>
      <w:r>
        <w:t xml:space="preserve"> </w:t>
      </w:r>
      <w:r>
        <w:rPr>
          <w:iCs/>
          <w:i/>
        </w:rPr>
        <w:t xml:space="preserve">Owner: front end.</w:t>
      </w:r>
    </w:p>
    <w:bookmarkEnd w:id="27"/>
    <w:bookmarkStart w:id="28" w:name="step-8--harden-the-edge"/>
    <w:p>
      <w:pPr>
        <w:pStyle w:val="Heading2"/>
      </w:pPr>
      <w:r>
        <w:t xml:space="preserve">Step 8 — Harden the edge</w:t>
      </w:r>
    </w:p>
    <w:p>
      <w:pPr>
        <w:pStyle w:val="FirstParagraph"/>
      </w:pPr>
      <w:r>
        <w:rPr>
          <w:rStyle w:val="VerbatimChar"/>
          <w:bCs/>
          <w:b/>
        </w:rPr>
        <w:t xml:space="preserve">A-18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A-19</w:t>
      </w:r>
      <w:r>
        <w:rPr>
          <w:bCs/>
          <w:b/>
        </w:rPr>
        <w:t xml:space="preserve"> </w:t>
      </w:r>
      <w:r>
        <w:rPr>
          <w:bCs/>
          <w:b/>
        </w:rPr>
        <w:t xml:space="preserve">· 9–18h</w:t>
      </w:r>
    </w:p>
    <w:p>
      <w:pPr>
        <w:pStyle w:val="BodyText"/>
      </w:pPr>
      <w:r>
        <w:t xml:space="preserve">Enforced CSP in place of report-only, inline scripts removed or nonce-based, HSTS on the front-end root, and one layer designated owner of security headers so the duplicates stop.</w:t>
      </w:r>
      <w:r>
        <w:t xml:space="preserve"> </w:t>
      </w:r>
      <w:r>
        <w:rPr>
          <w:iCs/>
          <w:i/>
        </w:rPr>
        <w:t xml:space="preserve">Owner: front-end edge plus proxy/backend.</w:t>
      </w:r>
    </w:p>
    <w:bookmarkEnd w:id="28"/>
    <w:bookmarkStart w:id="29" w:name="step-9--lint-gate-on-changed-files"/>
    <w:p>
      <w:pPr>
        <w:pStyle w:val="Heading2"/>
      </w:pPr>
      <w:r>
        <w:t xml:space="preserve">Step 9 — Lint gate on changed files</w:t>
      </w:r>
    </w:p>
    <w:p>
      <w:pPr>
        <w:pStyle w:val="FirstParagraph"/>
      </w:pPr>
      <w:r>
        <w:rPr>
          <w:rStyle w:val="VerbatimChar"/>
          <w:bCs/>
          <w:b/>
        </w:rPr>
        <w:t xml:space="preserve">A-11</w:t>
      </w:r>
      <w:r>
        <w:rPr>
          <w:bCs/>
          <w:b/>
        </w:rPr>
        <w:t xml:space="preserve"> </w:t>
      </w:r>
      <w:r>
        <w:rPr>
          <w:bCs/>
          <w:b/>
        </w:rPr>
        <w:t xml:space="preserve">· 8–16h</w:t>
      </w:r>
    </w:p>
    <w:p>
      <w:pPr>
        <w:pStyle w:val="BodyText"/>
      </w:pPr>
      <w:r>
        <w:t xml:space="preserve">Commit a real ESLint config, add a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script, run it in CI, scope enforcement to changed files. Do not attempt the 2,775-issue cleanup before R1 — the two counts that would have justified urgency (</w:t>
      </w:r>
      <w:r>
        <w:rPr>
          <w:rStyle w:val="VerbatimChar"/>
        </w:rPr>
        <w:t xml:space="preserve">rules-of-hooks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no-undef</w:t>
      </w:r>
      <w:r>
        <w:t xml:space="preserve">) are both zero.</w:t>
      </w:r>
    </w:p>
    <w:bookmarkEnd w:id="29"/>
    <w:bookmarkStart w:id="30" w:name="X394ec32cb902b53cb77705223eaf196d53a73ac"/>
    <w:p>
      <w:pPr>
        <w:pStyle w:val="Heading2"/>
      </w:pPr>
      <w:r>
        <w:t xml:space="preserve">Step 10 — Repository cleanup and small items</w:t>
      </w:r>
    </w:p>
    <w:p>
      <w:pPr>
        <w:pStyle w:val="FirstParagraph"/>
      </w:pPr>
      <w:r>
        <w:rPr>
          <w:rStyle w:val="VerbatimChar"/>
          <w:bCs/>
          <w:b/>
        </w:rPr>
        <w:t xml:space="preserve">H-02</w:t>
      </w:r>
      <w:r>
        <w:rPr>
          <w:bCs/>
          <w:b/>
        </w:rPr>
        <w:t xml:space="preserve">–</w:t>
      </w:r>
      <w:r>
        <w:rPr>
          <w:rStyle w:val="VerbatimChar"/>
          <w:bCs/>
          <w:b/>
        </w:rPr>
        <w:t xml:space="preserve">H-06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A-14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A-20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A-21</w:t>
      </w:r>
      <w:r>
        <w:rPr>
          <w:bCs/>
          <w:b/>
        </w:rPr>
        <w:t xml:space="preserve"> </w:t>
      </w:r>
      <w:r>
        <w:rPr>
          <w:bCs/>
          <w:b/>
        </w:rPr>
        <w:t xml:space="preserve">· 13–21h · Phase 2</w:t>
      </w:r>
    </w:p>
    <w:p>
      <w:pPr>
        <w:pStyle w:val="BodyText"/>
      </w:pPr>
      <w:r>
        <w:t xml:space="preserve">Delete the failed-command artefacts (10 min). Consolidate the seven</w:t>
      </w:r>
      <w:r>
        <w:t xml:space="preserve"> </w:t>
      </w:r>
      <w:r>
        <w:rPr>
          <w:rStyle w:val="VerbatimChar"/>
        </w:rPr>
        <w:t xml:space="preserve">evidence*</w:t>
      </w:r>
      <w:r>
        <w:t xml:space="preserve"> </w:t>
      </w:r>
      <w:r>
        <w:t xml:space="preserve">directories into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 </w:t>
      </w:r>
      <w:r>
        <w:t xml:space="preserve">with dates (1h). Move root markdown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with an index (2h). Remove the 4,674 lines of unreachable code —</w:t>
      </w:r>
      <w:r>
        <w:t xml:space="preserve"> </w:t>
      </w:r>
      <w:r>
        <w:rPr>
          <w:bCs/>
          <w:b/>
        </w:rPr>
        <w:t xml:space="preserve">after confirming with the developer whether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AdvisorWatchtower.js</w:t>
      </w:r>
      <w:r>
        <w:rPr>
          <w:bCs/>
          <w:b/>
        </w:rPr>
        <w:t xml:space="preserve"> </w:t>
      </w:r>
      <w:r>
        <w:rPr>
          <w:bCs/>
          <w:b/>
        </w:rPr>
        <w:t xml:space="preserve">is returning in R1</w:t>
      </w:r>
      <w:r>
        <w:t xml:space="preserve"> </w:t>
      </w:r>
      <w:r>
        <w:t xml:space="preserve">(1h). Update the</w:t>
      </w:r>
      <w:r>
        <w:t xml:space="preserve"> </w:t>
      </w:r>
      <w:r>
        <w:rPr>
          <w:rStyle w:val="VerbatimChar"/>
        </w:rPr>
        <w:t xml:space="preserve">shell-quote</w:t>
      </w:r>
      <w:r>
        <w:t xml:space="preserve"> </w:t>
      </w:r>
      <w:r>
        <w:t xml:space="preserve">override alongside the Dependabot PR rather than merging it alone. Give logged-out protected-route access a clean dedicated redirect. Refresh role state on privilege-sensitive surfaces.</w:t>
      </w:r>
    </w:p>
    <w:p>
      <w:r>
        <w:pict>
          <v:rect style="width:0;height:1.5pt" o:hralign="center" o:hrstd="t" o:hr="t"/>
        </w:pict>
      </w:r>
    </w:p>
    <w:bookmarkEnd w:id="30"/>
    <w:bookmarkStart w:id="31" w:name="effort-summary"/>
    <w:p>
      <w:pPr>
        <w:pStyle w:val="Heading2"/>
      </w:pPr>
      <w:r>
        <w:t xml:space="preserve">Effort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protection and required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Toolchain, CI and build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A-01, A-03, 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build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A-13, A-26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and deployment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A-15, A-16, A-17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+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Team-access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A-12, A-22, A-23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+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revocation (#1427)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BIQc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60–100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+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inventory re-baseline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A-02, A-04–A-10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A-18, A-19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+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cleanup and small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H-02–H-06, A-14, A-20, A-21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Front-end total, confirmed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192–341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Backend items — member-list, revoke, remove, #1427, and the Wallet ledger — are deliberately unestimated. They belong to the developer who will build them, and an outside figure on work I have not scoped would look authoritative and be invented.</w:t>
      </w:r>
    </w:p>
    <w:p>
      <w:pPr>
        <w:pStyle w:val="BodyText"/>
      </w:pPr>
      <w:r>
        <w:t xml:space="preserve">Estimates assume one focused front-end engineer with availability from deployment and backend owners. They do not include building a staging environment, which does not exist and is a separate decision.</w:t>
      </w:r>
    </w:p>
    <w:p>
      <w:r>
        <w:pict>
          <v:rect style="width:0;height:1.5pt" o:hralign="center" o:hrstd="t" o:hr="t"/>
        </w:pict>
      </w:r>
    </w:p>
    <w:bookmarkEnd w:id="31"/>
    <w:bookmarkStart w:id="32" w:name="exit-criteria-for-release-1-sign-off"/>
    <w:p>
      <w:pPr>
        <w:pStyle w:val="Heading2"/>
      </w:pPr>
      <w:r>
        <w:t xml:space="preserve">Exit criteria for Release 1 sign-off</w:t>
      </w:r>
    </w:p>
    <w:p>
      <w:pPr>
        <w:pStyle w:val="FirstParagraph"/>
      </w:pPr>
      <w:r>
        <w:t xml:space="preserve">Defensible when all of the following hold</w:t>
      </w:r>
      <w:r>
        <w:t xml:space="preserve"> </w:t>
      </w:r>
      <w:r>
        <w:rPr>
          <w:bCs/>
          <w:b/>
        </w:rPr>
        <w:t xml:space="preserve">on the release candidate</w:t>
      </w:r>
      <w:r>
        <w:t xml:space="preserve">, not on a developer machine: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protected with required review and a required status check.</w:t>
      </w:r>
    </w:p>
    <w:p>
      <w:pPr>
        <w:numPr>
          <w:ilvl w:val="0"/>
          <w:numId w:val="1002"/>
        </w:numPr>
        <w:pStyle w:val="Compact"/>
      </w:pPr>
      <w:r>
        <w:t xml:space="preserve">The production build completes and emits a valid optimized bundle.</w:t>
      </w:r>
    </w:p>
    <w:p>
      <w:pPr>
        <w:numPr>
          <w:ilvl w:val="0"/>
          <w:numId w:val="1002"/>
        </w:numPr>
        <w:pStyle w:val="Compact"/>
      </w:pPr>
      <w:r>
        <w:t xml:space="preserve">One documented Node version and one package-manager path work from a clean checkout, and CI uses the same path; one Dockerfile is authoritative.</w:t>
      </w:r>
    </w:p>
    <w:p>
      <w:pPr>
        <w:numPr>
          <w:ilvl w:val="0"/>
          <w:numId w:val="1002"/>
        </w:numPr>
        <w:pStyle w:val="Compact"/>
      </w:pPr>
      <w:r>
        <w:t xml:space="preserve">The named Release 1 routes resolve as named.</w:t>
      </w:r>
    </w:p>
    <w:p>
      <w:pPr>
        <w:numPr>
          <w:ilvl w:val="0"/>
          <w:numId w:val="1002"/>
        </w:numPr>
        <w:pStyle w:val="Compact"/>
      </w:pPr>
      <w:r>
        <w:t xml:space="preserve">The invite path is reachable, and an invite link has been opened end to end in a private window with the result recorded.</w:t>
      </w:r>
    </w:p>
    <w:p>
      <w:pPr>
        <w:numPr>
          <w:ilvl w:val="0"/>
          <w:numId w:val="1002"/>
        </w:numPr>
        <w:pStyle w:val="Compact"/>
      </w:pPr>
      <w:r>
        <w:t xml:space="preserve">An invited user has a landing surface, and the account owner can list, revoke and remove members.</w:t>
      </w:r>
    </w:p>
    <w:p>
      <w:pPr>
        <w:numPr>
          <w:ilvl w:val="0"/>
          <w:numId w:val="1002"/>
        </w:numPr>
        <w:pStyle w:val="Compact"/>
      </w:pPr>
      <w:r>
        <w:t xml:space="preserve">Invite authorisation matches the documented role contract, verified by direct endpoint probe.</w:t>
      </w:r>
    </w:p>
    <w:p>
      <w:pPr>
        <w:numPr>
          <w:ilvl w:val="0"/>
          <w:numId w:val="1002"/>
        </w:numPr>
        <w:pStyle w:val="Compact"/>
      </w:pPr>
      <w:r>
        <w:t xml:space="preserve">Disconnect actually removes the connection record, or the instant-revocation claim is withdrawn.</w:t>
      </w:r>
    </w:p>
    <w:p>
      <w:pPr>
        <w:numPr>
          <w:ilvl w:val="0"/>
          <w:numId w:val="1002"/>
        </w:numPr>
        <w:pStyle w:val="Compact"/>
      </w:pPr>
      <w:r>
        <w:t xml:space="preserve">If Wallet ships: credit allocation and spend behave correctly under simultaneous access, with a written test for the limit boundary.</w:t>
      </w:r>
    </w:p>
    <w:p>
      <w:pPr>
        <w:numPr>
          <w:ilvl w:val="0"/>
          <w:numId w:val="1002"/>
        </w:numPr>
        <w:pStyle w:val="Compact"/>
      </w:pPr>
      <w:r>
        <w:t xml:space="preserve">Admin and protected-route failures produce explicit, correct outcomes — not generic 404s, not silent redirects into billing.</w:t>
      </w:r>
    </w:p>
    <w:p>
      <w:pPr>
        <w:numPr>
          <w:ilvl w:val="0"/>
          <w:numId w:val="1002"/>
        </w:numPr>
        <w:pStyle w:val="Compact"/>
      </w:pPr>
      <w:r>
        <w:t xml:space="preserve">The test baseline is green, or every remaining red suite has a written, accepted reason.</w:t>
      </w:r>
    </w:p>
    <w:p>
      <w:pPr>
        <w:numPr>
          <w:ilvl w:val="0"/>
          <w:numId w:val="1002"/>
        </w:numPr>
        <w:pStyle w:val="Compact"/>
      </w:pPr>
      <w:r>
        <w:t xml:space="preserve">An enforced CSP replaces the report-only posture.</w:t>
      </w:r>
    </w:p>
    <w:p>
      <w:r>
        <w:pict>
          <v:rect style="width:0;height:1.5pt" o:hralign="center" o:hrstd="t" o:hr="t"/>
        </w:pict>
      </w:r>
    </w:p>
    <w:bookmarkEnd w:id="32"/>
    <w:bookmarkStart w:id="33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Post-audit development is outside the current engagement. If P0 work is to be contracted, the cleanest structure is a separate fixed price for blockers only — steps 0 through 4 — rather than an open-ended engagement. I have no capacity for a large refactor before August, and would not recommend one as part of Release 1 in any case: none of the findings above are solved by rewriting the front end.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2026-07-27T09:16:14Z</dcterms:created>
  <dcterms:modified xsi:type="dcterms:W3CDTF">2026-07-27T09:16:14Z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