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keepLines/>
      </w:pPr>
      <w:r>
        <w:rPr>
          <w:rFonts w:ascii="Noto Sans CJK SC" w:hAnsi="Noto Sans CJK SC" w:eastAsia="Noto Sans CJK SC"/>
          <w:b/>
          <w:color w:val="A43B3B"/>
          <w:sz w:val="26"/>
        </w:rPr>
        <w:t>研究方案书</w:t>
      </w:r>
    </w:p>
    <w:p>
      <w:pPr>
        <w:spacing w:before="360" w:after="160"/>
        <w:keepLines/>
      </w:pPr>
      <w:r>
        <w:rPr>
          <w:rFonts w:ascii="Noto Sans CJK SC" w:hAnsi="Noto Sans CJK SC" w:eastAsia="Noto Sans CJK SC"/>
          <w:b/>
          <w:color w:val="17324D"/>
          <w:sz w:val="52"/>
        </w:rPr>
        <w:t>疟原虫基因组组成偏倚的跨层级进化传导</w:t>
      </w:r>
    </w:p>
    <w:p>
      <w:pPr>
        <w:spacing w:after="320"/>
        <w:keepLines/>
      </w:pPr>
      <w:r>
        <w:rPr>
          <w:rFonts w:ascii="Noto Sans CJK SC" w:hAnsi="Noto Sans CJK SC" w:eastAsia="Noto Sans CJK SC"/>
          <w:b/>
          <w:color w:val="2B6F77"/>
          <w:sz w:val="40"/>
        </w:rPr>
        <w:t>从突变过程到翻译应激与适应性脆弱性</w:t>
      </w:r>
    </w:p>
    <w:p>
      <w:pPr>
        <w:spacing w:after="100"/>
        <w:keepLines/>
      </w:pPr>
      <w:r>
        <w:rPr>
          <w:rFonts w:ascii="Noto Sans CJK SC" w:hAnsi="Noto Sans CJK SC" w:eastAsia="Noto Sans CJK SC"/>
          <w:i/>
          <w:color w:val="6C7883"/>
          <w:sz w:val="22"/>
        </w:rPr>
        <w:t>Cross-layer propagation of genome composition bias in Plasmodium links mutational processes to translational stress adaptation</w:t>
      </w:r>
    </w:p>
    <w:tbl>
      <w:tblPr>
        <w:tblW w:type="auto" w:w="0"/>
        <w:tblLayout w:type="fixed"/>
        <w:tblLook w:firstColumn="1" w:firstRow="1" w:lastColumn="0" w:lastRow="0" w:noHBand="0" w:noVBand="1" w:val="04A0"/>
      </w:tblPr>
      <w:tblGrid>
        <w:gridCol w:w="2268"/>
        <w:gridCol w:w="6803"/>
      </w:tblGrid>
      <w:tr>
        <w:tc>
          <w:tcPr>
            <w:tcW w:type="dxa" w:w="4776"/>
            <w:shd w:fill="A43B3B"/>
            <w:tcMar>
              <w:top w:w="24" w:type="dxa"/>
              <w:start w:w="0" w:type="dxa"/>
              <w:bottom w:w="24" w:type="dxa"/>
              <w:end w:w="0" w:type="dxa"/>
            </w:tcMar>
            <w:tcBorders>
              <w:top w:val="nil"/>
              <w:left w:val="nil"/>
              <w:bottom w:val="nil"/>
              <w:right w:val="nil"/>
            </w:tcBorders>
          </w:tcPr>
          <w:p/>
        </w:tc>
        <w:tc>
          <w:tcPr>
            <w:tcW w:type="dxa" w:w="4776"/>
            <w:shd w:fill="DCE6ED"/>
            <w:tcMar>
              <w:top w:w="24" w:type="dxa"/>
              <w:start w:w="0" w:type="dxa"/>
              <w:bottom w:w="24" w:type="dxa"/>
              <w:end w:w="0" w:type="dxa"/>
            </w:tcMar>
            <w:tcBorders>
              <w:top w:val="nil"/>
              <w:left w:val="nil"/>
              <w:bottom w:val="nil"/>
              <w:right w:val="nil"/>
            </w:tcBorders>
          </w:tcPr>
          <w:p/>
        </w:tc>
      </w:tr>
    </w:tbl>
    <w:p>
      <w:pPr>
        <w:spacing w:before="440"/>
        <w:keepLines/>
      </w:pPr>
      <w:r>
        <w:rPr>
          <w:rFonts w:ascii="Noto Sans CJK SC" w:hAnsi="Noto Sans CJK SC" w:eastAsia="Noto Sans CJK SC"/>
          <w:b/>
          <w:color w:val="6C7883"/>
          <w:sz w:val="18"/>
        </w:rPr>
        <w:t>目标期刊</w:t>
      </w:r>
    </w:p>
    <w:p>
      <w:pPr>
        <w:keepLines/>
      </w:pPr>
      <w:r>
        <w:rPr>
          <w:rFonts w:ascii="Noto Sans CJK SC" w:hAnsi="Noto Sans CJK SC" w:eastAsia="Noto Sans CJK SC"/>
          <w:b/>
          <w:color w:val="17324D"/>
          <w:sz w:val="34"/>
        </w:rPr>
        <w:t>Nature Microbiology</w:t>
      </w:r>
    </w:p>
    <w:p>
      <w:pPr>
        <w:spacing w:before="280"/>
        <w:keepLines/>
      </w:pPr>
      <w:r>
        <w:rPr>
          <w:rFonts w:ascii="Noto Sans CJK SC" w:hAnsi="Noto Sans CJK SC" w:eastAsia="Noto Sans CJK SC"/>
          <w:b/>
          <w:color w:val="6C7883"/>
          <w:sz w:val="18"/>
        </w:rPr>
        <w:t>文档性质</w:t>
      </w:r>
    </w:p>
    <w:p>
      <w:pPr>
        <w:keepLines/>
      </w:pPr>
      <w:r>
        <w:rPr>
          <w:rFonts w:ascii="Noto Sans CJK SC" w:hAnsi="Noto Sans CJK SC" w:eastAsia="Noto Sans CJK SC"/>
          <w:color w:val="26323B"/>
          <w:sz w:val="22"/>
        </w:rPr>
        <w:t>上层科学设计与证据路线；不包含具体实施参数或固定湿实验工作包</w:t>
      </w:r>
    </w:p>
    <w:p>
      <w:pPr>
        <w:spacing w:before="440"/>
        <w:keepLines/>
      </w:pPr>
      <w:r>
        <w:rPr>
          <w:rFonts w:ascii="Noto Sans CJK SC" w:hAnsi="Noto Sans CJK SC" w:eastAsia="Noto Sans CJK SC"/>
          <w:color w:val="6C7883"/>
          <w:sz w:val="18"/>
        </w:rPr>
        <w:t>版本：2026.09  |  供合作立项、方向对齐与后续施工包设计使用</w:t>
      </w:r>
    </w:p>
    <w:tbl>
      <w:tblPr>
        <w:tblW w:type="auto" w:w="0"/>
        <w:jc w:val="center"/>
        <w:tblLayout w:type="fixed"/>
        <w:tblLook w:firstColumn="1" w:firstRow="1" w:lastColumn="0" w:lastRow="0" w:noHBand="0" w:noVBand="1" w:val="04A0"/>
      </w:tblPr>
      <w:tblGrid>
        <w:gridCol w:w="181"/>
        <w:gridCol w:w="8787"/>
      </w:tblGrid>
      <w:tr>
        <w:tc>
          <w:tcPr>
            <w:tcW w:type="dxa" w:w="4776"/>
            <w:shd w:fill="A43B3B"/>
            <w:tcMar>
              <w:top w:w="0" w:type="dxa"/>
              <w:start w:w="0" w:type="dxa"/>
              <w:bottom w:w="0" w:type="dxa"/>
              <w:end w:w="0" w:type="dxa"/>
            </w:tcMar>
            <w:tcBorders>
              <w:top w:val="nil"/>
              <w:left w:val="nil"/>
              <w:bottom w:val="nil"/>
              <w:right w:val="nil"/>
            </w:tcBorders>
          </w:tcPr>
          <w:p/>
        </w:tc>
        <w:tc>
          <w:tcPr>
            <w:tcW w:type="dxa" w:w="4776"/>
            <w:shd w:fill="F7ECEC"/>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A43B3B"/>
                <w:sz w:val="21"/>
              </w:rPr>
              <w:t>核心立场</w:t>
            </w:r>
          </w:p>
          <w:p>
            <w:pPr>
              <w:spacing w:after="0"/>
              <w:jc w:val="left"/>
            </w:pPr>
            <w:r>
              <w:rPr>
                <w:rFonts w:ascii="Noto Serif CJK SC" w:hAnsi="Noto Serif CJK SC" w:eastAsia="Noto Serif CJK SC"/>
                <w:color w:val="26323B"/>
                <w:sz w:val="19"/>
              </w:rPr>
              <w:t>碱基偏倚是项目起点，但不是终点。项目将首先量化碱基组成与突变过程对密码子、氨基酸和低复杂度架构的“机械传导”，随后只对超出系统发育、序列背景和蛋白约束的稳定残差讨论适应性与转化意义。</w:t>
            </w:r>
          </w:p>
        </w:tc>
      </w:tr>
    </w:tbl>
    <w:p>
      <w:pPr>
        <w:spacing w:after="0"/>
        <w:keepLines/>
      </w:pPr>
    </w:p>
    <w:p>
      <w:pPr>
        <w:keepLines/>
      </w:pPr>
      <w:r>
        <w:br w:type="page"/>
      </w:r>
    </w:p>
    <w:p>
      <w:pPr>
        <w:pStyle w:val="Heading1"/>
        <w:spacing w:before="240" w:after="140"/>
        <w:pBdr>
          <w:bottom w:val="single" w:sz="12" w:space="4" w:color="A43B3B"/>
        </w:pBdr>
        <w:keepNext/>
        <w:keepLines/>
      </w:pPr>
      <w:r>
        <w:rPr>
          <w:rFonts w:ascii="Noto Sans CJK SC" w:hAnsi="Noto Sans CJK SC" w:eastAsia="Noto Sans CJK SC"/>
          <w:b/>
          <w:color w:val="17324D"/>
          <w:sz w:val="33"/>
        </w:rPr>
        <w:t>项目卡片</w:t>
      </w:r>
    </w:p>
    <w:tbl>
      <w:tblPr>
        <w:tblW w:type="auto" w:w="0"/>
        <w:jc w:val="center"/>
        <w:tblLayout w:type="fixed"/>
        <w:tblLook w:firstColumn="1" w:firstRow="1" w:lastColumn="0" w:lastRow="0" w:noHBand="0" w:noVBand="1" w:val="04A0"/>
      </w:tblPr>
      <w:tblGrid>
        <w:gridCol w:w="4776"/>
        <w:gridCol w:w="4776"/>
      </w:tblGrid>
      <w:tr>
        <w:trPr>
          <w:tblHeader w:val="true"/>
          <w:cantSplit/>
        </w:trPr>
        <w:tc>
          <w:tcPr>
            <w:tcW w:type="dxa" w:w="181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要素</w:t>
            </w:r>
          </w:p>
        </w:tc>
        <w:tc>
          <w:tcPr>
            <w:tcW w:type="dxa" w:w="7200"/>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方案定义</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目标主张</w:t>
            </w:r>
          </w:p>
        </w:tc>
        <w:tc>
          <w:tcPr>
            <w:tcW w:type="dxa" w:w="720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不同疟原虫谱系的基因组组成演化，可能被长期选择利用，形成谱系特异的翻译稳健性与应激响应边界，而非仅留下静态 AT/GC 印记。</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核心问题</w:t>
            </w:r>
          </w:p>
        </w:tc>
        <w:tc>
          <w:tcPr>
            <w:tcW w:type="dxa" w:w="720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碱基组成/突变过程对密码子与氨基酸偏倚能解释多少？哪些无法解释的残差与阶段、tRNA 解码、蛋白稳态、药物耐受或传播适应相联系？</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主分析轴</w:t>
            </w:r>
          </w:p>
        </w:tc>
        <w:tc>
          <w:tcPr>
            <w:tcW w:type="dxa" w:w="720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组成演化 → 同义密码子选择 → 氨基酸与低复杂度架构 → 翻译供需与蛋白输出 → 应激/耐药/阶段表型。</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比较设计</w:t>
            </w:r>
          </w:p>
        </w:tc>
        <w:tc>
          <w:tcPr>
            <w:tcW w:type="dxa" w:w="720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跨疟原虫代表谱系的系统发育自然实验；全物种进行基因组层分析，仅在少数数据丰富物种进入阶段组学与翻译层。</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宿主数据边界</w:t>
            </w:r>
          </w:p>
        </w:tc>
        <w:tc>
          <w:tcPr>
            <w:tcW w:type="dxa" w:w="720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核心方案不要求宿主组学。宿主仅以红细胞生态、血红蛋白序列、宿主范围与生命周期位点等高置信元数据进入解释。</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模型原则</w:t>
            </w:r>
          </w:p>
        </w:tc>
        <w:tc>
          <w:tcPr>
            <w:tcW w:type="dxa" w:w="720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可解释模型、明确零模型、系统发育控制、组成型数据处理与 leave-one-clade-out；机器学习仅用于次级候选排序。</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湿实验定位</w:t>
            </w:r>
          </w:p>
        </w:tc>
        <w:tc>
          <w:tcPr>
            <w:tcW w:type="dxa" w:w="720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不预设为必做项目。仅在计算与公开扰动证据通过关键证据门、且存在明确竞争机制时，选择一个最小、决定性的升级验证。</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Nature Microbiology 门槛</w:t>
            </w:r>
          </w:p>
        </w:tc>
        <w:tc>
          <w:tcPr>
            <w:tcW w:type="dxa" w:w="720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需要从“跨物种图谱”升级为“可推广的寄生虫生物学原则”，并至少具备两类正交功能证据；单纯扩大物种数、绘制偏好热图或靶点清单不够。</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预设转向</w:t>
            </w:r>
          </w:p>
        </w:tc>
        <w:tc>
          <w:tcPr>
            <w:tcW w:type="dxa" w:w="720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若翻译残差不稳健，则转向 AT-rich 重复、indel/CNV、抗原变异和耐药逃逸的基因组可塑性主线。</w:t>
            </w:r>
          </w:p>
        </w:tc>
      </w:tr>
    </w:tbl>
    <w:p>
      <w:pPr>
        <w:spacing w:after="0"/>
        <w:keepLines/>
      </w:pPr>
    </w:p>
    <w:tbl>
      <w:tblPr>
        <w:tblW w:type="auto" w:w="0"/>
        <w:jc w:val="center"/>
        <w:tblLayout w:type="fixed"/>
        <w:tblLook w:firstColumn="1" w:firstRow="1" w:lastColumn="0" w:lastRow="0" w:noHBand="0" w:noVBand="1" w:val="04A0"/>
      </w:tblPr>
      <w:tblGrid>
        <w:gridCol w:w="181"/>
        <w:gridCol w:w="8787"/>
      </w:tblGrid>
      <w:tr>
        <w:tc>
          <w:tcPr>
            <w:tcW w:type="dxa" w:w="4776"/>
            <w:shd w:fill="2B6F77"/>
            <w:tcMar>
              <w:top w:w="0" w:type="dxa"/>
              <w:start w:w="0" w:type="dxa"/>
              <w:bottom w:w="0" w:type="dxa"/>
              <w:end w:w="0" w:type="dxa"/>
            </w:tcMar>
            <w:tcBorders>
              <w:top w:val="nil"/>
              <w:left w:val="nil"/>
              <w:bottom w:val="nil"/>
              <w:right w:val="nil"/>
            </w:tcBorders>
          </w:tcPr>
          <w:p/>
        </w:tc>
        <w:tc>
          <w:tcPr>
            <w:tcW w:type="dxa" w:w="4776"/>
            <w:shd w:fill="E8F3F2"/>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2B6F77"/>
                <w:sz w:val="21"/>
              </w:rPr>
              <w:t>一句话摘要</w:t>
            </w:r>
          </w:p>
          <w:p>
            <w:pPr>
              <w:spacing w:after="0"/>
              <w:jc w:val="left"/>
            </w:pPr>
            <w:r>
              <w:rPr>
                <w:rFonts w:ascii="Noto Serif CJK SC" w:hAnsi="Noto Serif CJK SC" w:eastAsia="Noto Serif CJK SC"/>
                <w:color w:val="26323B"/>
                <w:sz w:val="19"/>
              </w:rPr>
              <w:t>本项目拟以多物种系统发育比较和反事实序列模型为底座，区分疟原虫密码子与氨基酸偏倚中的突变成分和选择残差，进一步检验这些残差是否编码阶段特异的翻译应激程序，并据此解释耐药、增殖或传播适应中的谱系差异。</w:t>
            </w:r>
          </w:p>
        </w:tc>
      </w:tr>
    </w:tbl>
    <w:p>
      <w:pPr>
        <w:spacing w:after="0"/>
        <w:keepLines/>
      </w:pPr>
    </w:p>
    <w:p>
      <w:pPr>
        <w:pStyle w:val="Heading1"/>
        <w:spacing w:before="240" w:after="140"/>
        <w:pBdr>
          <w:bottom w:val="single" w:sz="12" w:space="4" w:color="A43B3B"/>
        </w:pBdr>
        <w:keepNext/>
        <w:keepLines/>
      </w:pPr>
      <w:r>
        <w:rPr>
          <w:rFonts w:ascii="Noto Sans CJK SC" w:hAnsi="Noto Sans CJK SC" w:eastAsia="Noto Sans CJK SC"/>
          <w:b/>
          <w:color w:val="17324D"/>
          <w:sz w:val="33"/>
        </w:rPr>
        <w:t>执行摘要</w:t>
      </w:r>
    </w:p>
    <w:p>
      <w:pPr>
        <w:pStyle w:val="Body"/>
        <w:spacing w:after="100"/>
        <w:ind w:firstLine="420"/>
        <w:jc w:val="both"/>
        <w:keepLines/>
      </w:pPr>
      <w:r>
        <w:rPr>
          <w:rFonts w:ascii="Noto Serif CJK SC" w:hAnsi="Noto Serif CJK SC" w:eastAsia="Noto Serif CJK SC"/>
          <w:i w:val="0"/>
          <w:color w:val="26323B"/>
          <w:sz w:val="21"/>
        </w:rPr>
        <w:t>疟疾仍是全球最重要的寄生虫病之一。WHO 2025 年报告估计，2024 年全球约有 2.82 亿例疟疾病例和 61 万例死亡；更重要的是，青蒿素部分耐药已在非洲至少 8 个国家被确认或怀疑，诊断逃逸、伴侣药效下降和跨物种/跨地区适应持续削弱控制工具的寿命[1]。疟原虫研究的前沿因此不再只是“发现一个差异基因”，而是理解寄生虫如何在药物、宿主、免疫和生命周期转换压力下快速重构其基因组、转录、翻译与细胞生物学。</w:t>
      </w:r>
    </w:p>
    <w:p>
      <w:pPr>
        <w:pStyle w:val="Body"/>
        <w:spacing w:after="100"/>
        <w:ind w:firstLine="420"/>
        <w:jc w:val="both"/>
        <w:keepLines/>
      </w:pPr>
      <w:r>
        <w:rPr>
          <w:rFonts w:ascii="Noto Serif CJK SC" w:hAnsi="Noto Serif CJK SC" w:eastAsia="Noto Serif CJK SC"/>
          <w:i w:val="0"/>
          <w:color w:val="26323B"/>
          <w:sz w:val="21"/>
        </w:rPr>
        <w:t>P. falciparum 的极端 AT-rich 基因组是该领域最醒目的生物学异常之一。经典基因组论文奠定了这一事实[2]；随后大规模自然群体测序和结构变异研究显示，疟原虫具有显著的群体多样性、重复序列和抗原家族重排[3,5]。用户提供的 Nucleic Acids Research 研究进一步通过 6 个品系、279 个克隆的长期突变积累实验，直接证明 G:C→A:T 的突变偏倚足以把 P. falciparum 推向接近现有水平的 AT 平衡，并揭示 AT-rich 重复序列上极高的 indel 发生率[4]。但这项工作留下的关键问题仍未闭合：不同疟原虫谱系的组成转换从何而来，又产生了哪些可被选择利用的功能后果？</w:t>
      </w:r>
    </w:p>
    <w:p>
      <w:pPr>
        <w:pStyle w:val="Body"/>
        <w:spacing w:after="100"/>
        <w:ind w:firstLine="420"/>
        <w:jc w:val="both"/>
        <w:keepLines/>
      </w:pPr>
      <w:r>
        <w:rPr>
          <w:rFonts w:ascii="Noto Serif CJK SC" w:hAnsi="Noto Serif CJK SC" w:eastAsia="Noto Serif CJK SC"/>
          <w:i w:val="0"/>
          <w:color w:val="26323B"/>
          <w:sz w:val="21"/>
        </w:rPr>
        <w:t>用户提供的 iScience 研究把问题推进到编码和翻译层：P. falciparum 的 tRNA 供给并不匹配最优翻译所需的密码子需求；对血红蛋白中稀缺氨基酸需求较高的增殖相关基因在营养压力下更易受抑制，提示氨基酸组成本身可参与全局基因表达调控[13]。随后 Nature Microbiology 直接证明，tRNA 修饰重编程和密码子偏倚翻译参与青蒿素耐药，并通过 PfMnmA 条件敲低改变药物存活表型[15]。这说明“碱基—密码子—tRNA—应激”不是边缘话题，而是耐药生物学的活跃前沿。</w:t>
      </w:r>
    </w:p>
    <w:p>
      <w:pPr>
        <w:pStyle w:val="Body"/>
        <w:spacing w:after="100"/>
        <w:ind w:firstLine="420"/>
        <w:jc w:val="both"/>
        <w:keepLines/>
      </w:pPr>
      <w:r>
        <w:rPr>
          <w:rFonts w:ascii="Noto Serif CJK SC" w:hAnsi="Noto Serif CJK SC" w:eastAsia="Noto Serif CJK SC"/>
          <w:i w:val="0"/>
          <w:color w:val="26323B"/>
          <w:sz w:val="21"/>
        </w:rPr>
        <w:t>然而，现有研究大多聚焦 P. falciparum 单一物种，或在少量通路上展示跨物种 proof-of-concept。学界仍缺乏一个系统框架，定量回答：哪些密码子、氨基酸和低复杂度特征只是碱基背景的被动产物，哪些是在独立谱系中重复出现、与阶段表达和翻译需求一致的适应性残差。这个缺口既是本项目的创新空间，也是能否达到 Nature Microbiology 的分水岭。</w:t>
      </w:r>
    </w:p>
    <w:p>
      <w:pPr>
        <w:pStyle w:val="Body"/>
        <w:spacing w:after="100"/>
        <w:ind w:firstLine="420"/>
        <w:jc w:val="both"/>
        <w:keepLines/>
      </w:pPr>
      <w:r>
        <w:rPr>
          <w:rFonts w:ascii="Noto Serif CJK SC" w:hAnsi="Noto Serif CJK SC" w:eastAsia="Noto Serif CJK SC"/>
          <w:i w:val="0"/>
          <w:color w:val="26323B"/>
          <w:sz w:val="21"/>
        </w:rPr>
        <w:t>本方案采用“证据门驱动”的上层设计。首先在代表性疟原虫谱系中重建组成演化和局部序列架构；其次通过固定氨基酸序列的同义反事实、同源位点与结构约束、系统发育比较和组成型数据分析，量化碱基偏倚向密码子和氨基酸层的传导；随后仅在数据丰富物种中整合阶段转录组、蛋白组、tRNA/翻译和公开应激扰动数据，检验残差是否对应稳定的翻译调控程序；最后将信号投射到必需性、自然选择、体外药物进化、结构可药性和宿主选择性，形成少量可证伪的机制模型。</w:t>
      </w:r>
    </w:p>
    <w:p>
      <w:pPr>
        <w:pStyle w:val="Body"/>
        <w:spacing w:after="100"/>
        <w:ind w:firstLine="420"/>
        <w:jc w:val="both"/>
        <w:keepLines/>
      </w:pPr>
      <w:r>
        <w:rPr>
          <w:rFonts w:ascii="Noto Serif CJK SC" w:hAnsi="Noto Serif CJK SC" w:eastAsia="Noto Serif CJK SC"/>
          <w:i w:val="0"/>
          <w:color w:val="26323B"/>
          <w:sz w:val="21"/>
        </w:rPr>
        <w:t>湿实验不作为固定前提。每个潜在实验都必须回答一个由计算证据提出、且不能被现有数据区分的具体竞争机制。可选验证包括同义重编码、ortholog replacement、tRNA 修饰或 aaRS/转运节点扰动、营养×药物应激及定向 reporter。若公开扰动、自然实验和跨物种证据已足以闭合主要推断，则不新增实验；若目标保持为 Nature Microbiology 而因果链仍有关键缺口，则优先选择一个最小、决定性的验证，而不是扩展成多组学湿实验工程。</w:t>
      </w:r>
    </w:p>
    <w:p>
      <w:pPr>
        <w:pStyle w:val="Heading2"/>
        <w:spacing w:before="180" w:after="100"/>
        <w:keepNext/>
        <w:keepLines/>
      </w:pPr>
      <w:r>
        <w:rPr>
          <w:rFonts w:ascii="Noto Sans CJK SC" w:hAnsi="Noto Sans CJK SC" w:eastAsia="Noto Sans CJK SC"/>
          <w:b/>
          <w:color w:val="2B6F77"/>
          <w:sz w:val="26"/>
        </w:rPr>
        <w:t>内容结构</w:t>
      </w:r>
    </w:p>
    <w:p>
      <w:pPr>
        <w:pStyle w:val="Bullet1"/>
        <w:spacing w:after="50"/>
        <w:ind w:left="425" w:hanging="215"/>
        <w:jc w:val="both"/>
        <w:keepLines/>
      </w:pPr>
      <w:r>
        <w:rPr>
          <w:rFonts w:ascii="Noto Serif CJK SC" w:hAnsi="Noto Serif CJK SC" w:eastAsia="Noto Serif CJK SC"/>
          <w:color w:val="26323B"/>
          <w:sz w:val="20"/>
        </w:rPr>
        <w:t>1. 项目定位与期刊级主张</w:t>
      </w:r>
    </w:p>
    <w:p>
      <w:pPr>
        <w:pStyle w:val="Bullet1"/>
        <w:spacing w:after="50"/>
        <w:ind w:left="425" w:hanging="215"/>
        <w:jc w:val="both"/>
        <w:keepLines/>
      </w:pPr>
      <w:r>
        <w:rPr>
          <w:rFonts w:ascii="Noto Serif CJK SC" w:hAnsi="Noto Serif CJK SC" w:eastAsia="Noto Serif CJK SC"/>
          <w:color w:val="26323B"/>
          <w:sz w:val="20"/>
        </w:rPr>
        <w:t>2. 学界当前关切与高水平研究格局</w:t>
      </w:r>
    </w:p>
    <w:p>
      <w:pPr>
        <w:pStyle w:val="Bullet1"/>
        <w:spacing w:after="50"/>
        <w:ind w:left="425" w:hanging="215"/>
        <w:jc w:val="both"/>
        <w:keepLines/>
      </w:pPr>
      <w:r>
        <w:rPr>
          <w:rFonts w:ascii="Noto Serif CJK SC" w:hAnsi="Noto Serif CJK SC" w:eastAsia="Noto Serif CJK SC"/>
          <w:color w:val="26323B"/>
          <w:sz w:val="20"/>
        </w:rPr>
        <w:t>3. 概念框架与关键定义</w:t>
      </w:r>
    </w:p>
    <w:p>
      <w:pPr>
        <w:pStyle w:val="Bullet1"/>
        <w:spacing w:after="50"/>
        <w:ind w:left="425" w:hanging="215"/>
        <w:jc w:val="both"/>
        <w:keepLines/>
      </w:pPr>
      <w:r>
        <w:rPr>
          <w:rFonts w:ascii="Noto Serif CJK SC" w:hAnsi="Noto Serif CJK SC" w:eastAsia="Noto Serif CJK SC"/>
          <w:color w:val="26323B"/>
          <w:sz w:val="20"/>
        </w:rPr>
        <w:t>4. 知识缺口与中心科学问题</w:t>
      </w:r>
    </w:p>
    <w:p>
      <w:pPr>
        <w:pStyle w:val="Bullet1"/>
        <w:spacing w:after="50"/>
        <w:ind w:left="425" w:hanging="215"/>
        <w:jc w:val="both"/>
        <w:keepLines/>
      </w:pPr>
      <w:r>
        <w:rPr>
          <w:rFonts w:ascii="Noto Serif CJK SC" w:hAnsi="Noto Serif CJK SC" w:eastAsia="Noto Serif CJK SC"/>
          <w:color w:val="26323B"/>
          <w:sz w:val="20"/>
        </w:rPr>
        <w:t>5. 科学假设与可证伪预测</w:t>
      </w:r>
    </w:p>
    <w:p>
      <w:pPr>
        <w:pStyle w:val="Bullet1"/>
        <w:spacing w:after="50"/>
        <w:ind w:left="425" w:hanging="215"/>
        <w:jc w:val="both"/>
        <w:keepLines/>
      </w:pPr>
      <w:r>
        <w:rPr>
          <w:rFonts w:ascii="Noto Serif CJK SC" w:hAnsi="Noto Serif CJK SC" w:eastAsia="Noto Serif CJK SC"/>
          <w:color w:val="26323B"/>
          <w:sz w:val="20"/>
        </w:rPr>
        <w:t>6. 研究范围与比较设计</w:t>
      </w:r>
    </w:p>
    <w:p>
      <w:pPr>
        <w:pStyle w:val="Bullet1"/>
        <w:spacing w:after="50"/>
        <w:ind w:left="425" w:hanging="215"/>
        <w:jc w:val="both"/>
        <w:keepLines/>
      </w:pPr>
      <w:r>
        <w:rPr>
          <w:rFonts w:ascii="Noto Serif CJK SC" w:hAnsi="Noto Serif CJK SC" w:eastAsia="Noto Serif CJK SC"/>
          <w:color w:val="26323B"/>
          <w:sz w:val="20"/>
        </w:rPr>
        <w:t>7. 四个研究目标（Aims）</w:t>
      </w:r>
    </w:p>
    <w:p>
      <w:pPr>
        <w:pStyle w:val="Bullet1"/>
        <w:spacing w:after="50"/>
        <w:ind w:left="425" w:hanging="215"/>
        <w:jc w:val="both"/>
        <w:keepLines/>
      </w:pPr>
      <w:r>
        <w:rPr>
          <w:rFonts w:ascii="Noto Serif CJK SC" w:hAnsi="Noto Serif CJK SC" w:eastAsia="Noto Serif CJK SC"/>
          <w:color w:val="26323B"/>
          <w:sz w:val="20"/>
        </w:rPr>
        <w:t>8. 上层技术路线与证据门</w:t>
      </w:r>
    </w:p>
    <w:p>
      <w:pPr>
        <w:pStyle w:val="Bullet1"/>
        <w:spacing w:after="50"/>
        <w:ind w:left="425" w:hanging="215"/>
        <w:jc w:val="both"/>
        <w:keepLines/>
      </w:pPr>
      <w:r>
        <w:rPr>
          <w:rFonts w:ascii="Noto Serif CJK SC" w:hAnsi="Noto Serif CJK SC" w:eastAsia="Noto Serif CJK SC"/>
          <w:color w:val="26323B"/>
          <w:sz w:val="20"/>
        </w:rPr>
        <w:t>9. 条件性升级验证体系</w:t>
      </w:r>
    </w:p>
    <w:p>
      <w:pPr>
        <w:pStyle w:val="Bullet1"/>
        <w:spacing w:after="50"/>
        <w:ind w:left="425" w:hanging="215"/>
        <w:jc w:val="both"/>
        <w:keepLines/>
      </w:pPr>
      <w:r>
        <w:rPr>
          <w:rFonts w:ascii="Noto Serif CJK SC" w:hAnsi="Noto Serif CJK SC" w:eastAsia="Noto Serif CJK SC"/>
          <w:color w:val="26323B"/>
          <w:sz w:val="20"/>
        </w:rPr>
        <w:t>10. 推断原则与模型边界</w:t>
      </w:r>
    </w:p>
    <w:p>
      <w:pPr>
        <w:pStyle w:val="Bullet1"/>
        <w:spacing w:after="50"/>
        <w:ind w:left="425" w:hanging="215"/>
        <w:jc w:val="both"/>
        <w:keepLines/>
      </w:pPr>
      <w:r>
        <w:rPr>
          <w:rFonts w:ascii="Noto Serif CJK SC" w:hAnsi="Noto Serif CJK SC" w:eastAsia="Noto Serif CJK SC"/>
          <w:color w:val="26323B"/>
          <w:sz w:val="20"/>
        </w:rPr>
        <w:t>11. 创新性与预期学术贡献</w:t>
      </w:r>
    </w:p>
    <w:p>
      <w:pPr>
        <w:pStyle w:val="Bullet1"/>
        <w:spacing w:after="50"/>
        <w:ind w:left="425" w:hanging="215"/>
        <w:jc w:val="both"/>
        <w:keepLines/>
      </w:pPr>
      <w:r>
        <w:rPr>
          <w:rFonts w:ascii="Noto Serif CJK SC" w:hAnsi="Noto Serif CJK SC" w:eastAsia="Noto Serif CJK SC"/>
          <w:color w:val="26323B"/>
          <w:sz w:val="20"/>
        </w:rPr>
        <w:t>12. Nature Microbiology 级证据标准与论文架构</w:t>
      </w:r>
    </w:p>
    <w:p>
      <w:pPr>
        <w:pStyle w:val="Bullet1"/>
        <w:spacing w:after="50"/>
        <w:ind w:left="425" w:hanging="215"/>
        <w:jc w:val="both"/>
        <w:keepLines/>
      </w:pPr>
      <w:r>
        <w:rPr>
          <w:rFonts w:ascii="Noto Serif CJK SC" w:hAnsi="Noto Serif CJK SC" w:eastAsia="Noto Serif CJK SC"/>
          <w:color w:val="26323B"/>
          <w:sz w:val="20"/>
        </w:rPr>
        <w:t>13. 风险、转向与项目边界控制</w:t>
      </w:r>
    </w:p>
    <w:p>
      <w:pPr>
        <w:pStyle w:val="Bullet1"/>
        <w:spacing w:after="50"/>
        <w:ind w:left="425" w:hanging="215"/>
        <w:jc w:val="both"/>
        <w:keepLines/>
      </w:pPr>
      <w:r>
        <w:rPr>
          <w:rFonts w:ascii="Noto Serif CJK SC" w:hAnsi="Noto Serif CJK SC" w:eastAsia="Noto Serif CJK SC"/>
          <w:color w:val="26323B"/>
          <w:sz w:val="20"/>
        </w:rPr>
        <w:t>14. 阶段性产出与协作结构</w:t>
      </w:r>
    </w:p>
    <w:p>
      <w:pPr>
        <w:pStyle w:val="Bullet1"/>
        <w:spacing w:after="50"/>
        <w:ind w:left="425" w:hanging="215"/>
        <w:jc w:val="both"/>
        <w:keepLines/>
      </w:pPr>
      <w:r>
        <w:rPr>
          <w:rFonts w:ascii="Noto Serif CJK SC" w:hAnsi="Noto Serif CJK SC" w:eastAsia="Noto Serif CJK SC"/>
          <w:color w:val="26323B"/>
          <w:sz w:val="20"/>
        </w:rPr>
        <w:t>15. 参考文献</w:t>
      </w:r>
    </w:p>
    <w:p>
      <w:pPr>
        <w:keepLines/>
      </w:pPr>
      <w:r>
        <w:br w:type="page"/>
      </w:r>
    </w:p>
    <w:p>
      <w:pPr>
        <w:pStyle w:val="Heading1"/>
        <w:spacing w:before="240" w:after="140"/>
        <w:pBdr>
          <w:bottom w:val="single" w:sz="12" w:space="4" w:color="A43B3B"/>
        </w:pBdr>
        <w:keepNext/>
        <w:keepLines/>
      </w:pPr>
      <w:r>
        <w:rPr>
          <w:rFonts w:ascii="Noto Sans CJK SC" w:hAnsi="Noto Sans CJK SC" w:eastAsia="Noto Sans CJK SC"/>
          <w:b/>
          <w:color w:val="17324D"/>
          <w:sz w:val="33"/>
        </w:rPr>
        <w:t>1. 项目定位与期刊级主张</w:t>
      </w:r>
    </w:p>
    <w:p>
      <w:pPr>
        <w:pStyle w:val="Heading2"/>
        <w:spacing w:before="180" w:after="100"/>
        <w:keepNext/>
        <w:keepLines/>
      </w:pPr>
      <w:r>
        <w:rPr>
          <w:rFonts w:ascii="Noto Sans CJK SC" w:hAnsi="Noto Sans CJK SC" w:eastAsia="Noto Sans CJK SC"/>
          <w:b/>
          <w:color w:val="2B6F77"/>
          <w:sz w:val="26"/>
        </w:rPr>
        <w:t>1.1 项目不是“密码子偏好图谱”，而是组成演化的功能解释</w:t>
      </w:r>
    </w:p>
    <w:p>
      <w:pPr>
        <w:pStyle w:val="Body"/>
        <w:spacing w:after="100"/>
        <w:ind w:firstLine="420"/>
        <w:jc w:val="both"/>
        <w:keepLines/>
      </w:pPr>
      <w:r>
        <w:rPr>
          <w:rFonts w:ascii="Noto Serif CJK SC" w:hAnsi="Noto Serif CJK SC" w:eastAsia="Noto Serif CJK SC"/>
          <w:i w:val="0"/>
          <w:color w:val="26323B"/>
          <w:sz w:val="21"/>
        </w:rPr>
        <w:t>本项目的起点是碱基组成偏倚，尤其是不同疟原虫谱系之间显著不同的 AT/GC 结构；密码子、氨基酸和蛋白层不是对起点的替代，而是用来追踪该偏倚如何跨层级传导。项目的基本逻辑是：先建立由突变、局部序列背景和系统发育历史决定的“期望”，再询问真实基因组在哪些位置稳定偏离这一期望。只有这些偏离同时得到阶段表达、翻译供需、蛋白输出或自然/药物选择证据支持时，才讨论适应性。</w:t>
      </w:r>
    </w:p>
    <w:tbl>
      <w:tblPr>
        <w:tblW w:type="auto" w:w="0"/>
        <w:jc w:val="center"/>
        <w:tblLayout w:type="fixed"/>
        <w:tblLook w:firstColumn="1" w:firstRow="1" w:lastColumn="0" w:lastRow="0" w:noHBand="0" w:noVBand="1" w:val="04A0"/>
      </w:tblPr>
      <w:tblGrid>
        <w:gridCol w:w="181"/>
        <w:gridCol w:w="8787"/>
      </w:tblGrid>
      <w:tr>
        <w:tc>
          <w:tcPr>
            <w:tcW w:type="dxa" w:w="4776"/>
            <w:shd w:fill="A43B3B"/>
            <w:tcMar>
              <w:top w:w="0" w:type="dxa"/>
              <w:start w:w="0" w:type="dxa"/>
              <w:bottom w:w="0" w:type="dxa"/>
              <w:end w:w="0" w:type="dxa"/>
            </w:tcMar>
            <w:tcBorders>
              <w:top w:val="nil"/>
              <w:left w:val="nil"/>
              <w:bottom w:val="nil"/>
              <w:right w:val="nil"/>
            </w:tcBorders>
          </w:tcPr>
          <w:p/>
        </w:tc>
        <w:tc>
          <w:tcPr>
            <w:tcW w:type="dxa" w:w="4776"/>
            <w:shd w:fill="F7ECEC"/>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A43B3B"/>
                <w:sz w:val="21"/>
              </w:rPr>
              <w:t>建议的主标题式结论</w:t>
            </w:r>
          </w:p>
          <w:p>
            <w:pPr>
              <w:spacing w:after="0"/>
              <w:jc w:val="left"/>
            </w:pPr>
            <w:r>
              <w:rPr>
                <w:rFonts w:ascii="Noto Serif CJK SC" w:hAnsi="Noto Serif CJK SC" w:eastAsia="Noto Serif CJK SC"/>
                <w:color w:val="26323B"/>
                <w:sz w:val="19"/>
              </w:rPr>
              <w:t>Lineage-specific genome composition shifts have been co-opted to encode distinct translational stress-response programmes across Plasmodium.</w:t>
              <w:br/>
              <w:t>（不同谱系的基因组组成转换被选择利用，编码了不同的翻译应激响应程序。）</w:t>
            </w:r>
          </w:p>
        </w:tc>
      </w:tr>
    </w:tbl>
    <w:p>
      <w:pPr>
        <w:spacing w:after="0"/>
        <w:keepLines/>
      </w:pPr>
    </w:p>
    <w:p>
      <w:pPr>
        <w:pStyle w:val="Body"/>
        <w:spacing w:after="100"/>
        <w:ind w:firstLine="420"/>
        <w:jc w:val="both"/>
        <w:keepLines/>
      </w:pPr>
      <w:r>
        <w:rPr>
          <w:rFonts w:ascii="Noto Serif CJK SC" w:hAnsi="Noto Serif CJK SC" w:eastAsia="Noto Serif CJK SC"/>
          <w:i w:val="0"/>
          <w:color w:val="26323B"/>
          <w:sz w:val="21"/>
        </w:rPr>
        <w:t>这是一条目标主张，而不是预设结论。它必须允许被否证：如果严格控制碱基背景、系统发育、低复杂度和蛋白功能后，所谓“适应性氨基酸偏好”基本消失，那么项目应诚实转向“组成偏倚的中性传导与基因组可塑性”，而不是继续堆叠模型来挽救原假设。</w:t>
      </w:r>
    </w:p>
    <w:p>
      <w:pPr>
        <w:pStyle w:val="Heading2"/>
        <w:spacing w:before="180" w:after="100"/>
        <w:keepNext/>
        <w:keepLines/>
      </w:pPr>
      <w:r>
        <w:rPr>
          <w:rFonts w:ascii="Noto Sans CJK SC" w:hAnsi="Noto Sans CJK SC" w:eastAsia="Noto Sans CJK SC"/>
          <w:b/>
          <w:color w:val="2B6F77"/>
          <w:sz w:val="26"/>
        </w:rPr>
        <w:t>1.2 为什么目标设为 Nature Microbiology</w:t>
      </w:r>
    </w:p>
    <w:p>
      <w:pPr>
        <w:pStyle w:val="Body"/>
        <w:spacing w:after="100"/>
        <w:ind w:firstLine="420"/>
        <w:jc w:val="both"/>
        <w:keepLines/>
      </w:pPr>
      <w:r>
        <w:rPr>
          <w:rFonts w:ascii="Noto Serif CJK SC" w:hAnsi="Noto Serif CJK SC" w:eastAsia="Noto Serif CJK SC"/>
          <w:i w:val="0"/>
          <w:color w:val="26323B"/>
          <w:sz w:val="21"/>
        </w:rPr>
        <w:t>Nature Microbiology 近年的疟原虫论文体现出稳定的编辑偏好：研究通常识别一个寄生虫特异或高度分化的生物学机制，使用正交组学建立系统性证据，再以遗传、生化、结构或体内扰动确认其功能。例如，tRNA 修饰重编程被连接到青蒿素存活[15]；Micro-C 揭示 MORC/ApiAP2 介导的远距离基因调控[23]；完整细胞中的 MAP-X 解析血期蛋白复合物动态[24]；非典型 Arp2/3 复合物被证明参与雄配子 DNA 分离并决定传播[26]。共同点不是模型复杂，而是“新原则 + 寄生虫特异性 + 功能闭环”。</w:t>
      </w:r>
    </w:p>
    <w:p>
      <w:pPr>
        <w:pStyle w:val="Body"/>
        <w:spacing w:after="100"/>
        <w:ind w:firstLine="420"/>
        <w:jc w:val="both"/>
        <w:keepLines/>
      </w:pPr>
      <w:r>
        <w:rPr>
          <w:rFonts w:ascii="Noto Serif CJK SC" w:hAnsi="Noto Serif CJK SC" w:eastAsia="Noto Serif CJK SC"/>
          <w:i w:val="0"/>
          <w:color w:val="26323B"/>
          <w:sz w:val="21"/>
        </w:rPr>
        <w:t>因此，本项目不能把投稿价值建立在物种数、图数量或算法新颖性上。Nature Microbiology 版本必须证明一个能推广到多个谱系、且改变我们对疟原虫适应方式理解的原则；最自然的候选原则是：长期的基因组组成演化不仅改变序列统计，还改变寄生虫可调用的翻译调控与应激适应空间。</w:t>
      </w:r>
    </w:p>
    <w:p>
      <w:pPr>
        <w:pStyle w:val="Heading2"/>
        <w:spacing w:before="180" w:after="100"/>
        <w:keepNext/>
        <w:keepLines/>
      </w:pPr>
      <w:r>
        <w:rPr>
          <w:rFonts w:ascii="Noto Sans CJK SC" w:hAnsi="Noto Sans CJK SC" w:eastAsia="Noto Sans CJK SC"/>
          <w:b/>
          <w:color w:val="2B6F77"/>
          <w:sz w:val="26"/>
        </w:rPr>
        <w:t>1.3 核心范围边界</w:t>
      </w:r>
    </w:p>
    <w:p>
      <w:pPr>
        <w:pStyle w:val="Bullet1"/>
        <w:spacing w:after="80"/>
        <w:ind w:left="425" w:hanging="215"/>
        <w:jc w:val="both"/>
        <w:keepLines/>
      </w:pPr>
      <w:r>
        <w:rPr>
          <w:rFonts w:ascii="Noto Serif CJK SC" w:hAnsi="Noto Serif CJK SC" w:eastAsia="Noto Serif CJK SC"/>
          <w:color w:val="26323B"/>
          <w:sz w:val="20"/>
        </w:rPr>
        <w:t>核心工作不要求采集宿主组学；宿主只作为生态与营养背景进入，除非某个明确假设在后期要求进一步验证。</w:t>
      </w:r>
    </w:p>
    <w:p>
      <w:pPr>
        <w:pStyle w:val="Bullet1"/>
        <w:spacing w:after="80"/>
        <w:ind w:left="425" w:hanging="215"/>
        <w:jc w:val="both"/>
        <w:keepLines/>
      </w:pPr>
      <w:r>
        <w:rPr>
          <w:rFonts w:ascii="Noto Serif CJK SC" w:hAnsi="Noto Serif CJK SC" w:eastAsia="Noto Serif CJK SC"/>
          <w:color w:val="26323B"/>
          <w:sz w:val="20"/>
        </w:rPr>
        <w:t>核心工作不要求所有物种拥有阶段组学；全物种做基因组层，少数数据丰富物种做阶段和翻译层。</w:t>
      </w:r>
    </w:p>
    <w:p>
      <w:pPr>
        <w:pStyle w:val="Bullet1"/>
        <w:spacing w:after="80"/>
        <w:ind w:left="425" w:hanging="215"/>
        <w:jc w:val="both"/>
        <w:keepLines/>
      </w:pPr>
      <w:r>
        <w:rPr>
          <w:rFonts w:ascii="Noto Serif CJK SC" w:hAnsi="Noto Serif CJK SC" w:eastAsia="Noto Serif CJK SC"/>
          <w:color w:val="26323B"/>
          <w:sz w:val="20"/>
        </w:rPr>
        <w:t>核心工作不以随机森林、蛋白语言模型或大模型为主证据；这些工具只用于候选排序、异常检测或独立支持。</w:t>
      </w:r>
    </w:p>
    <w:p>
      <w:pPr>
        <w:pStyle w:val="Bullet1"/>
        <w:spacing w:after="80"/>
        <w:ind w:left="425" w:hanging="215"/>
        <w:jc w:val="both"/>
        <w:keepLines/>
      </w:pPr>
      <w:r>
        <w:rPr>
          <w:rFonts w:ascii="Noto Serif CJK SC" w:hAnsi="Noto Serif CJK SC" w:eastAsia="Noto Serif CJK SC"/>
          <w:color w:val="26323B"/>
          <w:sz w:val="20"/>
        </w:rPr>
        <w:t>核心工作不从参考基因组直接宣称“突变偏倚”；没有 de novo 或低频变异证据的物种，只讨论组成和替换过程。</w:t>
      </w:r>
    </w:p>
    <w:p>
      <w:pPr>
        <w:pStyle w:val="Bullet1"/>
        <w:spacing w:after="80"/>
        <w:ind w:left="425" w:hanging="215"/>
        <w:jc w:val="both"/>
        <w:keepLines/>
      </w:pPr>
      <w:r>
        <w:rPr>
          <w:rFonts w:ascii="Noto Serif CJK SC" w:hAnsi="Noto Serif CJK SC" w:eastAsia="Noto Serif CJK SC"/>
          <w:color w:val="26323B"/>
          <w:sz w:val="20"/>
        </w:rPr>
        <w:t>核心工作不以“差异蛋白 + 对接”作为转化终点；机制优先于靶点列表。</w:t>
      </w:r>
    </w:p>
    <w:p>
      <w:pPr>
        <w:pStyle w:val="Heading1"/>
        <w:spacing w:before="240" w:after="140"/>
        <w:pBdr>
          <w:bottom w:val="single" w:sz="12" w:space="4" w:color="A43B3B"/>
        </w:pBdr>
        <w:keepNext/>
        <w:keepLines/>
      </w:pPr>
      <w:r>
        <w:rPr>
          <w:rFonts w:ascii="Noto Sans CJK SC" w:hAnsi="Noto Sans CJK SC" w:eastAsia="Noto Sans CJK SC"/>
          <w:b/>
          <w:color w:val="17324D"/>
          <w:sz w:val="33"/>
        </w:rPr>
        <w:t>2. 学界当前关切与高水平研究格局</w:t>
      </w:r>
    </w:p>
    <w:p>
      <w:pPr>
        <w:pStyle w:val="Heading2"/>
        <w:spacing w:before="180" w:after="100"/>
        <w:keepNext/>
        <w:keepLines/>
      </w:pPr>
      <w:r>
        <w:rPr>
          <w:rFonts w:ascii="Noto Sans CJK SC" w:hAnsi="Noto Sans CJK SC" w:eastAsia="Noto Sans CJK SC"/>
          <w:b/>
          <w:color w:val="2B6F77"/>
          <w:sz w:val="26"/>
        </w:rPr>
        <w:t>2.1 当前公共卫生压力：耐药与工具失效是最强现实牵引</w:t>
      </w:r>
    </w:p>
    <w:p>
      <w:pPr>
        <w:pStyle w:val="Body"/>
        <w:spacing w:after="100"/>
        <w:ind w:firstLine="420"/>
        <w:jc w:val="both"/>
        <w:keepLines/>
      </w:pPr>
      <w:r>
        <w:rPr>
          <w:rFonts w:ascii="Noto Serif CJK SC" w:hAnsi="Noto Serif CJK SC" w:eastAsia="Noto Serif CJK SC"/>
          <w:i w:val="0"/>
          <w:color w:val="26323B"/>
          <w:sz w:val="21"/>
        </w:rPr>
        <w:t>WHO 2025 年报告显示全球疟疾病例和死亡仍处于高位，并特别强调非洲青蒿素部分耐药扩展及伴侣药效下降风险[1]。这一压力使“寄生虫如何进入低增殖、应激耐受或补偿适应状态”成为比单一耐药突变更深层的问题。K13 标志物的发现[35]、群体转录组揭示的耐药程序[33]、K13 定义的血红蛋白内吞通路[32]以及耐药株的代谢重编程[34]共同说明，耐药是突变、代谢、蛋白稳态和细胞状态耦合的结果。</w:t>
      </w:r>
    </w:p>
    <w:p>
      <w:pPr>
        <w:pStyle w:val="Body"/>
        <w:spacing w:after="100"/>
        <w:ind w:firstLine="420"/>
        <w:jc w:val="both"/>
        <w:keepLines/>
      </w:pPr>
      <w:r>
        <w:rPr>
          <w:rFonts w:ascii="Noto Serif CJK SC" w:hAnsi="Noto Serif CJK SC" w:eastAsia="Noto Serif CJK SC"/>
          <w:i w:val="0"/>
          <w:color w:val="26323B"/>
          <w:sz w:val="21"/>
        </w:rPr>
        <w:t>更广义的控制工具同样受到进化逃逸影响。Nature Microbiology 已显示 pfhrp2/3 缺失可以造成快速诊断逃逸[44]；埃塞俄比亚研究同时观察到青蒿素和诊断相关风险[45]。这类工作把“基因组可塑性如何缩短干预工具寿命”置于领域中心。</w:t>
      </w:r>
    </w:p>
    <w:p>
      <w:pPr>
        <w:pStyle w:val="Heading2"/>
        <w:spacing w:before="180" w:after="100"/>
        <w:keepNext/>
        <w:keepLines/>
      </w:pPr>
      <w:r>
        <w:rPr>
          <w:rFonts w:ascii="Noto Sans CJK SC" w:hAnsi="Noto Sans CJK SC" w:eastAsia="Noto Sans CJK SC"/>
          <w:b/>
          <w:color w:val="2B6F77"/>
          <w:sz w:val="26"/>
        </w:rPr>
        <w:t>2.2 高水平期刊正在解决什么问题</w:t>
      </w:r>
    </w:p>
    <w:tbl>
      <w:tblPr>
        <w:tblW w:type="auto" w:w="0"/>
        <w:jc w:val="center"/>
        <w:tblLayout w:type="fixed"/>
        <w:tblLook w:firstColumn="1" w:firstRow="1" w:lastColumn="0" w:lastRow="0" w:noHBand="0" w:noVBand="1" w:val="04A0"/>
      </w:tblPr>
      <w:tblGrid>
        <w:gridCol w:w="2388"/>
        <w:gridCol w:w="2388"/>
        <w:gridCol w:w="2388"/>
        <w:gridCol w:w="2388"/>
      </w:tblGrid>
      <w:tr>
        <w:trPr>
          <w:tblHeader w:val="true"/>
          <w:cantSplit/>
        </w:trPr>
        <w:tc>
          <w:tcPr>
            <w:tcW w:type="dxa" w:w="136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期刊层级</w:t>
            </w:r>
          </w:p>
        </w:tc>
        <w:tc>
          <w:tcPr>
            <w:tcW w:type="dxa" w:w="1757"/>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近期核心议题</w:t>
            </w:r>
          </w:p>
        </w:tc>
        <w:tc>
          <w:tcPr>
            <w:tcW w:type="dxa" w:w="3685"/>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代表性工作</w:t>
            </w:r>
          </w:p>
        </w:tc>
        <w:tc>
          <w:tcPr>
            <w:tcW w:type="dxa" w:w="232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对本项目的启示</w:t>
            </w:r>
          </w:p>
        </w:tc>
      </w:tr>
      <w:tr>
        <w:trPr>
          <w:cantSplit/>
        </w:trPr>
        <w:tc>
          <w:tcPr>
            <w:tcW w:type="dxa" w:w="136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Nature</w:t>
            </w:r>
          </w:p>
        </w:tc>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不可及生命周期、体内传播与领域级资源</w:t>
            </w:r>
          </w:p>
        </w:tc>
        <w:tc>
          <w:tcPr>
            <w:tcW w:type="dxa" w:w="368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古代疟原虫基因组重建全球传播史[6]；蚊体内药物筛选直接生成传播阻断候选[36]；寄生虫—蚊双单细胞图谱解析中肠转换并在多种组合及野外来源寄生虫中验证[37]。</w:t>
            </w:r>
          </w:p>
        </w:tc>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结论必须跨越局部现象，通常伴随不可替代数据、体内功能或直接公共卫生意义。</w:t>
            </w:r>
          </w:p>
        </w:tc>
      </w:tr>
      <w:tr>
        <w:trPr>
          <w:cantSplit/>
        </w:trPr>
        <w:tc>
          <w:tcPr>
            <w:tcW w:type="dxa" w:w="136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Science</w:t>
            </w:r>
          </w:p>
        </w:tc>
        <w:tc>
          <w:tcPr>
            <w:tcW w:type="dxa" w:w="17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全基因组功能、系统进化与阶段图谱</w:t>
            </w:r>
          </w:p>
        </w:tc>
        <w:tc>
          <w:tcPr>
            <w:tcW w:type="dxa" w:w="368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724 个药物压力进化基因组解析耐药决定因素[27]；P. knowlesi 必需基因组[28]；跨物种饱和突变显示必需基因和代谢网络可被宿主生态重编程[29]；性发育单细胞图谱[20]。</w:t>
            </w:r>
          </w:p>
        </w:tc>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规模必须服务于机制或资源级能力，而不是单纯增加样本量。</w:t>
            </w:r>
          </w:p>
        </w:tc>
      </w:tr>
      <w:tr>
        <w:trPr>
          <w:cantSplit/>
        </w:trPr>
        <w:tc>
          <w:tcPr>
            <w:tcW w:type="dxa" w:w="136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Cell</w:t>
            </w:r>
          </w:p>
        </w:tc>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抗原景观、抗体机制与宿主界面</w:t>
            </w:r>
          </w:p>
        </w:tc>
        <w:tc>
          <w:tcPr>
            <w:tcW w:type="dxa" w:w="368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RH5 抗原景观和公共抗体克隆型[40]；自然感染诱导的罕见强中和抗体[41]。</w:t>
            </w:r>
          </w:p>
        </w:tc>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强调分子机制、结构/免疫功能和明确的人体或宿主意义。</w:t>
            </w:r>
          </w:p>
        </w:tc>
      </w:tr>
      <w:tr>
        <w:trPr>
          <w:cantSplit/>
        </w:trPr>
        <w:tc>
          <w:tcPr>
            <w:tcW w:type="dxa" w:w="136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Nature Microbiology</w:t>
            </w:r>
          </w:p>
        </w:tc>
        <w:tc>
          <w:tcPr>
            <w:tcW w:type="dxa" w:w="17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寄生虫特异调控与功能闭环</w:t>
            </w:r>
          </w:p>
        </w:tc>
        <w:tc>
          <w:tcPr>
            <w:tcW w:type="dxa" w:w="368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tRNA 修饰—密码子偏倚—青蒿素存活[15]；三维基因组调控[23]；动态复合物组[24]；非典型 Arp2/3 与传播[26]。</w:t>
            </w:r>
          </w:p>
        </w:tc>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本项目最应对齐的证据风格：新机制、跨层数据、明确扰动或强自然实验。</w:t>
            </w:r>
          </w:p>
        </w:tc>
      </w:tr>
      <w:tr>
        <w:trPr>
          <w:cantSplit/>
        </w:trPr>
        <w:tc>
          <w:tcPr>
            <w:tcW w:type="dxa" w:w="136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Nature Communications</w:t>
            </w:r>
          </w:p>
        </w:tc>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高质量资源 + 聚焦功能桥接</w:t>
            </w:r>
          </w:p>
        </w:tc>
        <w:tc>
          <w:tcPr>
            <w:tcW w:type="dxa" w:w="368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P. malariae 251 个基因组并以 P. knowlesi ortholog replacement 验证 DHFR 药敏[11]；卵囊阶段 CRISPR homing 筛选[38]；PfATP4 原位结构与调节因子[39]；17,565 个分离株的全球适应图谱[12]。</w:t>
            </w:r>
          </w:p>
        </w:tc>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比较基因组可成为主体，但通常需要功能验证或独特资源价值。</w:t>
            </w:r>
          </w:p>
        </w:tc>
      </w:tr>
    </w:tbl>
    <w:p>
      <w:pPr>
        <w:spacing w:after="0"/>
        <w:keepLines/>
      </w:pPr>
    </w:p>
    <w:p>
      <w:pPr>
        <w:pStyle w:val="Heading2"/>
        <w:spacing w:before="180" w:after="100"/>
        <w:keepNext/>
        <w:keepLines/>
      </w:pPr>
      <w:r>
        <w:rPr>
          <w:rFonts w:ascii="Noto Sans CJK SC" w:hAnsi="Noto Sans CJK SC" w:eastAsia="Noto Sans CJK SC"/>
          <w:b/>
          <w:color w:val="2B6F77"/>
          <w:sz w:val="26"/>
        </w:rPr>
        <w:t>2.3 与本项目直接相关的五类学界关切</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757"/>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关切</w:t>
            </w:r>
          </w:p>
        </w:tc>
        <w:tc>
          <w:tcPr>
            <w:tcW w:type="dxa" w:w="4139"/>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领域问题</w:t>
            </w:r>
          </w:p>
        </w:tc>
        <w:tc>
          <w:tcPr>
            <w:tcW w:type="dxa" w:w="328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本项目的切入点</w:t>
            </w:r>
          </w:p>
        </w:tc>
      </w:tr>
      <w:tr>
        <w:trPr>
          <w:cantSplit/>
        </w:trPr>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耐药前适应与持留状态</w:t>
            </w:r>
          </w:p>
        </w:tc>
        <w:tc>
          <w:tcPr>
            <w:tcW w:type="dxa" w:w="413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为什么只有少数寄生虫在短时药物压力后存活、休眠并恢复；翻译、代谢和蛋白稳态如何参与。</w:t>
            </w:r>
          </w:p>
        </w:tc>
        <w:tc>
          <w:tcPr>
            <w:tcW w:type="dxa" w:w="328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本项目把长期序列组成与可调用的翻译应激程序相连。</w:t>
            </w:r>
          </w:p>
        </w:tc>
      </w:tr>
      <w:tr>
        <w:trPr>
          <w:cantSplit/>
        </w:trPr>
        <w:tc>
          <w:tcPr>
            <w:tcW w:type="dxa" w:w="17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跨物种功能可迁移性</w:t>
            </w:r>
          </w:p>
        </w:tc>
        <w:tc>
          <w:tcPr>
            <w:tcW w:type="dxa" w:w="4139"/>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P. falciparum 的机制能否推广到 P. vivax、P. knowlesi、P. malariae、P. ovale 及动物疟原虫。</w:t>
            </w:r>
          </w:p>
        </w:tc>
        <w:tc>
          <w:tcPr>
            <w:tcW w:type="dxa" w:w="328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利用自然系统发育对照，区分保守原则与物种特异方案。</w:t>
            </w:r>
          </w:p>
        </w:tc>
      </w:tr>
      <w:tr>
        <w:trPr>
          <w:cantSplit/>
        </w:trPr>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生命周期盲区</w:t>
            </w:r>
          </w:p>
        </w:tc>
        <w:tc>
          <w:tcPr>
            <w:tcW w:type="dxa" w:w="413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肝期、性发育和蚊期仍存在大量未知功能基因与调控节点[18–22,36–38]。</w:t>
            </w:r>
          </w:p>
        </w:tc>
        <w:tc>
          <w:tcPr>
            <w:tcW w:type="dxa" w:w="328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阶段数据只作为深挖层；可根据残差富集决定是否延伸到传播或肝期。</w:t>
            </w:r>
          </w:p>
        </w:tc>
      </w:tr>
      <w:tr>
        <w:trPr>
          <w:cantSplit/>
        </w:trPr>
        <w:tc>
          <w:tcPr>
            <w:tcW w:type="dxa" w:w="17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基因组到蛋白功能的断裂</w:t>
            </w:r>
          </w:p>
        </w:tc>
        <w:tc>
          <w:tcPr>
            <w:tcW w:type="dxa" w:w="4139"/>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大型基因组数据快速增长，但序列变异如何改变蛋白复合物、定位和细胞功能仍不清楚[23–25]。</w:t>
            </w:r>
          </w:p>
        </w:tc>
        <w:tc>
          <w:tcPr>
            <w:tcW w:type="dxa" w:w="328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将组成残差投射到空间蛋白组、复合物组和结构层，避免停在 GO 富集。</w:t>
            </w:r>
          </w:p>
        </w:tc>
      </w:tr>
      <w:tr>
        <w:trPr>
          <w:cantSplit/>
        </w:trPr>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诊断/免疫/药物逃逸</w:t>
            </w:r>
          </w:p>
        </w:tc>
        <w:tc>
          <w:tcPr>
            <w:tcW w:type="dxa" w:w="413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重复、缺失、CNV 与抗原/耐药基因变异持续制造干预逃逸[4,5,44,45]。</w:t>
            </w:r>
          </w:p>
        </w:tc>
        <w:tc>
          <w:tcPr>
            <w:tcW w:type="dxa" w:w="328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作为预设第二主线，在翻译假设失败时转向微结构可塑性。</w:t>
            </w:r>
          </w:p>
        </w:tc>
      </w:tr>
    </w:tbl>
    <w:p>
      <w:pPr>
        <w:spacing w:after="0"/>
        <w:keepLines/>
      </w:pPr>
    </w:p>
    <w:p>
      <w:pPr>
        <w:pStyle w:val="Heading2"/>
        <w:spacing w:before="180" w:after="100"/>
        <w:keepNext/>
        <w:keepLines/>
      </w:pPr>
      <w:r>
        <w:rPr>
          <w:rFonts w:ascii="Noto Sans CJK SC" w:hAnsi="Noto Sans CJK SC" w:eastAsia="Noto Sans CJK SC"/>
          <w:b/>
          <w:color w:val="2B6F77"/>
          <w:sz w:val="26"/>
        </w:rPr>
        <w:t>2.4 为什么这个方向不是“无人关注的小众问题”</w:t>
      </w:r>
    </w:p>
    <w:p>
      <w:pPr>
        <w:pStyle w:val="Body"/>
        <w:spacing w:after="100"/>
        <w:ind w:firstLine="420"/>
        <w:jc w:val="both"/>
        <w:keepLines/>
      </w:pPr>
      <w:r>
        <w:rPr>
          <w:rFonts w:ascii="Noto Serif CJK SC" w:hAnsi="Noto Serif CJK SC" w:eastAsia="Noto Serif CJK SC"/>
          <w:i w:val="0"/>
          <w:color w:val="26323B"/>
          <w:sz w:val="21"/>
        </w:rPr>
        <w:t>密码子、tRNA、氨基酸营养和翻译应激已经分别被连接到疟原虫蛋白表达[14]、青蒿素耐药[15]、孢子体翻译抑制[17]、氨基酸限制下的增殖调节[13]以及多类 aaRS 药物靶点[48–50]。真正稀缺的不是证明“翻译重要”，而是解释不同谱系为何形成不同的编码架构，以及这种历史性架构是否预设了今天的应激反应和药物脆弱性。本项目的价值在于把分散的单物种机制提升为跨物种、可证伪的进化原则。</w:t>
      </w:r>
    </w:p>
    <w:p>
      <w:pPr>
        <w:pStyle w:val="Heading1"/>
        <w:spacing w:before="240" w:after="140"/>
        <w:pBdr>
          <w:bottom w:val="single" w:sz="12" w:space="4" w:color="A43B3B"/>
        </w:pBdr>
        <w:keepNext/>
        <w:keepLines/>
      </w:pPr>
      <w:r>
        <w:rPr>
          <w:rFonts w:ascii="Noto Sans CJK SC" w:hAnsi="Noto Sans CJK SC" w:eastAsia="Noto Sans CJK SC"/>
          <w:b/>
          <w:color w:val="17324D"/>
          <w:sz w:val="33"/>
        </w:rPr>
        <w:t>3. 概念框架与关键定义</w:t>
      </w:r>
    </w:p>
    <w:p>
      <w:pPr>
        <w:pStyle w:val="Heading2"/>
        <w:spacing w:before="180" w:after="100"/>
        <w:keepNext/>
        <w:keepLines/>
      </w:pPr>
      <w:r>
        <w:rPr>
          <w:rFonts w:ascii="Noto Sans CJK SC" w:hAnsi="Noto Sans CJK SC" w:eastAsia="Noto Sans CJK SC"/>
          <w:b/>
          <w:color w:val="2B6F77"/>
          <w:sz w:val="26"/>
        </w:rPr>
        <w:t>3.1 必须严格区分的概念</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70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概念</w:t>
            </w:r>
          </w:p>
        </w:tc>
        <w:tc>
          <w:tcPr>
            <w:tcW w:type="dxa" w:w="345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定义</w:t>
            </w:r>
          </w:p>
        </w:tc>
        <w:tc>
          <w:tcPr>
            <w:tcW w:type="dxa" w:w="3969"/>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可推断边界</w:t>
            </w:r>
          </w:p>
        </w:tc>
      </w:tr>
      <w:tr>
        <w:trPr>
          <w:cantSplit/>
        </w:trPr>
        <w:tc>
          <w:tcPr>
            <w:tcW w:type="dxa" w:w="170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碱基组成偏倚</w:t>
            </w:r>
          </w:p>
        </w:tc>
        <w:tc>
          <w:tcPr>
            <w:tcW w:type="dxa" w:w="345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某个基因组、区室或位点的 A/T/G/C 比例。</w:t>
            </w:r>
          </w:p>
        </w:tc>
        <w:tc>
          <w:tcPr>
            <w:tcW w:type="dxa" w:w="396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高质量参考序列即可描述；不能据此直接断言突变机制。</w:t>
            </w:r>
          </w:p>
        </w:tc>
      </w:tr>
      <w:tr>
        <w:trPr>
          <w:cantSplit/>
        </w:trPr>
        <w:tc>
          <w:tcPr>
            <w:tcW w:type="dxa" w:w="170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突变偏倚</w:t>
            </w:r>
          </w:p>
        </w:tc>
        <w:tc>
          <w:tcPr>
            <w:tcW w:type="dxa" w:w="345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不同新生突变类型的发生概率不对称。</w:t>
            </w:r>
          </w:p>
        </w:tc>
        <w:tc>
          <w:tcPr>
            <w:tcW w:type="dxa" w:w="3969"/>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需要 mutation accumulation、亲子/克隆 de novo 变异或可靠的近中性低频变异。</w:t>
            </w:r>
          </w:p>
        </w:tc>
      </w:tr>
      <w:tr>
        <w:trPr>
          <w:cantSplit/>
        </w:trPr>
        <w:tc>
          <w:tcPr>
            <w:tcW w:type="dxa" w:w="170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替换/固定偏倚</w:t>
            </w:r>
          </w:p>
        </w:tc>
        <w:tc>
          <w:tcPr>
            <w:tcW w:type="dxa" w:w="345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某类变化更常在谱系中固定。</w:t>
            </w:r>
          </w:p>
        </w:tc>
        <w:tc>
          <w:tcPr>
            <w:tcW w:type="dxa" w:w="396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同时受到突变、漂变、重组、选择和基因转换影响。</w:t>
            </w:r>
          </w:p>
        </w:tc>
      </w:tr>
      <w:tr>
        <w:trPr>
          <w:cantSplit/>
        </w:trPr>
        <w:tc>
          <w:tcPr>
            <w:tcW w:type="dxa" w:w="170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同义密码子偏好</w:t>
            </w:r>
          </w:p>
        </w:tc>
        <w:tc>
          <w:tcPr>
            <w:tcW w:type="dxa" w:w="345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在氨基酸不变时，对等价密码子的非随机选择。</w:t>
            </w:r>
          </w:p>
        </w:tc>
        <w:tc>
          <w:tcPr>
            <w:tcW w:type="dxa" w:w="3969"/>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应在给定氨基酸、局部背景和谱系后建模。</w:t>
            </w:r>
          </w:p>
        </w:tc>
      </w:tr>
      <w:tr>
        <w:trPr>
          <w:cantSplit/>
        </w:trPr>
        <w:tc>
          <w:tcPr>
            <w:tcW w:type="dxa" w:w="170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氨基酸组成偏好</w:t>
            </w:r>
          </w:p>
        </w:tc>
        <w:tc>
          <w:tcPr>
            <w:tcW w:type="dxa" w:w="345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蛋白或蛋白组对某些氨基酸的富集/缺失。</w:t>
            </w:r>
          </w:p>
        </w:tc>
        <w:tc>
          <w:tcPr>
            <w:tcW w:type="dxa" w:w="396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必须控制同源功能、结构环境、低复杂度和组成闭合效应。</w:t>
            </w:r>
          </w:p>
        </w:tc>
      </w:tr>
      <w:tr>
        <w:trPr>
          <w:cantSplit/>
        </w:trPr>
        <w:tc>
          <w:tcPr>
            <w:tcW w:type="dxa" w:w="170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适应性残差</w:t>
            </w:r>
          </w:p>
        </w:tc>
        <w:tc>
          <w:tcPr>
            <w:tcW w:type="dxa" w:w="345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真实序列相对“突变 + 系统发育 + 蛋白约束”期望的稳定偏离。</w:t>
            </w:r>
          </w:p>
        </w:tc>
        <w:tc>
          <w:tcPr>
            <w:tcW w:type="dxa" w:w="3969"/>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只是候选适应信号；需独立功能证据后才能解释为适应。</w:t>
            </w:r>
          </w:p>
        </w:tc>
      </w:tr>
      <w:tr>
        <w:trPr>
          <w:cantSplit/>
        </w:trPr>
        <w:tc>
          <w:tcPr>
            <w:tcW w:type="dxa" w:w="170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翻译稳健性</w:t>
            </w:r>
          </w:p>
        </w:tc>
        <w:tc>
          <w:tcPr>
            <w:tcW w:type="dxa" w:w="345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在营养、药物或阶段变化下维持目标蛋白输出的能力。</w:t>
            </w:r>
          </w:p>
        </w:tc>
        <w:tc>
          <w:tcPr>
            <w:tcW w:type="dxa" w:w="396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可由 tRNA 供需、起始/延伸、停顿、mRNA 稳定性和蛋白稳态共同决定。</w:t>
            </w:r>
          </w:p>
        </w:tc>
      </w:tr>
    </w:tbl>
    <w:p>
      <w:pPr>
        <w:spacing w:after="0"/>
        <w:keepLines/>
      </w:pPr>
    </w:p>
    <w:p>
      <w:pPr>
        <w:spacing w:before="80"/>
        <w:jc w:val="center"/>
        <w:keepLines/>
      </w:pPr>
      <w:r>
        <w:drawing>
          <wp:inline xmlns:a="http://schemas.openxmlformats.org/drawingml/2006/main" xmlns:pic="http://schemas.openxmlformats.org/drawingml/2006/picture">
            <wp:extent cx="5868000" cy="3264303"/>
            <wp:docPr id="1" name="Picture 1"/>
            <wp:cNvGraphicFramePr>
              <a:graphicFrameLocks noChangeAspect="1"/>
            </wp:cNvGraphicFramePr>
            <a:graphic>
              <a:graphicData uri="http://schemas.openxmlformats.org/drawingml/2006/picture">
                <pic:pic>
                  <pic:nvPicPr>
                    <pic:cNvPr id="0" name="plasmodium_conceptual_framework.png"/>
                    <pic:cNvPicPr/>
                  </pic:nvPicPr>
                  <pic:blipFill>
                    <a:blip r:embed="rId11"/>
                    <a:stretch>
                      <a:fillRect/>
                    </a:stretch>
                  </pic:blipFill>
                  <pic:spPr>
                    <a:xfrm>
                      <a:off x="0" y="0"/>
                      <a:ext cx="5868000" cy="3264303"/>
                    </a:xfrm>
                    <a:prstGeom prst="rect"/>
                  </pic:spPr>
                </pic:pic>
              </a:graphicData>
            </a:graphic>
          </wp:inline>
        </w:drawing>
      </w:r>
    </w:p>
    <w:p>
      <w:pPr>
        <w:spacing w:after="140"/>
        <w:jc w:val="center"/>
        <w:keepLines/>
      </w:pPr>
      <w:r>
        <w:rPr>
          <w:rFonts w:ascii="Noto Sans CJK SC" w:hAnsi="Noto Sans CJK SC" w:eastAsia="Noto Sans CJK SC"/>
          <w:i w:val="0"/>
          <w:color w:val="6C7883"/>
          <w:sz w:val="17"/>
        </w:rPr>
        <w:t>图 1｜核心科学框架。碱基偏倚是第一层，密码子和氨基酸是连接基因组与功能的中间层；主结论来自反事实后的稳定残差，而不是原始相关性。</w:t>
      </w:r>
    </w:p>
    <w:p>
      <w:pPr>
        <w:pStyle w:val="Heading2"/>
        <w:spacing w:before="180" w:after="100"/>
        <w:keepNext/>
        <w:keepLines/>
      </w:pPr>
      <w:r>
        <w:rPr>
          <w:rFonts w:ascii="Noto Sans CJK SC" w:hAnsi="Noto Sans CJK SC" w:eastAsia="Noto Sans CJK SC"/>
          <w:b/>
          <w:color w:val="2B6F77"/>
          <w:sz w:val="26"/>
        </w:rPr>
        <w:t>3.2 双输出模型：翻译轴与可塑性轴</w:t>
      </w:r>
    </w:p>
    <w:p>
      <w:pPr>
        <w:pStyle w:val="Body"/>
        <w:spacing w:after="100"/>
        <w:ind w:firstLine="420"/>
        <w:jc w:val="both"/>
        <w:keepLines/>
      </w:pPr>
      <w:r>
        <w:rPr>
          <w:rFonts w:ascii="Noto Serif CJK SC" w:hAnsi="Noto Serif CJK SC" w:eastAsia="Noto Serif CJK SC"/>
          <w:i w:val="0"/>
          <w:color w:val="26323B"/>
          <w:sz w:val="21"/>
        </w:rPr>
        <w:t>同一组成偏倚可能产生两类不同功能后果。第一类是编码和翻译轴：AT/GC 背景改变同义密码子、氨基酸、低复杂度和起始上下文，进而影响 tRNA 解码、核糖体流量、mRNA 命运和蛋白稳态。第二类是基因组可塑性轴：AT-rich 重复促进 indel、重排和 CNV，从而改变抗原、调控元件和耐药基因剂量。NAR 研究已证明后者在 P. falciparum 中具有明确的突变学基础[4]；iScience 和 Nature Microbiology 工作则分别提供了前者与营养适应、药物耐受相连的证据[13,15]。</w:t>
      </w:r>
    </w:p>
    <w:p>
      <w:pPr>
        <w:pStyle w:val="Body"/>
        <w:spacing w:after="100"/>
        <w:ind w:firstLine="420"/>
        <w:jc w:val="both"/>
        <w:keepLines/>
      </w:pPr>
      <w:r>
        <w:rPr>
          <w:rFonts w:ascii="Noto Serif CJK SC" w:hAnsi="Noto Serif CJK SC" w:eastAsia="Noto Serif CJK SC"/>
          <w:i w:val="0"/>
          <w:color w:val="26323B"/>
          <w:sz w:val="21"/>
        </w:rPr>
        <w:t>项目早期同时保留两条轴，但不允许长期“双主线并行”。证据门 B 后必须聚焦：若跨物种编码残差稳定且与翻译/应激一致，则翻译轴成为主稿；若残差大多被碱基背景解释，而重复、indel/CNV 或抗原家族的信号显著，则转向可塑性轴。</w:t>
      </w:r>
    </w:p>
    <w:p>
      <w:pPr>
        <w:pStyle w:val="Heading1"/>
        <w:spacing w:before="240" w:after="140"/>
        <w:pBdr>
          <w:bottom w:val="single" w:sz="12" w:space="4" w:color="A43B3B"/>
        </w:pBdr>
        <w:keepNext/>
        <w:keepLines/>
      </w:pPr>
      <w:r>
        <w:rPr>
          <w:rFonts w:ascii="Noto Sans CJK SC" w:hAnsi="Noto Sans CJK SC" w:eastAsia="Noto Sans CJK SC"/>
          <w:b/>
          <w:color w:val="17324D"/>
          <w:sz w:val="33"/>
        </w:rPr>
        <w:t>4. 知识缺口与中心科学问题</w:t>
      </w:r>
    </w:p>
    <w:p>
      <w:pPr>
        <w:pStyle w:val="Heading2"/>
        <w:spacing w:before="180" w:after="100"/>
        <w:keepNext/>
        <w:keepLines/>
      </w:pPr>
      <w:r>
        <w:rPr>
          <w:rFonts w:ascii="Noto Sans CJK SC" w:hAnsi="Noto Sans CJK SC" w:eastAsia="Noto Sans CJK SC"/>
          <w:b/>
          <w:color w:val="2B6F77"/>
          <w:sz w:val="26"/>
        </w:rPr>
        <w:t>4.1 已知事实</w:t>
      </w:r>
    </w:p>
    <w:p>
      <w:pPr>
        <w:pStyle w:val="Bullet1"/>
        <w:spacing w:after="80"/>
        <w:ind w:left="425" w:hanging="215"/>
        <w:jc w:val="both"/>
        <w:keepLines/>
      </w:pPr>
      <w:r>
        <w:rPr>
          <w:rFonts w:ascii="Noto Serif CJK SC" w:hAnsi="Noto Serif CJK SC" w:eastAsia="Noto Serif CJK SC"/>
          <w:color w:val="26323B"/>
          <w:sz w:val="20"/>
        </w:rPr>
        <w:t>P. falciparum 基因组极端 AT-rich，且不同疟原虫谱系的组成差异巨大[2,4,7–9]。</w:t>
      </w:r>
    </w:p>
    <w:p>
      <w:pPr>
        <w:pStyle w:val="Bullet1"/>
        <w:spacing w:after="80"/>
        <w:ind w:left="425" w:hanging="215"/>
        <w:jc w:val="both"/>
        <w:keepLines/>
      </w:pPr>
      <w:r>
        <w:rPr>
          <w:rFonts w:ascii="Noto Serif CJK SC" w:hAnsi="Noto Serif CJK SC" w:eastAsia="Noto Serif CJK SC"/>
          <w:color w:val="26323B"/>
          <w:sz w:val="20"/>
        </w:rPr>
        <w:t>在 P. falciparum 中，G:C→A:T 突变偏倚能解释总体 AT 平衡，AT-rich 重复同时提高 indel 和结构可塑性[4]。</w:t>
      </w:r>
    </w:p>
    <w:p>
      <w:pPr>
        <w:pStyle w:val="Bullet1"/>
        <w:spacing w:after="80"/>
        <w:ind w:left="425" w:hanging="215"/>
        <w:jc w:val="both"/>
        <w:keepLines/>
      </w:pPr>
      <w:r>
        <w:rPr>
          <w:rFonts w:ascii="Noto Serif CJK SC" w:hAnsi="Noto Serif CJK SC" w:eastAsia="Noto Serif CJK SC"/>
          <w:color w:val="26323B"/>
          <w:sz w:val="20"/>
        </w:rPr>
        <w:t>极端组成会机械性地改变密码子、氨基酸和低复杂度蛋白区，但其功能性与适应性长期存在争议[4,13]。</w:t>
      </w:r>
    </w:p>
    <w:p>
      <w:pPr>
        <w:pStyle w:val="Bullet1"/>
        <w:spacing w:after="80"/>
        <w:ind w:left="425" w:hanging="215"/>
        <w:jc w:val="both"/>
        <w:keepLines/>
      </w:pPr>
      <w:r>
        <w:rPr>
          <w:rFonts w:ascii="Noto Serif CJK SC" w:hAnsi="Noto Serif CJK SC" w:eastAsia="Noto Serif CJK SC"/>
          <w:color w:val="26323B"/>
          <w:sz w:val="20"/>
        </w:rPr>
        <w:t>P. falciparum 的 tRNA 供需、修饰和密码子偏倚能够改变蛋白输出、营养应激和青蒿素存活[13–15]。</w:t>
      </w:r>
    </w:p>
    <w:p>
      <w:pPr>
        <w:pStyle w:val="Bullet1"/>
        <w:spacing w:after="80"/>
        <w:ind w:left="425" w:hanging="215"/>
        <w:jc w:val="both"/>
        <w:keepLines/>
      </w:pPr>
      <w:r>
        <w:rPr>
          <w:rFonts w:ascii="Noto Serif CJK SC" w:hAnsi="Noto Serif CJK SC" w:eastAsia="Noto Serif CJK SC"/>
          <w:color w:val="26323B"/>
          <w:sz w:val="20"/>
        </w:rPr>
        <w:t>跨物种必需性、药物敏感性和代谢网络可以发生显著重编程，不能默认 P. falciparum 结论普遍适用[28,29]。</w:t>
      </w:r>
    </w:p>
    <w:p>
      <w:pPr>
        <w:pStyle w:val="Heading2"/>
        <w:spacing w:before="180" w:after="100"/>
        <w:keepNext/>
        <w:keepLines/>
      </w:pPr>
      <w:r>
        <w:rPr>
          <w:rFonts w:ascii="Noto Sans CJK SC" w:hAnsi="Noto Sans CJK SC" w:eastAsia="Noto Sans CJK SC"/>
          <w:b/>
          <w:color w:val="2B6F77"/>
          <w:sz w:val="26"/>
        </w:rPr>
        <w:t>4.2 尚未解决的关键缺口</w:t>
      </w:r>
    </w:p>
    <w:p>
      <w:pPr>
        <w:pStyle w:val="Numbered"/>
        <w:spacing w:after="80"/>
        <w:ind w:left="454" w:hanging="283"/>
        <w:keepLines/>
      </w:pPr>
      <w:r>
        <w:rPr>
          <w:rFonts w:ascii="Noto Serif CJK SC" w:hAnsi="Noto Serif CJK SC" w:eastAsia="Noto Serif CJK SC"/>
          <w:color w:val="26323B"/>
          <w:sz w:val="20"/>
        </w:rPr>
        <w:t>1. 不同疟原虫谱系的碱基组成转换是否代表同一种突变机制，还是多种独立的演化路径？</w:t>
      </w:r>
    </w:p>
    <w:p>
      <w:pPr>
        <w:pStyle w:val="Numbered"/>
        <w:spacing w:after="80"/>
        <w:ind w:left="454" w:hanging="283"/>
        <w:keepLines/>
      </w:pPr>
      <w:r>
        <w:rPr>
          <w:rFonts w:ascii="Noto Serif CJK SC" w:hAnsi="Noto Serif CJK SC" w:eastAsia="Noto Serif CJK SC"/>
          <w:color w:val="26323B"/>
          <w:sz w:val="20"/>
        </w:rPr>
        <w:t>2. 组成差异向同义密码子、氨基酸、低复杂度和蛋白结构传导的比例分别是多少？</w:t>
      </w:r>
    </w:p>
    <w:p>
      <w:pPr>
        <w:pStyle w:val="Numbered"/>
        <w:spacing w:after="80"/>
        <w:ind w:left="454" w:hanging="283"/>
        <w:keepLines/>
      </w:pPr>
      <w:r>
        <w:rPr>
          <w:rFonts w:ascii="Noto Serif CJK SC" w:hAnsi="Noto Serif CJK SC" w:eastAsia="Noto Serif CJK SC"/>
          <w:color w:val="26323B"/>
          <w:sz w:val="20"/>
        </w:rPr>
        <w:t>3. 哪些基因或通路在独立谱系中重复偏离组成期望，且这种偏离与宿主生态或生命周期功能一致？</w:t>
      </w:r>
    </w:p>
    <w:p>
      <w:pPr>
        <w:pStyle w:val="Numbered"/>
        <w:spacing w:after="80"/>
        <w:ind w:left="454" w:hanging="283"/>
        <w:keepLines/>
      </w:pPr>
      <w:r>
        <w:rPr>
          <w:rFonts w:ascii="Noto Serif CJK SC" w:hAnsi="Noto Serif CJK SC" w:eastAsia="Noto Serif CJK SC"/>
          <w:color w:val="26323B"/>
          <w:sz w:val="20"/>
        </w:rPr>
        <w:t>4. 这些偏离是否对应 tRNA 解码、翻译起始/延伸、mRNA 稳定性和蛋白输出的可测差异？</w:t>
      </w:r>
    </w:p>
    <w:p>
      <w:pPr>
        <w:pStyle w:val="Numbered"/>
        <w:spacing w:after="80"/>
        <w:ind w:left="454" w:hanging="283"/>
        <w:keepLines/>
      </w:pPr>
      <w:r>
        <w:rPr>
          <w:rFonts w:ascii="Noto Serif CJK SC" w:hAnsi="Noto Serif CJK SC" w:eastAsia="Noto Serif CJK SC"/>
          <w:color w:val="26323B"/>
          <w:sz w:val="20"/>
        </w:rPr>
        <w:t>5. 这种序列编码的翻译差异是否解释耐药、休眠、增殖或传播能力，并产生可干预的脆弱性？</w:t>
      </w:r>
    </w:p>
    <w:tbl>
      <w:tblPr>
        <w:tblW w:type="auto" w:w="0"/>
        <w:jc w:val="center"/>
        <w:tblLayout w:type="fixed"/>
        <w:tblLook w:firstColumn="1" w:firstRow="1" w:lastColumn="0" w:lastRow="0" w:noHBand="0" w:noVBand="1" w:val="04A0"/>
      </w:tblPr>
      <w:tblGrid>
        <w:gridCol w:w="181"/>
        <w:gridCol w:w="8787"/>
      </w:tblGrid>
      <w:tr>
        <w:tc>
          <w:tcPr>
            <w:tcW w:type="dxa" w:w="4776"/>
            <w:shd w:fill="17324D"/>
            <w:tcMar>
              <w:top w:w="0" w:type="dxa"/>
              <w:start w:w="0" w:type="dxa"/>
              <w:bottom w:w="0" w:type="dxa"/>
              <w:end w:w="0" w:type="dxa"/>
            </w:tcMar>
            <w:tcBorders>
              <w:top w:val="nil"/>
              <w:left w:val="nil"/>
              <w:bottom w:val="nil"/>
              <w:right w:val="nil"/>
            </w:tcBorders>
          </w:tcPr>
          <w:p/>
        </w:tc>
        <w:tc>
          <w:tcPr>
            <w:tcW w:type="dxa" w:w="4776"/>
            <w:shd w:fill="EAF1F7"/>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17324D"/>
                <w:sz w:val="21"/>
              </w:rPr>
              <w:t>中心科学问题</w:t>
            </w:r>
          </w:p>
          <w:p>
            <w:pPr>
              <w:spacing w:after="0"/>
              <w:jc w:val="left"/>
            </w:pPr>
            <w:r>
              <w:rPr>
                <w:rFonts w:ascii="Noto Serif CJK SC" w:hAnsi="Noto Serif CJK SC" w:eastAsia="Noto Serif CJK SC"/>
                <w:color w:val="26323B"/>
                <w:sz w:val="19"/>
              </w:rPr>
              <w:t>疟原虫谱系间的基因组组成转换，哪些只是突变与历史的被动结果，哪些被编码层放大为翻译应激程序或基因组可塑性，并进一步影响寄生虫的耐药、增殖和生命周期适应？</w:t>
            </w:r>
          </w:p>
        </w:tc>
      </w:tr>
    </w:tbl>
    <w:p>
      <w:pPr>
        <w:spacing w:after="0"/>
        <w:keepLines/>
      </w:pPr>
    </w:p>
    <w:p>
      <w:pPr>
        <w:pStyle w:val="Heading2"/>
        <w:spacing w:before="180" w:after="100"/>
        <w:keepNext/>
        <w:keepLines/>
      </w:pPr>
      <w:r>
        <w:rPr>
          <w:rFonts w:ascii="Noto Sans CJK SC" w:hAnsi="Noto Sans CJK SC" w:eastAsia="Noto Sans CJK SC"/>
          <w:b/>
          <w:color w:val="2B6F77"/>
          <w:sz w:val="26"/>
        </w:rPr>
        <w:t>4.3 本项目相对既往工作的增量</w:t>
      </w:r>
    </w:p>
    <w:tbl>
      <w:tblPr>
        <w:tblW w:type="auto" w:w="0"/>
        <w:jc w:val="center"/>
        <w:tblLayout w:type="fixed"/>
        <w:tblLook w:firstColumn="1" w:firstRow="1" w:lastColumn="0" w:lastRow="0" w:noHBand="0" w:noVBand="1" w:val="04A0"/>
      </w:tblPr>
      <w:tblGrid>
        <w:gridCol w:w="4776"/>
        <w:gridCol w:w="4776"/>
      </w:tblGrid>
      <w:tr>
        <w:trPr>
          <w:tblHeader w:val="true"/>
          <w:cantSplit/>
        </w:trPr>
        <w:tc>
          <w:tcPr>
            <w:tcW w:type="dxa" w:w="226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参照</w:t>
            </w:r>
          </w:p>
        </w:tc>
        <w:tc>
          <w:tcPr>
            <w:tcW w:type="dxa" w:w="6860"/>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核心增量</w:t>
            </w:r>
          </w:p>
        </w:tc>
      </w:tr>
      <w:tr>
        <w:trPr>
          <w:cantSplit/>
        </w:trPr>
        <w:tc>
          <w:tcPr>
            <w:tcW w:type="dxa" w:w="226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相对 NAR 2017</w:t>
            </w:r>
          </w:p>
        </w:tc>
        <w:tc>
          <w:tcPr>
            <w:tcW w:type="dxa" w:w="686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从 P. falciparum 单物种突变谱扩展到跨谱系组成转换，并追踪其编码与功能后果；不把所有物种的 AT/GC 差异简单等同于同一突变偏倚。</w:t>
            </w:r>
          </w:p>
        </w:tc>
      </w:tr>
      <w:tr>
        <w:trPr>
          <w:cantSplit/>
        </w:trPr>
        <w:tc>
          <w:tcPr>
            <w:tcW w:type="dxa" w:w="226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相对 iScience 2024</w:t>
            </w:r>
          </w:p>
        </w:tc>
        <w:tc>
          <w:tcPr>
            <w:tcW w:type="dxa" w:w="686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不只扩大 Figure 6 的物种数，而是以系统发育和序列反事实区分“碱基必然结果”与“功能选择残差”，并拓展到多阶段、多通路和应激证据。</w:t>
            </w:r>
          </w:p>
        </w:tc>
      </w:tr>
      <w:tr>
        <w:trPr>
          <w:cantSplit/>
        </w:trPr>
        <w:tc>
          <w:tcPr>
            <w:tcW w:type="dxa" w:w="226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相对 Nature Microbiology 2024</w:t>
            </w:r>
          </w:p>
        </w:tc>
        <w:tc>
          <w:tcPr>
            <w:tcW w:type="dxa" w:w="686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从耐药株的动态 tRNA 修饰重编程，追问不同谱系的长期组成演化是否预先塑造了可使用的翻译应激方案。</w:t>
            </w:r>
          </w:p>
        </w:tc>
      </w:tr>
      <w:tr>
        <w:trPr>
          <w:cantSplit/>
        </w:trPr>
        <w:tc>
          <w:tcPr>
            <w:tcW w:type="dxa" w:w="226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相对现有比较基因组</w:t>
            </w:r>
          </w:p>
        </w:tc>
        <w:tc>
          <w:tcPr>
            <w:tcW w:type="dxa" w:w="686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不以 RSCU/ENC/PCA 作为结论，而是把组成、同源位点、结构、阶段组学和扰动证据放入同一可证伪框架。</w:t>
            </w:r>
          </w:p>
        </w:tc>
      </w:tr>
    </w:tbl>
    <w:p>
      <w:pPr>
        <w:spacing w:after="0"/>
        <w:keepLines/>
      </w:pPr>
    </w:p>
    <w:p>
      <w:pPr>
        <w:pStyle w:val="Heading1"/>
        <w:spacing w:before="240" w:after="140"/>
        <w:pBdr>
          <w:bottom w:val="single" w:sz="12" w:space="4" w:color="A43B3B"/>
        </w:pBdr>
        <w:keepNext/>
        <w:keepLines/>
      </w:pPr>
      <w:r>
        <w:rPr>
          <w:rFonts w:ascii="Noto Sans CJK SC" w:hAnsi="Noto Sans CJK SC" w:eastAsia="Noto Sans CJK SC"/>
          <w:b/>
          <w:color w:val="17324D"/>
          <w:sz w:val="33"/>
        </w:rPr>
        <w:t>5. 科学假设与可证伪预测</w:t>
      </w:r>
    </w:p>
    <w:tbl>
      <w:tblPr>
        <w:tblW w:type="auto" w:w="0"/>
        <w:jc w:val="center"/>
        <w:tblLayout w:type="fixed"/>
        <w:tblLook w:firstColumn="1" w:firstRow="1" w:lastColumn="0" w:lastRow="0" w:noHBand="0" w:noVBand="1" w:val="04A0"/>
      </w:tblPr>
      <w:tblGrid>
        <w:gridCol w:w="2388"/>
        <w:gridCol w:w="2388"/>
        <w:gridCol w:w="2388"/>
        <w:gridCol w:w="2388"/>
      </w:tblGrid>
      <w:tr>
        <w:trPr>
          <w:tblHeader w:val="true"/>
          <w:cantSplit/>
        </w:trPr>
        <w:tc>
          <w:tcPr>
            <w:tcW w:type="dxa" w:w="1587"/>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假设</w:t>
            </w:r>
          </w:p>
        </w:tc>
        <w:tc>
          <w:tcPr>
            <w:tcW w:type="dxa" w:w="232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科学内容</w:t>
            </w:r>
          </w:p>
        </w:tc>
        <w:tc>
          <w:tcPr>
            <w:tcW w:type="dxa" w:w="289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支持预测</w:t>
            </w:r>
          </w:p>
        </w:tc>
        <w:tc>
          <w:tcPr>
            <w:tcW w:type="dxa" w:w="238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否证/转向条件</w:t>
            </w:r>
          </w:p>
        </w:tc>
      </w:tr>
      <w:tr>
        <w:trPr>
          <w:cantSplit/>
        </w:trPr>
        <w:tc>
          <w:tcPr>
            <w:tcW w:type="dxa" w:w="158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H1｜谱系组成状态</w:t>
            </w:r>
          </w:p>
        </w:tc>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疟原虫在演化史上经历了多个可区分的组成转换，而非沿单一 AT 化方向变化。</w:t>
            </w:r>
          </w:p>
        </w:tc>
        <w:tc>
          <w:tcPr>
            <w:tcW w:type="dxa" w:w="289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基因组区室、四倍简并位点与局部上下文呈一致但非完全相同的谱系转变；近缘生态对照可分离历史与环境。</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若所有差异均由单一谱系分裂和注释偏差解释，则收缩为特定类群问题。</w:t>
            </w:r>
          </w:p>
        </w:tc>
      </w:tr>
      <w:tr>
        <w:trPr>
          <w:cantSplit/>
        </w:trPr>
        <w:tc>
          <w:tcPr>
            <w:tcW w:type="dxa" w:w="158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H2｜跨层级机械传导</w:t>
            </w:r>
          </w:p>
        </w:tc>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碱基背景能解释大部分密码子和部分氨基酸差异，但不足以解释全部功能相关模式。</w:t>
            </w:r>
          </w:p>
        </w:tc>
        <w:tc>
          <w:tcPr>
            <w:tcW w:type="dxa" w:w="289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固定氨基酸后仍存在同义选择；固定同源位点/结构后，少数基因出现跨独立谱系的方向一致残差。</w:t>
            </w:r>
          </w:p>
        </w:tc>
        <w:tc>
          <w:tcPr>
            <w:tcW w:type="dxa" w:w="238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若残差在低复杂度屏蔽、重注释或系统发育控制后消失，则拒绝适应性解释。</w:t>
            </w:r>
          </w:p>
        </w:tc>
      </w:tr>
      <w:tr>
        <w:trPr>
          <w:cantSplit/>
        </w:trPr>
        <w:tc>
          <w:tcPr>
            <w:tcW w:type="dxa" w:w="158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H3｜序列编码的翻译程序</w:t>
            </w:r>
          </w:p>
        </w:tc>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稳定残差集中于阶段转换、快速增殖、侵袭或应激相关基因，并与 tRNA/翻译供需相匹配。</w:t>
            </w:r>
          </w:p>
        </w:tc>
        <w:tc>
          <w:tcPr>
            <w:tcW w:type="dxa" w:w="289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残差能够预测表达—蛋白偏离、核糖体/多核糖体行为、营养或药物应激下的选择性反应。</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若残差不预测任何独立翻译或蛋白表型，则停止“翻译程序”主张。</w:t>
            </w:r>
          </w:p>
        </w:tc>
      </w:tr>
      <w:tr>
        <w:trPr>
          <w:cantSplit/>
        </w:trPr>
        <w:tc>
          <w:tcPr>
            <w:tcW w:type="dxa" w:w="158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H4｜可转化脆弱性</w:t>
            </w:r>
          </w:p>
        </w:tc>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组成演化造成的翻译依赖在特定阶段或耐药背景中形成条件性脆弱性。</w:t>
            </w:r>
          </w:p>
        </w:tc>
        <w:tc>
          <w:tcPr>
            <w:tcW w:type="dxa" w:w="289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候选节点同时具备阶段需求、必需性、寄生虫特异性/结构差异和低逃逸潜力。</w:t>
            </w:r>
          </w:p>
        </w:tc>
        <w:tc>
          <w:tcPr>
            <w:tcW w:type="dxa" w:w="238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若候选仅由通用必需性或表达量驱动，则不视为本项目独特贡献。</w:t>
            </w:r>
          </w:p>
        </w:tc>
      </w:tr>
      <w:tr>
        <w:trPr>
          <w:cantSplit/>
        </w:trPr>
        <w:tc>
          <w:tcPr>
            <w:tcW w:type="dxa" w:w="158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H5｜可塑性备选</w:t>
            </w:r>
          </w:p>
        </w:tc>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若翻译残差弱，AT-rich 重复仍可能通过 indel/CNV 与抗原/耐药基因变化产生适应价值。</w:t>
            </w:r>
          </w:p>
        </w:tc>
        <w:tc>
          <w:tcPr>
            <w:tcW w:type="dxa" w:w="289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重复背景与自然变异、CNV 断点、抗原家族或药物选择事件耦合，并超出简单长度/AT 含量期望。</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若结构信号同样不稳健，则项目降级为组成演化资源，不强求顶刊叙事。</w:t>
            </w:r>
          </w:p>
        </w:tc>
      </w:tr>
    </w:tbl>
    <w:p>
      <w:pPr>
        <w:spacing w:after="0"/>
        <w:keepLines/>
      </w:pPr>
    </w:p>
    <w:p>
      <w:pPr>
        <w:pStyle w:val="Heading1"/>
        <w:spacing w:before="240" w:after="140"/>
        <w:pBdr>
          <w:bottom w:val="single" w:sz="12" w:space="4" w:color="A43B3B"/>
        </w:pBdr>
        <w:keepNext/>
        <w:keepLines/>
      </w:pPr>
      <w:r>
        <w:rPr>
          <w:rFonts w:ascii="Noto Sans CJK SC" w:hAnsi="Noto Sans CJK SC" w:eastAsia="Noto Sans CJK SC"/>
          <w:b/>
          <w:color w:val="17324D"/>
          <w:sz w:val="33"/>
        </w:rPr>
        <w:t>6. 研究范围与比较设计</w:t>
      </w:r>
    </w:p>
    <w:p>
      <w:pPr>
        <w:pStyle w:val="Heading2"/>
        <w:spacing w:before="180" w:after="100"/>
        <w:keepNext/>
        <w:keepLines/>
      </w:pPr>
      <w:r>
        <w:rPr>
          <w:rFonts w:ascii="Noto Sans CJK SC" w:hAnsi="Noto Sans CJK SC" w:eastAsia="Noto Sans CJK SC"/>
          <w:b/>
          <w:color w:val="2B6F77"/>
          <w:sz w:val="26"/>
        </w:rPr>
        <w:t>6.1 三层物种面板</w:t>
      </w:r>
    </w:p>
    <w:tbl>
      <w:tblPr>
        <w:tblW w:type="auto" w:w="0"/>
        <w:jc w:val="center"/>
        <w:tblLayout w:type="fixed"/>
        <w:tblLook w:firstColumn="1" w:firstRow="1" w:lastColumn="0" w:lastRow="0" w:noHBand="0" w:noVBand="1" w:val="04A0"/>
      </w:tblPr>
      <w:tblGrid>
        <w:gridCol w:w="2388"/>
        <w:gridCol w:w="2388"/>
        <w:gridCol w:w="2388"/>
        <w:gridCol w:w="2388"/>
      </w:tblGrid>
      <w:tr>
        <w:trPr>
          <w:tblHeader w:val="true"/>
          <w:cantSplit/>
        </w:trPr>
        <w:tc>
          <w:tcPr>
            <w:tcW w:type="dxa" w:w="1247"/>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层级</w:t>
            </w:r>
          </w:p>
        </w:tc>
        <w:tc>
          <w:tcPr>
            <w:tcW w:type="dxa" w:w="153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规模</w:t>
            </w:r>
          </w:p>
        </w:tc>
        <w:tc>
          <w:tcPr>
            <w:tcW w:type="dxa" w:w="4082"/>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选择原则</w:t>
            </w:r>
          </w:p>
        </w:tc>
        <w:tc>
          <w:tcPr>
            <w:tcW w:type="dxa" w:w="238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承担问题</w:t>
            </w:r>
          </w:p>
        </w:tc>
      </w:tr>
      <w:tr>
        <w:trPr>
          <w:cantSplit/>
        </w:trPr>
        <w:tc>
          <w:tcPr>
            <w:tcW w:type="dxa" w:w="124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发现层</w:t>
            </w:r>
          </w:p>
        </w:tc>
        <w:tc>
          <w:tcPr>
            <w:tcW w:type="dxa" w:w="153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约 10–15 个代表性 Plasmodium 物种</w:t>
            </w:r>
          </w:p>
        </w:tc>
        <w:tc>
          <w:tcPr>
            <w:tcW w:type="dxa" w:w="408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覆盖 Laverania、vivax/knowlesi 类群、啮齿类、其他人疟与必要的鸟类/灵长类分支；依据组装和注释质量最终锁定。</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回答组成演化、密码子/氨基酸传导与跨谱系残差。</w:t>
            </w:r>
          </w:p>
        </w:tc>
      </w:tr>
      <w:tr>
        <w:trPr>
          <w:cantSplit/>
        </w:trPr>
        <w:tc>
          <w:tcPr>
            <w:tcW w:type="dxa" w:w="124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深挖层</w:t>
            </w:r>
          </w:p>
        </w:tc>
        <w:tc>
          <w:tcPr>
            <w:tcW w:type="dxa" w:w="153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约 3–5 个数据丰富物种</w:t>
            </w:r>
          </w:p>
        </w:tc>
        <w:tc>
          <w:tcPr>
            <w:tcW w:type="dxa" w:w="408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优先 P. falciparum、P. knowlesi、P. berghei/P. yoelii 及一个组成差异显著且数据可用的人疟物种。</w:t>
            </w:r>
          </w:p>
        </w:tc>
        <w:tc>
          <w:tcPr>
            <w:tcW w:type="dxa" w:w="238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整合阶段表达、蛋白、tRNA/翻译、必需性和药物数据。</w:t>
            </w:r>
          </w:p>
        </w:tc>
      </w:tr>
      <w:tr>
        <w:trPr>
          <w:cantSplit/>
        </w:trPr>
        <w:tc>
          <w:tcPr>
            <w:tcW w:type="dxa" w:w="124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外群层</w:t>
            </w:r>
          </w:p>
        </w:tc>
        <w:tc>
          <w:tcPr>
            <w:tcW w:type="dxa" w:w="153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约 3–5 个顶复门近缘类群</w:t>
            </w:r>
          </w:p>
        </w:tc>
        <w:tc>
          <w:tcPr>
            <w:tcW w:type="dxa" w:w="408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Babesia、Theileria、Toxoplasma 等；重点利用“红细胞居留但增殖生态不同”的对照。</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界定 Plasmodium 特异性，并提供独立生态趋同检验。</w:t>
            </w:r>
          </w:p>
        </w:tc>
      </w:tr>
    </w:tbl>
    <w:p>
      <w:pPr>
        <w:spacing w:after="0"/>
        <w:keepLines/>
      </w:pPr>
    </w:p>
    <w:tbl>
      <w:tblPr>
        <w:tblW w:type="auto" w:w="0"/>
        <w:jc w:val="center"/>
        <w:tblLayout w:type="autofit"/>
        <w:tblLook w:firstColumn="1" w:firstRow="1" w:lastColumn="0" w:lastRow="0" w:noHBand="0" w:noVBand="1" w:val="04A0"/>
      </w:tblPr>
      <w:tblGrid>
        <w:gridCol w:w="9553"/>
      </w:tblGrid>
      <w:tr>
        <w:tc>
          <w:tcPr>
            <w:tcW w:type="dxa" w:w="9553"/>
            <w:shd w:fill="F7F8FA"/>
            <w:tcMar>
              <w:top w:w="120" w:type="dxa"/>
              <w:start w:w="160" w:type="dxa"/>
              <w:bottom w:w="120" w:type="dxa"/>
              <w:end w:w="160" w:type="dxa"/>
            </w:tcMar>
            <w:tcBorders>
              <w:top w:val="single" w:sz="4" w:color="D6DDE3"/>
              <w:left w:val="single" w:sz="4" w:color="D6DDE3"/>
              <w:bottom w:val="single" w:sz="4" w:color="D6DDE3"/>
              <w:right w:val="single" w:sz="4" w:color="D6DDE3"/>
            </w:tcBorders>
          </w:tcPr>
          <w:p>
            <w:pPr>
              <w:spacing w:after="120"/>
              <w:jc w:val="both"/>
            </w:pPr>
            <w:r>
              <w:rPr>
                <w:rFonts w:ascii="Noto Sans CJK SC" w:hAnsi="Noto Sans CJK SC" w:eastAsia="Noto Sans CJK SC"/>
                <w:i w:val="0"/>
                <w:color w:val="6C7883"/>
                <w:sz w:val="18"/>
              </w:rPr>
              <w:t>物种数量不是统计独立样本量。真正的独立信息来自谱系转换和生态对照，因此面板设计优先于“尽可能多地下载基因组”。</w:t>
            </w:r>
          </w:p>
        </w:tc>
      </w:tr>
    </w:tbl>
    <w:p>
      <w:pPr>
        <w:pStyle w:val="Heading2"/>
        <w:spacing w:before="180" w:after="100"/>
        <w:keepNext/>
        <w:keepLines/>
      </w:pPr>
      <w:r>
        <w:rPr>
          <w:rFonts w:ascii="Noto Sans CJK SC" w:hAnsi="Noto Sans CJK SC" w:eastAsia="Noto Sans CJK SC"/>
          <w:b/>
          <w:color w:val="2B6F77"/>
          <w:sz w:val="26"/>
        </w:rPr>
        <w:t>6.2 宿主与阶段信息的边界</w:t>
      </w:r>
    </w:p>
    <w:p>
      <w:pPr>
        <w:pStyle w:val="Body"/>
        <w:spacing w:after="100"/>
        <w:ind w:firstLine="420"/>
        <w:jc w:val="both"/>
        <w:keepLines/>
      </w:pPr>
      <w:r>
        <w:rPr>
          <w:rFonts w:ascii="Noto Serif CJK SC" w:hAnsi="Noto Serif CJK SC" w:eastAsia="Noto Serif CJK SC"/>
          <w:i w:val="0"/>
          <w:color w:val="26323B"/>
          <w:sz w:val="21"/>
        </w:rPr>
        <w:t>“物种—宿主—阶段”在本方案中是分层证据框架，不是全因子多组学模型。所有物种只需要核心基因组、蛋白组、系统发育和基本生命周期注释；宿主层仅使用宿主物种、主要寄生细胞、红细胞偏好、血红蛋白序列/组成、是否在红细胞完成主要增殖等稳定信息。只有在出现明确宿主营养假设时，才引入公开血浆或红细胞代谢信息；不把新建宿主转录组、蛋白组或代谢组作为核心依赖。</w:t>
      </w:r>
    </w:p>
    <w:p>
      <w:pPr>
        <w:pStyle w:val="Body"/>
        <w:spacing w:after="100"/>
        <w:ind w:firstLine="420"/>
        <w:jc w:val="both"/>
        <w:keepLines/>
      </w:pPr>
      <w:r>
        <w:rPr>
          <w:rFonts w:ascii="Noto Serif CJK SC" w:hAnsi="Noto Serif CJK SC" w:eastAsia="Noto Serif CJK SC"/>
          <w:i w:val="0"/>
          <w:color w:val="26323B"/>
          <w:sz w:val="21"/>
        </w:rPr>
        <w:t>阶段层采用“不对称设计”：全物种进行静态基因组分析，深挖层物种再进入表达加权的密码子/氨基酸需求、蛋白输出和翻译证据。这样既保留生命周期解释力，又避免把数据稀缺物种强行填入统一模型。</w:t>
      </w:r>
    </w:p>
    <w:p>
      <w:pPr>
        <w:pStyle w:val="Heading2"/>
        <w:spacing w:before="180" w:after="100"/>
        <w:keepNext/>
        <w:keepLines/>
      </w:pPr>
      <w:r>
        <w:rPr>
          <w:rFonts w:ascii="Noto Sans CJK SC" w:hAnsi="Noto Sans CJK SC" w:eastAsia="Noto Sans CJK SC"/>
          <w:b/>
          <w:color w:val="2B6F77"/>
          <w:sz w:val="26"/>
        </w:rPr>
        <w:t>6.3 分析单元必须分层</w:t>
      </w:r>
    </w:p>
    <w:p>
      <w:pPr>
        <w:pStyle w:val="Bullet1"/>
        <w:spacing w:after="80"/>
        <w:ind w:left="425" w:hanging="215"/>
        <w:jc w:val="both"/>
        <w:keepLines/>
      </w:pPr>
      <w:r>
        <w:rPr>
          <w:rFonts w:ascii="Noto Serif CJK SC" w:hAnsi="Noto Serif CJK SC" w:eastAsia="Noto Serif CJK SC"/>
          <w:color w:val="26323B"/>
          <w:sz w:val="20"/>
        </w:rPr>
        <w:t>高可信单拷贝核心同源基因：承担主要系统发育和跨物种因果推断。</w:t>
      </w:r>
    </w:p>
    <w:p>
      <w:pPr>
        <w:pStyle w:val="Bullet1"/>
        <w:spacing w:after="80"/>
        <w:ind w:left="425" w:hanging="215"/>
        <w:jc w:val="both"/>
        <w:keepLines/>
      </w:pPr>
      <w:r>
        <w:rPr>
          <w:rFonts w:ascii="Noto Serif CJK SC" w:hAnsi="Noto Serif CJK SC" w:eastAsia="Noto Serif CJK SC"/>
          <w:color w:val="26323B"/>
          <w:sz w:val="20"/>
        </w:rPr>
        <w:t>保守多拷贝家族与谱系特异家族：分析适应创新，但与核心基因分开报告。</w:t>
      </w:r>
    </w:p>
    <w:p>
      <w:pPr>
        <w:pStyle w:val="Bullet1"/>
        <w:spacing w:after="80"/>
        <w:ind w:left="425" w:hanging="215"/>
        <w:jc w:val="both"/>
        <w:keepLines/>
      </w:pPr>
      <w:r>
        <w:rPr>
          <w:rFonts w:ascii="Noto Serif CJK SC" w:hAnsi="Noto Serif CJK SC" w:eastAsia="Noto Serif CJK SC"/>
          <w:color w:val="26323B"/>
          <w:sz w:val="20"/>
        </w:rPr>
        <w:t>输出蛋白、抗原与亚端粒家族：作为宿主界面和可塑性分支，不用于估计全基因组中性背景。</w:t>
      </w:r>
    </w:p>
    <w:p>
      <w:pPr>
        <w:pStyle w:val="Bullet1"/>
        <w:spacing w:after="80"/>
        <w:ind w:left="425" w:hanging="215"/>
        <w:jc w:val="both"/>
        <w:keepLines/>
      </w:pPr>
      <w:r>
        <w:rPr>
          <w:rFonts w:ascii="Noto Serif CJK SC" w:hAnsi="Noto Serif CJK SC" w:eastAsia="Noto Serif CJK SC"/>
          <w:color w:val="26323B"/>
          <w:sz w:val="20"/>
        </w:rPr>
        <w:t>低复杂度区保留版与屏蔽版：判断 Asn/Lys 等重复是否主导结果。</w:t>
      </w:r>
    </w:p>
    <w:p>
      <w:pPr>
        <w:pStyle w:val="Bullet1"/>
        <w:spacing w:after="80"/>
        <w:ind w:left="425" w:hanging="215"/>
        <w:jc w:val="both"/>
        <w:keepLines/>
      </w:pPr>
      <w:r>
        <w:rPr>
          <w:rFonts w:ascii="Noto Serif CJK SC" w:hAnsi="Noto Serif CJK SC" w:eastAsia="Noto Serif CJK SC"/>
          <w:color w:val="26323B"/>
          <w:sz w:val="20"/>
        </w:rPr>
        <w:t>结构域、跨膜区、信号肽、无序区和成熟蛋白：避免定位信号或膜蛋白物性冒充营养/翻译适应。</w:t>
      </w:r>
    </w:p>
    <w:p>
      <w:pPr>
        <w:pStyle w:val="Bullet1"/>
        <w:spacing w:after="80"/>
        <w:ind w:left="425" w:hanging="215"/>
        <w:jc w:val="both"/>
        <w:keepLines/>
      </w:pPr>
      <w:r>
        <w:rPr>
          <w:rFonts w:ascii="Noto Serif CJK SC" w:hAnsi="Noto Serif CJK SC" w:eastAsia="Noto Serif CJK SC"/>
          <w:color w:val="26323B"/>
          <w:sz w:val="20"/>
        </w:rPr>
        <w:t>核基因组、线粒体与顶质体：分别建模，防止不同遗传系统混合。</w:t>
      </w:r>
    </w:p>
    <w:p>
      <w:pPr>
        <w:pStyle w:val="Heading2"/>
        <w:spacing w:before="180" w:after="100"/>
        <w:keepNext/>
        <w:keepLines/>
      </w:pPr>
      <w:r>
        <w:rPr>
          <w:rFonts w:ascii="Noto Sans CJK SC" w:hAnsi="Noto Sans CJK SC" w:eastAsia="Noto Sans CJK SC"/>
          <w:b/>
          <w:color w:val="2B6F77"/>
          <w:sz w:val="26"/>
        </w:rPr>
        <w:t>6.4 数据证据层级</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30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层级</w:t>
            </w:r>
          </w:p>
        </w:tc>
        <w:tc>
          <w:tcPr>
            <w:tcW w:type="dxa" w:w="4989"/>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内容</w:t>
            </w:r>
          </w:p>
        </w:tc>
        <w:tc>
          <w:tcPr>
            <w:tcW w:type="dxa" w:w="294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用途</w:t>
            </w:r>
          </w:p>
        </w:tc>
      </w:tr>
      <w:tr>
        <w:trPr>
          <w:cantSplit/>
        </w:trPr>
        <w:tc>
          <w:tcPr>
            <w:tcW w:type="dxa" w:w="130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A｜必需底座</w:t>
            </w:r>
          </w:p>
        </w:tc>
        <w:tc>
          <w:tcPr>
            <w:tcW w:type="dxa" w:w="498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参考基因组、CDS/蛋白、同源关系、系统发育、基因组区室、注释质量。</w:t>
            </w:r>
          </w:p>
        </w:tc>
        <w:tc>
          <w:tcPr>
            <w:tcW w:type="dxa" w:w="294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所有核心结论必须可在此层复现。</w:t>
            </w:r>
          </w:p>
        </w:tc>
      </w:tr>
      <w:tr>
        <w:trPr>
          <w:cantSplit/>
        </w:trPr>
        <w:tc>
          <w:tcPr>
            <w:tcW w:type="dxa" w:w="130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B｜增强证据</w:t>
            </w:r>
          </w:p>
        </w:tc>
        <w:tc>
          <w:tcPr>
            <w:tcW w:type="dxa" w:w="4989"/>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群体变异、选择扫描、CNV/结构变异、阶段转录组、蛋白组、空间定位、复合物组。</w:t>
            </w:r>
          </w:p>
        </w:tc>
        <w:tc>
          <w:tcPr>
            <w:tcW w:type="dxa" w:w="294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用于检验功能与自然选择，不要求所有物种齐全。</w:t>
            </w:r>
          </w:p>
        </w:tc>
      </w:tr>
      <w:tr>
        <w:trPr>
          <w:cantSplit/>
        </w:trPr>
        <w:tc>
          <w:tcPr>
            <w:tcW w:type="dxa" w:w="130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C｜翻译证据</w:t>
            </w:r>
          </w:p>
        </w:tc>
        <w:tc>
          <w:tcPr>
            <w:tcW w:type="dxa" w:w="498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tRNA abundance/charging/modification、Ribo-seq/多核糖体、mRNA 稳定性、翻译抑制数据。</w:t>
            </w:r>
          </w:p>
        </w:tc>
        <w:tc>
          <w:tcPr>
            <w:tcW w:type="dxa" w:w="294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优先在 P. falciparum 等深挖物种建立机制。</w:t>
            </w:r>
          </w:p>
        </w:tc>
      </w:tr>
      <w:tr>
        <w:trPr>
          <w:cantSplit/>
        </w:trPr>
        <w:tc>
          <w:tcPr>
            <w:tcW w:type="dxa" w:w="130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D｜扰动证据</w:t>
            </w:r>
          </w:p>
        </w:tc>
        <w:tc>
          <w:tcPr>
            <w:tcW w:type="dxa" w:w="4989"/>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药物进化、基因必需性、CRISPR/转座子筛选、自然耐药变体、营养应激。</w:t>
            </w:r>
          </w:p>
        </w:tc>
        <w:tc>
          <w:tcPr>
            <w:tcW w:type="dxa" w:w="294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决定是否进入 Nature Microbiology 级因果叙事。</w:t>
            </w:r>
          </w:p>
        </w:tc>
      </w:tr>
      <w:tr>
        <w:trPr>
          <w:cantSplit/>
        </w:trPr>
        <w:tc>
          <w:tcPr>
            <w:tcW w:type="dxa" w:w="130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E｜条件性新实验</w:t>
            </w:r>
          </w:p>
        </w:tc>
        <w:tc>
          <w:tcPr>
            <w:tcW w:type="dxa" w:w="4989"/>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针对一个竞争机制的最小验证。</w:t>
            </w:r>
          </w:p>
        </w:tc>
        <w:tc>
          <w:tcPr>
            <w:tcW w:type="dxa" w:w="294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仅在 A–D 形成明确预测后启动。</w:t>
            </w:r>
          </w:p>
        </w:tc>
      </w:tr>
    </w:tbl>
    <w:p>
      <w:pPr>
        <w:spacing w:after="0"/>
        <w:keepLines/>
      </w:pPr>
    </w:p>
    <w:p>
      <w:pPr>
        <w:pStyle w:val="Heading1"/>
        <w:spacing w:before="240" w:after="140"/>
        <w:pBdr>
          <w:bottom w:val="single" w:sz="12" w:space="4" w:color="A43B3B"/>
        </w:pBdr>
        <w:keepNext/>
        <w:keepLines/>
      </w:pPr>
      <w:r>
        <w:rPr>
          <w:rFonts w:ascii="Noto Sans CJK SC" w:hAnsi="Noto Sans CJK SC" w:eastAsia="Noto Sans CJK SC"/>
          <w:b/>
          <w:color w:val="17324D"/>
          <w:sz w:val="33"/>
        </w:rPr>
        <w:t>7. 四个研究目标（Specific Aims）</w:t>
      </w:r>
    </w:p>
    <w:p>
      <w:pPr>
        <w:pStyle w:val="Heading2"/>
        <w:spacing w:before="180" w:after="100"/>
        <w:keepNext/>
        <w:keepLines/>
      </w:pPr>
      <w:r>
        <w:rPr>
          <w:rFonts w:ascii="Noto Sans CJK SC" w:hAnsi="Noto Sans CJK SC" w:eastAsia="Noto Sans CJK SC"/>
          <w:b/>
          <w:color w:val="2B6F77"/>
          <w:sz w:val="26"/>
        </w:rPr>
        <w:t>Aim 1｜重建疟原虫基因组组成的谱系转换与区室化演化</w:t>
      </w:r>
    </w:p>
    <w:p>
      <w:pPr>
        <w:pStyle w:val="Body"/>
        <w:spacing w:after="100"/>
        <w:ind w:firstLine="420"/>
        <w:jc w:val="both"/>
        <w:keepLines/>
      </w:pPr>
      <w:r>
        <w:rPr>
          <w:rFonts w:ascii="Noto Sans CJK SC" w:hAnsi="Noto Sans CJK SC" w:eastAsia="Noto Sans CJK SC"/>
          <w:b/>
          <w:color w:val="17324D"/>
          <w:sz w:val="21"/>
        </w:rPr>
        <w:t>科学问题：</w:t>
      </w:r>
      <w:r>
        <w:rPr>
          <w:rFonts w:ascii="Noto Serif CJK SC" w:hAnsi="Noto Serif CJK SC" w:eastAsia="Noto Serif CJK SC"/>
          <w:i w:val="0"/>
          <w:color w:val="26323B"/>
          <w:sz w:val="21"/>
        </w:rPr>
        <w:t>不同物种的 AT/GC 差异是单一祖先状态的延续，还是在多个谱系中独立发生的组成转换？这些变化在非编码区、编码区、简并位点、重复区和细胞器基因组中是否一致？</w:t>
      </w:r>
    </w:p>
    <w:p>
      <w:pPr>
        <w:pStyle w:val="Body"/>
        <w:spacing w:after="100"/>
        <w:ind w:firstLine="420"/>
        <w:jc w:val="both"/>
        <w:keepLines/>
      </w:pPr>
      <w:r>
        <w:rPr>
          <w:rFonts w:ascii="Noto Sans CJK SC" w:hAnsi="Noto Sans CJK SC" w:eastAsia="Noto Sans CJK SC"/>
          <w:b/>
          <w:color w:val="17324D"/>
          <w:sz w:val="21"/>
        </w:rPr>
        <w:t>核心假设：</w:t>
      </w:r>
      <w:r>
        <w:rPr>
          <w:rFonts w:ascii="Noto Serif CJK SC" w:hAnsi="Noto Serif CJK SC" w:eastAsia="Noto Serif CJK SC"/>
          <w:i w:val="0"/>
          <w:color w:val="26323B"/>
          <w:sz w:val="21"/>
        </w:rPr>
        <w:t>疟原虫存在多个组成演化状态；突变压力、DNA 修复、基因组区室和选择共同造成不同尺度的异质性，不能用单一全基因组 GC 值概括。</w:t>
      </w:r>
    </w:p>
    <w:p>
      <w:pPr>
        <w:pStyle w:val="Body"/>
        <w:spacing w:after="100"/>
        <w:ind w:firstLine="420"/>
        <w:jc w:val="both"/>
        <w:keepLines/>
      </w:pPr>
      <w:r>
        <w:rPr>
          <w:rFonts w:ascii="Noto Serif CJK SC" w:hAnsi="Noto Serif CJK SC" w:eastAsia="Noto Serif CJK SC"/>
          <w:i w:val="0"/>
          <w:color w:val="26323B"/>
          <w:sz w:val="21"/>
        </w:rPr>
        <w:t>上层路线包括：建立高可信物种树与数据质量等级；分别描述全基因组、编码/非编码、密码子位置、四倍简并位点和局部上下文；在可用群体或 de novo 数据中区分组成、替换与突变；重建祖先状态和组成转换；评估重复、低复杂度及亚端粒区域对整体统计的贡献。</w:t>
      </w:r>
    </w:p>
    <w:p>
      <w:pPr>
        <w:pStyle w:val="Body"/>
        <w:spacing w:after="100"/>
        <w:ind w:firstLine="420"/>
        <w:jc w:val="both"/>
        <w:keepLines/>
      </w:pPr>
      <w:r>
        <w:rPr>
          <w:rFonts w:ascii="Noto Sans CJK SC" w:hAnsi="Noto Sans CJK SC" w:eastAsia="Noto Sans CJK SC"/>
          <w:b/>
          <w:color w:val="17324D"/>
          <w:sz w:val="21"/>
        </w:rPr>
        <w:t>预期产出：</w:t>
      </w:r>
      <w:r>
        <w:rPr>
          <w:rFonts w:ascii="Noto Serif CJK SC" w:hAnsi="Noto Serif CJK SC" w:eastAsia="Noto Serif CJK SC"/>
          <w:i w:val="0"/>
          <w:color w:val="26323B"/>
          <w:sz w:val="21"/>
        </w:rPr>
        <w:t>一张可解释的“疟原虫组成演化地图”，明确哪些谱系和区室提供后续自然实验，哪些物种只能用于描述而不能用于突变推断。</w:t>
      </w:r>
    </w:p>
    <w:tbl>
      <w:tblPr>
        <w:tblW w:type="auto" w:w="0"/>
        <w:jc w:val="center"/>
        <w:tblLayout w:type="fixed"/>
        <w:tblLook w:firstColumn="1" w:firstRow="1" w:lastColumn="0" w:lastRow="0" w:noHBand="0" w:noVBand="1" w:val="04A0"/>
      </w:tblPr>
      <w:tblGrid>
        <w:gridCol w:w="181"/>
        <w:gridCol w:w="8787"/>
      </w:tblGrid>
      <w:tr>
        <w:tc>
          <w:tcPr>
            <w:tcW w:type="dxa" w:w="4776"/>
            <w:shd w:fill="A97928"/>
            <w:tcMar>
              <w:top w:w="0" w:type="dxa"/>
              <w:start w:w="0" w:type="dxa"/>
              <w:bottom w:w="0" w:type="dxa"/>
              <w:end w:w="0" w:type="dxa"/>
            </w:tcMar>
            <w:tcBorders>
              <w:top w:val="nil"/>
              <w:left w:val="nil"/>
              <w:bottom w:val="nil"/>
              <w:right w:val="nil"/>
            </w:tcBorders>
          </w:tcPr>
          <w:p/>
        </w:tc>
        <w:tc>
          <w:tcPr>
            <w:tcW w:type="dxa" w:w="4776"/>
            <w:shd w:fill="F7F1E5"/>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A97928"/>
                <w:sz w:val="21"/>
              </w:rPr>
              <w:t>证据门 A</w:t>
            </w:r>
          </w:p>
          <w:p>
            <w:pPr>
              <w:spacing w:after="0"/>
              <w:jc w:val="left"/>
            </w:pPr>
            <w:r>
              <w:rPr>
                <w:rFonts w:ascii="Noto Serif CJK SC" w:hAnsi="Noto Serif CJK SC" w:eastAsia="Noto Serif CJK SC"/>
                <w:color w:val="26323B"/>
                <w:sz w:val="19"/>
              </w:rPr>
              <w:t>只有当至少两个相对独立的谱系对照提供可重复的组成转换，且结果不由组装/注释质量或单一低复杂度家族主导时，才进入跨谱系适应比较。</w:t>
            </w:r>
          </w:p>
        </w:tc>
      </w:tr>
    </w:tbl>
    <w:p>
      <w:pPr>
        <w:spacing w:after="0"/>
        <w:keepLines/>
      </w:pPr>
    </w:p>
    <w:p>
      <w:pPr>
        <w:pStyle w:val="Heading2"/>
        <w:spacing w:before="180" w:after="100"/>
        <w:keepNext/>
        <w:keepLines/>
      </w:pPr>
      <w:r>
        <w:rPr>
          <w:rFonts w:ascii="Noto Sans CJK SC" w:hAnsi="Noto Sans CJK SC" w:eastAsia="Noto Sans CJK SC"/>
          <w:b/>
          <w:color w:val="2B6F77"/>
          <w:sz w:val="26"/>
        </w:rPr>
        <w:t>Aim 2｜定量分解碱基偏倚向密码子、氨基酸和蛋白架构的传导</w:t>
      </w:r>
    </w:p>
    <w:p>
      <w:pPr>
        <w:pStyle w:val="Body"/>
        <w:spacing w:after="100"/>
        <w:ind w:firstLine="420"/>
        <w:jc w:val="both"/>
        <w:keepLines/>
      </w:pPr>
      <w:r>
        <w:rPr>
          <w:rFonts w:ascii="Noto Sans CJK SC" w:hAnsi="Noto Sans CJK SC" w:eastAsia="Noto Sans CJK SC"/>
          <w:b/>
          <w:color w:val="17324D"/>
          <w:sz w:val="21"/>
        </w:rPr>
        <w:t>科学问题：</w:t>
      </w:r>
      <w:r>
        <w:rPr>
          <w:rFonts w:ascii="Noto Serif CJK SC" w:hAnsi="Noto Serif CJK SC" w:eastAsia="Noto Serif CJK SC"/>
          <w:i w:val="0"/>
          <w:color w:val="26323B"/>
          <w:sz w:val="21"/>
        </w:rPr>
        <w:t>观察到的密码子和氨基酸偏好有多少是碱基背景的必然结果，又有哪些变化超出中性/约束期望？</w:t>
      </w:r>
    </w:p>
    <w:p>
      <w:pPr>
        <w:pStyle w:val="Body"/>
        <w:spacing w:after="100"/>
        <w:ind w:firstLine="420"/>
        <w:jc w:val="both"/>
        <w:keepLines/>
      </w:pPr>
      <w:r>
        <w:rPr>
          <w:rFonts w:ascii="Noto Sans CJK SC" w:hAnsi="Noto Sans CJK SC" w:eastAsia="Noto Sans CJK SC"/>
          <w:b/>
          <w:color w:val="17324D"/>
          <w:sz w:val="21"/>
        </w:rPr>
        <w:t>核心假设：</w:t>
      </w:r>
      <w:r>
        <w:rPr>
          <w:rFonts w:ascii="Noto Serif CJK SC" w:hAnsi="Noto Serif CJK SC" w:eastAsia="Noto Serif CJK SC"/>
          <w:i w:val="0"/>
          <w:color w:val="26323B"/>
          <w:sz w:val="21"/>
        </w:rPr>
        <w:t>碱基背景解释绝大多数全局模式，但某些同源基因、结构环境和功能模块具有跨谱系一致的残差，这些残差是后续适应分析的唯一合格入口。</w:t>
      </w:r>
    </w:p>
    <w:p>
      <w:pPr>
        <w:pStyle w:val="Body"/>
        <w:spacing w:after="100"/>
        <w:ind w:firstLine="420"/>
        <w:jc w:val="both"/>
        <w:keepLines/>
      </w:pPr>
      <w:r>
        <w:rPr>
          <w:rFonts w:ascii="Noto Serif CJK SC" w:hAnsi="Noto Serif CJK SC" w:eastAsia="Noto Serif CJK SC"/>
          <w:i w:val="0"/>
          <w:color w:val="26323B"/>
          <w:sz w:val="21"/>
        </w:rPr>
        <w:t>密码子层以“氨基酸固定”为基本反事实，估计在局部 GC、二核苷酸、基因位置、表达和 tRNA 解码背景下的同义选择；氨基酸层以“同源位点、祖先状态和结构环境固定”为反事实，估计蛋白功能约束之外的谱系偏移。低复杂度保留/屏蔽、结构域分层和组成型数据处理必须贯穿分析。传统 RSCU、ENC、neutrality/PR2 图仅用于描述和与旧文献对齐，不承担适应性结论。</w:t>
      </w:r>
    </w:p>
    <w:p>
      <w:pPr>
        <w:pStyle w:val="Body"/>
        <w:spacing w:after="100"/>
        <w:ind w:firstLine="420"/>
        <w:jc w:val="both"/>
        <w:keepLines/>
      </w:pPr>
      <w:r>
        <w:rPr>
          <w:rFonts w:ascii="Noto Sans CJK SC" w:hAnsi="Noto Sans CJK SC" w:eastAsia="Noto Sans CJK SC"/>
          <w:b/>
          <w:color w:val="17324D"/>
          <w:sz w:val="21"/>
        </w:rPr>
        <w:t>预期产出：</w:t>
      </w:r>
      <w:r>
        <w:rPr>
          <w:rFonts w:ascii="Noto Serif CJK SC" w:hAnsi="Noto Serif CJK SC" w:eastAsia="Noto Serif CJK SC"/>
          <w:i w:val="0"/>
          <w:color w:val="26323B"/>
          <w:sz w:val="21"/>
        </w:rPr>
        <w:t>每个基因、结构域和通路的“背景可解释部分”与“候选功能残差”；同时给出不支持适应性解释的负结果清单。</w:t>
      </w:r>
    </w:p>
    <w:tbl>
      <w:tblPr>
        <w:tblW w:type="auto" w:w="0"/>
        <w:jc w:val="center"/>
        <w:tblLayout w:type="fixed"/>
        <w:tblLook w:firstColumn="1" w:firstRow="1" w:lastColumn="0" w:lastRow="0" w:noHBand="0" w:noVBand="1" w:val="04A0"/>
      </w:tblPr>
      <w:tblGrid>
        <w:gridCol w:w="181"/>
        <w:gridCol w:w="8787"/>
      </w:tblGrid>
      <w:tr>
        <w:tc>
          <w:tcPr>
            <w:tcW w:type="dxa" w:w="4776"/>
            <w:shd w:fill="A43B3B"/>
            <w:tcMar>
              <w:top w:w="0" w:type="dxa"/>
              <w:start w:w="0" w:type="dxa"/>
              <w:bottom w:w="0" w:type="dxa"/>
              <w:end w:w="0" w:type="dxa"/>
            </w:tcMar>
            <w:tcBorders>
              <w:top w:val="nil"/>
              <w:left w:val="nil"/>
              <w:bottom w:val="nil"/>
              <w:right w:val="nil"/>
            </w:tcBorders>
          </w:tcPr>
          <w:p/>
        </w:tc>
        <w:tc>
          <w:tcPr>
            <w:tcW w:type="dxa" w:w="4776"/>
            <w:shd w:fill="F7ECEC"/>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A43B3B"/>
                <w:sz w:val="21"/>
              </w:rPr>
              <w:t>证据门 B</w:t>
            </w:r>
          </w:p>
          <w:p>
            <w:pPr>
              <w:spacing w:after="0"/>
              <w:jc w:val="left"/>
            </w:pPr>
            <w:r>
              <w:rPr>
                <w:rFonts w:ascii="Noto Serif CJK SC" w:hAnsi="Noto Serif CJK SC" w:eastAsia="Noto Serif CJK SC"/>
                <w:color w:val="26323B"/>
                <w:sz w:val="19"/>
              </w:rPr>
              <w:t>残差必须在系统发育控制、低复杂度敏感性分析、注释替代版本和 leave-one-clade-out 后仍稳定。若大部分信号消失，立即放弃翻译适应主线，转向重复/结构可塑性。</w:t>
            </w:r>
          </w:p>
        </w:tc>
      </w:tr>
    </w:tbl>
    <w:p>
      <w:pPr>
        <w:spacing w:after="0"/>
        <w:keepLines/>
      </w:pPr>
    </w:p>
    <w:p>
      <w:pPr>
        <w:pStyle w:val="Heading2"/>
        <w:spacing w:before="180" w:after="100"/>
        <w:keepNext/>
        <w:keepLines/>
      </w:pPr>
      <w:r>
        <w:rPr>
          <w:rFonts w:ascii="Noto Sans CJK SC" w:hAnsi="Noto Sans CJK SC" w:eastAsia="Noto Sans CJK SC"/>
          <w:b/>
          <w:color w:val="2B6F77"/>
          <w:sz w:val="26"/>
        </w:rPr>
        <w:t>Aim 3｜检验候选残差是否构成阶段特异的翻译应激程序</w:t>
      </w:r>
    </w:p>
    <w:p>
      <w:pPr>
        <w:pStyle w:val="Body"/>
        <w:spacing w:after="100"/>
        <w:ind w:firstLine="420"/>
        <w:jc w:val="both"/>
        <w:keepLines/>
      </w:pPr>
      <w:r>
        <w:rPr>
          <w:rFonts w:ascii="Noto Sans CJK SC" w:hAnsi="Noto Sans CJK SC" w:eastAsia="Noto Sans CJK SC"/>
          <w:b/>
          <w:color w:val="17324D"/>
          <w:sz w:val="21"/>
        </w:rPr>
        <w:t>科学问题：</w:t>
      </w:r>
      <w:r>
        <w:rPr>
          <w:rFonts w:ascii="Noto Serif CJK SC" w:hAnsi="Noto Serif CJK SC" w:eastAsia="Noto Serif CJK SC"/>
          <w:i w:val="0"/>
          <w:color w:val="26323B"/>
          <w:sz w:val="21"/>
        </w:rPr>
        <w:t>候选序列残差是否能预测寄生虫在特定阶段、营养条件或药物压力下的 RNA—蛋白输出差异？</w:t>
      </w:r>
    </w:p>
    <w:p>
      <w:pPr>
        <w:pStyle w:val="Body"/>
        <w:spacing w:after="100"/>
        <w:ind w:firstLine="420"/>
        <w:jc w:val="both"/>
        <w:keepLines/>
      </w:pPr>
      <w:r>
        <w:rPr>
          <w:rFonts w:ascii="Noto Sans CJK SC" w:hAnsi="Noto Sans CJK SC" w:eastAsia="Noto Sans CJK SC"/>
          <w:b/>
          <w:color w:val="17324D"/>
          <w:sz w:val="21"/>
        </w:rPr>
        <w:t>核心假设：</w:t>
      </w:r>
      <w:r>
        <w:rPr>
          <w:rFonts w:ascii="Noto Serif CJK SC" w:hAnsi="Noto Serif CJK SC" w:eastAsia="Noto Serif CJK SC"/>
          <w:i w:val="0"/>
          <w:color w:val="26323B"/>
          <w:sz w:val="21"/>
        </w:rPr>
        <w:t>快速增殖、侵袭、性发育或应激恢复相关基因，其序列组成会与可用 tRNA、翻译起始强度和营养来源形成可重复的供需结构；不同谱系可能使用不同限制性氨基酸或密码子组，而不是共同依赖 Ile。</w:t>
      </w:r>
    </w:p>
    <w:p>
      <w:pPr>
        <w:pStyle w:val="Body"/>
        <w:spacing w:after="100"/>
        <w:ind w:firstLine="420"/>
        <w:jc w:val="both"/>
        <w:keepLines/>
      </w:pPr>
      <w:r>
        <w:rPr>
          <w:rFonts w:ascii="Noto Serif CJK SC" w:hAnsi="Noto Serif CJK SC" w:eastAsia="Noto Serif CJK SC"/>
          <w:i w:val="0"/>
          <w:color w:val="26323B"/>
          <w:sz w:val="21"/>
        </w:rPr>
        <w:t>在深挖物种中构建阶段表达加权的密码子与氨基酸需求；在有 tRNA abundance、charging 或修饰数据时估计有效解码供给；结合蛋白组、空间蛋白组、复合物动态、Ribo-seq/多核糖体和 mRNA 稳定性，检验残差是否解释 RNA—蛋白不一致、核糖体停顿和应激后的选择性蛋白下降。iScience 研究提出的“氨基酸负荷 × 起始强度”模型将作为可检验框架，而非直接复制的结论[13]。</w:t>
      </w:r>
    </w:p>
    <w:p>
      <w:pPr>
        <w:pStyle w:val="Body"/>
        <w:spacing w:after="100"/>
        <w:ind w:firstLine="420"/>
        <w:jc w:val="both"/>
        <w:keepLines/>
      </w:pPr>
      <w:r>
        <w:rPr>
          <w:rFonts w:ascii="Noto Serif CJK SC" w:hAnsi="Noto Serif CJK SC" w:eastAsia="Noto Serif CJK SC"/>
          <w:i w:val="0"/>
          <w:color w:val="26323B"/>
          <w:sz w:val="21"/>
        </w:rPr>
        <w:t>宿主信息只用于定义可用营养和生命周期环境。血红蛋白组成是第一层近似，但不被视为完整营养通量；当血红蛋白相似性与实际翻译证据冲突时，以寄生虫的阶段组学和扰动结果为准。</w:t>
      </w:r>
    </w:p>
    <w:p>
      <w:pPr>
        <w:pStyle w:val="Body"/>
        <w:spacing w:after="100"/>
        <w:ind w:firstLine="420"/>
        <w:jc w:val="both"/>
        <w:keepLines/>
      </w:pPr>
      <w:r>
        <w:rPr>
          <w:rFonts w:ascii="Noto Sans CJK SC" w:hAnsi="Noto Sans CJK SC" w:eastAsia="Noto Sans CJK SC"/>
          <w:b/>
          <w:color w:val="17324D"/>
          <w:sz w:val="21"/>
        </w:rPr>
        <w:t>预期产出：</w:t>
      </w:r>
      <w:r>
        <w:rPr>
          <w:rFonts w:ascii="Noto Serif CJK SC" w:hAnsi="Noto Serif CJK SC" w:eastAsia="Noto Serif CJK SC"/>
          <w:i w:val="0"/>
          <w:color w:val="26323B"/>
          <w:sz w:val="21"/>
        </w:rPr>
        <w:t>少量跨谱系保守或趋同的“序列—翻译—阶段”模块，以及对应的竞争机制。</w:t>
      </w:r>
    </w:p>
    <w:tbl>
      <w:tblPr>
        <w:tblW w:type="auto" w:w="0"/>
        <w:jc w:val="center"/>
        <w:tblLayout w:type="fixed"/>
        <w:tblLook w:firstColumn="1" w:firstRow="1" w:lastColumn="0" w:lastRow="0" w:noHBand="0" w:noVBand="1" w:val="04A0"/>
      </w:tblPr>
      <w:tblGrid>
        <w:gridCol w:w="181"/>
        <w:gridCol w:w="8787"/>
      </w:tblGrid>
      <w:tr>
        <w:tc>
          <w:tcPr>
            <w:tcW w:type="dxa" w:w="4776"/>
            <w:shd w:fill="2B6F77"/>
            <w:tcMar>
              <w:top w:w="0" w:type="dxa"/>
              <w:start w:w="0" w:type="dxa"/>
              <w:bottom w:w="0" w:type="dxa"/>
              <w:end w:w="0" w:type="dxa"/>
            </w:tcMar>
            <w:tcBorders>
              <w:top w:val="nil"/>
              <w:left w:val="nil"/>
              <w:bottom w:val="nil"/>
              <w:right w:val="nil"/>
            </w:tcBorders>
          </w:tcPr>
          <w:p/>
        </w:tc>
        <w:tc>
          <w:tcPr>
            <w:tcW w:type="dxa" w:w="4776"/>
            <w:shd w:fill="E8F3F2"/>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2B6F77"/>
                <w:sz w:val="21"/>
              </w:rPr>
              <w:t>证据门 C</w:t>
            </w:r>
          </w:p>
          <w:p>
            <w:pPr>
              <w:spacing w:after="0"/>
              <w:jc w:val="left"/>
            </w:pPr>
            <w:r>
              <w:rPr>
                <w:rFonts w:ascii="Noto Serif CJK SC" w:hAnsi="Noto Serif CJK SC" w:eastAsia="Noto Serif CJK SC"/>
                <w:color w:val="26323B"/>
                <w:sz w:val="19"/>
              </w:rPr>
              <w:t>至少需要两类相互独立的功能支持，例如：阶段表达/蛋白输出 + tRNA/核糖体证据，或自然选择 + 药物/营养扰动。若残差只与表达量相关而不预测翻译或表型，不进入机制结论。</w:t>
            </w:r>
          </w:p>
        </w:tc>
      </w:tr>
    </w:tbl>
    <w:p>
      <w:pPr>
        <w:spacing w:after="0"/>
        <w:keepLines/>
      </w:pPr>
    </w:p>
    <w:p>
      <w:pPr>
        <w:pStyle w:val="Heading2"/>
        <w:spacing w:before="180" w:after="100"/>
        <w:keepNext/>
        <w:keepLines/>
      </w:pPr>
      <w:r>
        <w:rPr>
          <w:rFonts w:ascii="Noto Sans CJK SC" w:hAnsi="Noto Sans CJK SC" w:eastAsia="Noto Sans CJK SC"/>
          <w:b/>
          <w:color w:val="2B6F77"/>
          <w:sz w:val="26"/>
        </w:rPr>
        <w:t>Aim 4｜将跨谱系机制转化为可验证的适应性脆弱性</w:t>
      </w:r>
    </w:p>
    <w:p>
      <w:pPr>
        <w:pStyle w:val="Body"/>
        <w:spacing w:after="100"/>
        <w:ind w:firstLine="420"/>
        <w:jc w:val="both"/>
        <w:keepLines/>
      </w:pPr>
      <w:r>
        <w:rPr>
          <w:rFonts w:ascii="Noto Sans CJK SC" w:hAnsi="Noto Sans CJK SC" w:eastAsia="Noto Sans CJK SC"/>
          <w:b/>
          <w:color w:val="17324D"/>
          <w:sz w:val="21"/>
        </w:rPr>
        <w:t>科学问题：</w:t>
      </w:r>
      <w:r>
        <w:rPr>
          <w:rFonts w:ascii="Noto Serif CJK SC" w:hAnsi="Noto Serif CJK SC" w:eastAsia="Noto Serif CJK SC"/>
          <w:i w:val="0"/>
          <w:color w:val="26323B"/>
          <w:sz w:val="21"/>
        </w:rPr>
        <w:t>哪些翻译或序列依赖在寄生虫中不可替代、在宿主中可区分，并与耐药、增殖或传播表型直接相关？</w:t>
      </w:r>
    </w:p>
    <w:p>
      <w:pPr>
        <w:pStyle w:val="Body"/>
        <w:spacing w:after="100"/>
        <w:ind w:firstLine="420"/>
        <w:jc w:val="both"/>
        <w:keepLines/>
      </w:pPr>
      <w:r>
        <w:rPr>
          <w:rFonts w:ascii="Noto Sans CJK SC" w:hAnsi="Noto Sans CJK SC" w:eastAsia="Noto Sans CJK SC"/>
          <w:b/>
          <w:color w:val="17324D"/>
          <w:sz w:val="21"/>
        </w:rPr>
        <w:t>核心假设：</w:t>
      </w:r>
      <w:r>
        <w:rPr>
          <w:rFonts w:ascii="Noto Serif CJK SC" w:hAnsi="Noto Serif CJK SC" w:eastAsia="Noto Serif CJK SC"/>
          <w:i w:val="0"/>
          <w:color w:val="26323B"/>
          <w:sz w:val="21"/>
        </w:rPr>
        <w:t>真正有转化价值的候选不是“氨基酸偏好很强的蛋白”，而是处于高阶段需求、供给受限、遗传必需、寄生虫特异和低逃逸能力交集的节点。</w:t>
      </w:r>
    </w:p>
    <w:p>
      <w:pPr>
        <w:pStyle w:val="Body"/>
        <w:spacing w:after="100"/>
        <w:ind w:firstLine="420"/>
        <w:jc w:val="both"/>
        <w:keepLines/>
      </w:pPr>
      <w:r>
        <w:rPr>
          <w:rFonts w:ascii="Noto Serif CJK SC" w:hAnsi="Noto Serif CJK SC" w:eastAsia="Noto Serif CJK SC"/>
          <w:i w:val="0"/>
          <w:color w:val="26323B"/>
          <w:sz w:val="21"/>
        </w:rPr>
        <w:t>候选将按机制类别而非长列表组织：tRNA 修饰/成熟与 charging、aaRS、营养和肽转运、翻译起始/核糖体质量控制、蛋白稳态，以及高限制性需求的关键通路。随后与全基因组必需性[28–30]、体外药物进化[27,31]、群体选择[10–12]、原位结构和空间定位[24,25,39]交叉验证。</w:t>
      </w:r>
    </w:p>
    <w:p>
      <w:pPr>
        <w:pStyle w:val="Body"/>
        <w:spacing w:after="100"/>
        <w:ind w:firstLine="420"/>
        <w:jc w:val="both"/>
        <w:keepLines/>
      </w:pPr>
      <w:r>
        <w:rPr>
          <w:rFonts w:ascii="Noto Serif CJK SC" w:hAnsi="Noto Serif CJK SC" w:eastAsia="Noto Serif CJK SC"/>
          <w:i w:val="0"/>
          <w:color w:val="26323B"/>
          <w:sz w:val="21"/>
        </w:rPr>
        <w:t>转化输出还应评估“进化逃逸责任”：在谱系特异突变谱和密码子背景下，候选位点通过单碱基变化到达可存活耐药替换的难易程度。该分析不取代药物开发，但可帮助优先选择更难通过常见突变路径逃逸的机制节点。</w:t>
      </w:r>
    </w:p>
    <w:p>
      <w:pPr>
        <w:pStyle w:val="Body"/>
        <w:spacing w:after="100"/>
        <w:ind w:firstLine="420"/>
        <w:jc w:val="both"/>
        <w:keepLines/>
      </w:pPr>
      <w:r>
        <w:rPr>
          <w:rFonts w:ascii="Noto Sans CJK SC" w:hAnsi="Noto Sans CJK SC" w:eastAsia="Noto Sans CJK SC"/>
          <w:b/>
          <w:color w:val="17324D"/>
          <w:sz w:val="21"/>
        </w:rPr>
        <w:t>预期产出：</w:t>
      </w:r>
      <w:r>
        <w:rPr>
          <w:rFonts w:ascii="Noto Serif CJK SC" w:hAnsi="Noto Serif CJK SC" w:eastAsia="Noto Serif CJK SC"/>
          <w:i w:val="0"/>
          <w:color w:val="26323B"/>
          <w:sz w:val="21"/>
        </w:rPr>
        <w:t>1–3 个具有清晰因果模型的机制节点、相应适用物种/阶段和可选择的升级验证；不承诺形成临床靶点。</w:t>
      </w:r>
    </w:p>
    <w:tbl>
      <w:tblPr>
        <w:tblW w:type="auto" w:w="0"/>
        <w:jc w:val="center"/>
        <w:tblLayout w:type="fixed"/>
        <w:tblLook w:firstColumn="1" w:firstRow="1" w:lastColumn="0" w:lastRow="0" w:noHBand="0" w:noVBand="1" w:val="04A0"/>
      </w:tblPr>
      <w:tblGrid>
        <w:gridCol w:w="181"/>
        <w:gridCol w:w="8787"/>
      </w:tblGrid>
      <w:tr>
        <w:tc>
          <w:tcPr>
            <w:tcW w:type="dxa" w:w="4776"/>
            <w:shd w:fill="6B4C87"/>
            <w:tcMar>
              <w:top w:w="0" w:type="dxa"/>
              <w:start w:w="0" w:type="dxa"/>
              <w:bottom w:w="0" w:type="dxa"/>
              <w:end w:w="0" w:type="dxa"/>
            </w:tcMar>
            <w:tcBorders>
              <w:top w:val="nil"/>
              <w:left w:val="nil"/>
              <w:bottom w:val="nil"/>
              <w:right w:val="nil"/>
            </w:tcBorders>
          </w:tcPr>
          <w:p/>
        </w:tc>
        <w:tc>
          <w:tcPr>
            <w:tcW w:type="dxa" w:w="4776"/>
            <w:shd w:fill="F2EEF7"/>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6B4C87"/>
                <w:sz w:val="21"/>
              </w:rPr>
              <w:t>证据门 D</w:t>
            </w:r>
          </w:p>
          <w:p>
            <w:pPr>
              <w:spacing w:after="0"/>
              <w:jc w:val="left"/>
            </w:pPr>
            <w:r>
              <w:rPr>
                <w:rFonts w:ascii="Noto Serif CJK SC" w:hAnsi="Noto Serif CJK SC" w:eastAsia="Noto Serif CJK SC"/>
                <w:color w:val="26323B"/>
                <w:sz w:val="19"/>
              </w:rPr>
              <w:t>只有当一个候选同时满足“跨层级残差、独立功能证据、寄生虫生物学重要性和明确竞争机制”时，才讨论新增湿实验。实验目标是区分机制，不是简单重复表型。</w:t>
            </w:r>
          </w:p>
        </w:tc>
      </w:tr>
    </w:tbl>
    <w:p>
      <w:pPr>
        <w:spacing w:after="0"/>
        <w:keepLines/>
      </w:pPr>
    </w:p>
    <w:p>
      <w:pPr>
        <w:pStyle w:val="Heading1"/>
        <w:spacing w:before="240" w:after="140"/>
        <w:pBdr>
          <w:bottom w:val="single" w:sz="12" w:space="4" w:color="A43B3B"/>
        </w:pBdr>
        <w:keepNext/>
        <w:keepLines/>
      </w:pPr>
      <w:r>
        <w:rPr>
          <w:rFonts w:ascii="Noto Sans CJK SC" w:hAnsi="Noto Sans CJK SC" w:eastAsia="Noto Sans CJK SC"/>
          <w:b/>
          <w:color w:val="17324D"/>
          <w:sz w:val="33"/>
        </w:rPr>
        <w:t>8. 上层技术路线与证据门</w:t>
      </w:r>
    </w:p>
    <w:p>
      <w:pPr>
        <w:spacing w:before="80"/>
        <w:jc w:val="center"/>
        <w:keepLines/>
      </w:pPr>
      <w:r>
        <w:drawing>
          <wp:inline xmlns:a="http://schemas.openxmlformats.org/drawingml/2006/main" xmlns:pic="http://schemas.openxmlformats.org/drawingml/2006/picture">
            <wp:extent cx="5796000" cy="3766631"/>
            <wp:docPr id="2" name="Picture 2"/>
            <wp:cNvGraphicFramePr>
              <a:graphicFrameLocks noChangeAspect="1"/>
            </wp:cNvGraphicFramePr>
            <a:graphic>
              <a:graphicData uri="http://schemas.openxmlformats.org/drawingml/2006/picture">
                <pic:pic>
                  <pic:nvPicPr>
                    <pic:cNvPr id="0" name="plasmodium_evidence_gated_route.png"/>
                    <pic:cNvPicPr/>
                  </pic:nvPicPr>
                  <pic:blipFill>
                    <a:blip r:embed="rId12"/>
                    <a:stretch>
                      <a:fillRect/>
                    </a:stretch>
                  </pic:blipFill>
                  <pic:spPr>
                    <a:xfrm>
                      <a:off x="0" y="0"/>
                      <a:ext cx="5796000" cy="3766631"/>
                    </a:xfrm>
                    <a:prstGeom prst="rect"/>
                  </pic:spPr>
                </pic:pic>
              </a:graphicData>
            </a:graphic>
          </wp:inline>
        </w:drawing>
      </w:r>
    </w:p>
    <w:p>
      <w:pPr>
        <w:spacing w:after="140"/>
        <w:jc w:val="center"/>
        <w:keepLines/>
      </w:pPr>
      <w:r>
        <w:rPr>
          <w:rFonts w:ascii="Noto Sans CJK SC" w:hAnsi="Noto Sans CJK SC" w:eastAsia="Noto Sans CJK SC"/>
          <w:i w:val="0"/>
          <w:color w:val="6C7883"/>
          <w:sz w:val="17"/>
        </w:rPr>
        <w:t>图 2｜证据门驱动的项目路线。每一阶段都允许收缩、转向或停止外推；新增湿实验属于条件性升级，不是项目启动的先决条件。</w:t>
      </w:r>
    </w:p>
    <w:p>
      <w:pPr>
        <w:pStyle w:val="Heading2"/>
        <w:spacing w:before="180" w:after="100"/>
        <w:keepNext/>
        <w:keepLines/>
      </w:pPr>
      <w:r>
        <w:rPr>
          <w:rFonts w:ascii="Noto Sans CJK SC" w:hAnsi="Noto Sans CJK SC" w:eastAsia="Noto Sans CJK SC"/>
          <w:b/>
          <w:color w:val="2B6F77"/>
          <w:sz w:val="26"/>
        </w:rPr>
        <w:t>8.1 路线的五个工作包</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757"/>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工作包</w:t>
            </w:r>
          </w:p>
        </w:tc>
        <w:tc>
          <w:tcPr>
            <w:tcW w:type="dxa" w:w="4592"/>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上层任务</w:t>
            </w:r>
          </w:p>
        </w:tc>
        <w:tc>
          <w:tcPr>
            <w:tcW w:type="dxa" w:w="294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核心产出</w:t>
            </w:r>
          </w:p>
        </w:tc>
      </w:tr>
      <w:tr>
        <w:trPr>
          <w:cantSplit/>
        </w:trPr>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WP0｜问题与数据审计</w:t>
            </w:r>
          </w:p>
        </w:tc>
        <w:tc>
          <w:tcPr>
            <w:tcW w:type="dxa" w:w="459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确定可推断边界、物种面板、系统发育独立性、组装/注释可信度和可用公共组学。</w:t>
            </w:r>
          </w:p>
        </w:tc>
        <w:tc>
          <w:tcPr>
            <w:tcW w:type="dxa" w:w="294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物种—数据—证据矩阵；不合格物种降级或剔除。</w:t>
            </w:r>
          </w:p>
        </w:tc>
      </w:tr>
      <w:tr>
        <w:trPr>
          <w:cantSplit/>
        </w:trPr>
        <w:tc>
          <w:tcPr>
            <w:tcW w:type="dxa" w:w="17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WP1｜组成演化</w:t>
            </w:r>
          </w:p>
        </w:tc>
        <w:tc>
          <w:tcPr>
            <w:tcW w:type="dxa" w:w="459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建立基因组区室和祖先状态图谱，识别独立组成转换。</w:t>
            </w:r>
          </w:p>
        </w:tc>
        <w:tc>
          <w:tcPr>
            <w:tcW w:type="dxa" w:w="294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Figure 1 的谱系—组成主图与可信对照。</w:t>
            </w:r>
          </w:p>
        </w:tc>
      </w:tr>
      <w:tr>
        <w:trPr>
          <w:cantSplit/>
        </w:trPr>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WP2｜跨层分解</w:t>
            </w:r>
          </w:p>
        </w:tc>
        <w:tc>
          <w:tcPr>
            <w:tcW w:type="dxa" w:w="459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构建同义与氨基酸反事实，量化可解释部分和稳定残差。</w:t>
            </w:r>
          </w:p>
        </w:tc>
        <w:tc>
          <w:tcPr>
            <w:tcW w:type="dxa" w:w="294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项目最关键的机制筛选层。</w:t>
            </w:r>
          </w:p>
        </w:tc>
      </w:tr>
      <w:tr>
        <w:trPr>
          <w:cantSplit/>
        </w:trPr>
        <w:tc>
          <w:tcPr>
            <w:tcW w:type="dxa" w:w="17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WP3｜功能整合</w:t>
            </w:r>
          </w:p>
        </w:tc>
        <w:tc>
          <w:tcPr>
            <w:tcW w:type="dxa" w:w="459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在少数物种整合阶段表达、翻译、蛋白、必需性和扰动数据。</w:t>
            </w:r>
          </w:p>
        </w:tc>
        <w:tc>
          <w:tcPr>
            <w:tcW w:type="dxa" w:w="294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将“残差”升级或淘汰为功能候选。</w:t>
            </w:r>
          </w:p>
        </w:tc>
      </w:tr>
      <w:tr>
        <w:trPr>
          <w:cantSplit/>
        </w:trPr>
        <w:tc>
          <w:tcPr>
            <w:tcW w:type="dxa" w:w="17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WP4｜机制与转化</w:t>
            </w:r>
          </w:p>
        </w:tc>
        <w:tc>
          <w:tcPr>
            <w:tcW w:type="dxa" w:w="459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形成少量机制模型、逃逸评估和条件性验证选择。</w:t>
            </w:r>
          </w:p>
        </w:tc>
        <w:tc>
          <w:tcPr>
            <w:tcW w:type="dxa" w:w="294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Nature Microbiology 叙事或预设转向。</w:t>
            </w:r>
          </w:p>
        </w:tc>
      </w:tr>
    </w:tbl>
    <w:p>
      <w:pPr>
        <w:spacing w:after="0"/>
        <w:keepLines/>
      </w:pPr>
    </w:p>
    <w:p>
      <w:pPr>
        <w:pStyle w:val="Heading2"/>
        <w:spacing w:before="180" w:after="100"/>
        <w:keepNext/>
        <w:keepLines/>
      </w:pPr>
      <w:r>
        <w:rPr>
          <w:rFonts w:ascii="Noto Sans CJK SC" w:hAnsi="Noto Sans CJK SC" w:eastAsia="Noto Sans CJK SC"/>
          <w:b/>
          <w:color w:val="2B6F77"/>
          <w:sz w:val="26"/>
        </w:rPr>
        <w:t>8.2 推断链必须逐级闭合</w:t>
      </w:r>
    </w:p>
    <w:p>
      <w:pPr>
        <w:pStyle w:val="Numbered"/>
        <w:spacing w:after="80"/>
        <w:ind w:left="454" w:hanging="283"/>
        <w:keepLines/>
      </w:pPr>
      <w:r>
        <w:rPr>
          <w:rFonts w:ascii="Noto Serif CJK SC" w:hAnsi="Noto Serif CJK SC" w:eastAsia="Noto Serif CJK SC"/>
          <w:color w:val="26323B"/>
          <w:sz w:val="20"/>
        </w:rPr>
        <w:t>1. 证明某个组成现象真实存在，并排除组装、注释和低复杂度伪影。</w:t>
      </w:r>
    </w:p>
    <w:p>
      <w:pPr>
        <w:pStyle w:val="Numbered"/>
        <w:spacing w:after="80"/>
        <w:ind w:left="454" w:hanging="283"/>
        <w:keepLines/>
      </w:pPr>
      <w:r>
        <w:rPr>
          <w:rFonts w:ascii="Noto Serif CJK SC" w:hAnsi="Noto Serif CJK SC" w:eastAsia="Noto Serif CJK SC"/>
          <w:color w:val="26323B"/>
          <w:sz w:val="20"/>
        </w:rPr>
        <w:t>2. 证明该现象不能被系统发育和局部碱基背景充分解释。</w:t>
      </w:r>
    </w:p>
    <w:p>
      <w:pPr>
        <w:pStyle w:val="Numbered"/>
        <w:spacing w:after="80"/>
        <w:ind w:left="454" w:hanging="283"/>
        <w:keepLines/>
      </w:pPr>
      <w:r>
        <w:rPr>
          <w:rFonts w:ascii="Noto Serif CJK SC" w:hAnsi="Noto Serif CJK SC" w:eastAsia="Noto Serif CJK SC"/>
          <w:color w:val="26323B"/>
          <w:sz w:val="20"/>
        </w:rPr>
        <w:t>3. 证明残差与同源功能、结构区室或生态变量存在可重复关系。</w:t>
      </w:r>
    </w:p>
    <w:p>
      <w:pPr>
        <w:pStyle w:val="Numbered"/>
        <w:spacing w:after="80"/>
        <w:ind w:left="454" w:hanging="283"/>
        <w:keepLines/>
      </w:pPr>
      <w:r>
        <w:rPr>
          <w:rFonts w:ascii="Noto Serif CJK SC" w:hAnsi="Noto Serif CJK SC" w:eastAsia="Noto Serif CJK SC"/>
          <w:color w:val="26323B"/>
          <w:sz w:val="20"/>
        </w:rPr>
        <w:t>4. 证明残差能预测独立的 RNA、翻译、蛋白或自然选择证据。</w:t>
      </w:r>
    </w:p>
    <w:p>
      <w:pPr>
        <w:pStyle w:val="Numbered"/>
        <w:spacing w:after="80"/>
        <w:ind w:left="454" w:hanging="283"/>
        <w:keepLines/>
      </w:pPr>
      <w:r>
        <w:rPr>
          <w:rFonts w:ascii="Noto Serif CJK SC" w:hAnsi="Noto Serif CJK SC" w:eastAsia="Noto Serif CJK SC"/>
          <w:color w:val="26323B"/>
          <w:sz w:val="20"/>
        </w:rPr>
        <w:t>5. 只有在存在明确表型和竞争机制时，讨论适应和可转化脆弱性。</w:t>
      </w:r>
    </w:p>
    <w:tbl>
      <w:tblPr>
        <w:tblW w:type="auto" w:w="0"/>
        <w:jc w:val="center"/>
        <w:tblLayout w:type="autofit"/>
        <w:tblLook w:firstColumn="1" w:firstRow="1" w:lastColumn="0" w:lastRow="0" w:noHBand="0" w:noVBand="1" w:val="04A0"/>
      </w:tblPr>
      <w:tblGrid>
        <w:gridCol w:w="9553"/>
      </w:tblGrid>
      <w:tr>
        <w:tc>
          <w:tcPr>
            <w:tcW w:type="dxa" w:w="9553"/>
            <w:shd w:fill="F7F8FA"/>
            <w:tcMar>
              <w:top w:w="120" w:type="dxa"/>
              <w:start w:w="160" w:type="dxa"/>
              <w:bottom w:w="120" w:type="dxa"/>
              <w:end w:w="160" w:type="dxa"/>
            </w:tcMar>
            <w:tcBorders>
              <w:top w:val="single" w:sz="4" w:color="D6DDE3"/>
              <w:left w:val="single" w:sz="4" w:color="D6DDE3"/>
              <w:bottom w:val="single" w:sz="4" w:color="D6DDE3"/>
              <w:right w:val="single" w:sz="4" w:color="D6DDE3"/>
            </w:tcBorders>
          </w:tcPr>
          <w:p>
            <w:pPr>
              <w:spacing w:after="120"/>
              <w:jc w:val="both"/>
            </w:pPr>
            <w:r>
              <w:rPr>
                <w:rFonts w:ascii="Noto Sans CJK SC" w:hAnsi="Noto Sans CJK SC" w:eastAsia="Noto Sans CJK SC"/>
                <w:i w:val="0"/>
                <w:color w:val="6C7883"/>
                <w:sz w:val="18"/>
              </w:rPr>
              <w:t>任何阶段都不允许从“相关”直接跳到“宿主营养适应”或“可药靶点”。最短路线不是省略中间层，而是使用最少但足够的证据跨越每一层。</w:t>
            </w:r>
          </w:p>
        </w:tc>
      </w:tr>
    </w:tbl>
    <w:p>
      <w:pPr>
        <w:pStyle w:val="Heading1"/>
        <w:spacing w:before="240" w:after="140"/>
        <w:pBdr>
          <w:bottom w:val="single" w:sz="12" w:space="4" w:color="A43B3B"/>
        </w:pBdr>
        <w:keepNext/>
        <w:keepLines/>
      </w:pPr>
      <w:r>
        <w:rPr>
          <w:rFonts w:ascii="Noto Sans CJK SC" w:hAnsi="Noto Sans CJK SC" w:eastAsia="Noto Sans CJK SC"/>
          <w:b/>
          <w:color w:val="17324D"/>
          <w:sz w:val="33"/>
        </w:rPr>
        <w:t>9. 条件性升级验证体系</w:t>
      </w:r>
    </w:p>
    <w:p>
      <w:pPr>
        <w:pStyle w:val="Heading2"/>
        <w:spacing w:before="180" w:after="100"/>
        <w:keepNext/>
        <w:keepLines/>
      </w:pPr>
      <w:r>
        <w:rPr>
          <w:rFonts w:ascii="Noto Sans CJK SC" w:hAnsi="Noto Sans CJK SC" w:eastAsia="Noto Sans CJK SC"/>
          <w:b/>
          <w:color w:val="2B6F77"/>
          <w:sz w:val="26"/>
        </w:rPr>
        <w:t>9.1 验证不是固定实验清单，而是证据升级梯子</w:t>
      </w:r>
    </w:p>
    <w:tbl>
      <w:tblPr>
        <w:tblW w:type="auto" w:w="0"/>
        <w:jc w:val="center"/>
        <w:tblLayout w:type="fixed"/>
        <w:tblLook w:firstColumn="1" w:firstRow="1" w:lastColumn="0" w:lastRow="0" w:noHBand="0" w:noVBand="1" w:val="04A0"/>
      </w:tblPr>
      <w:tblGrid>
        <w:gridCol w:w="2388"/>
        <w:gridCol w:w="2388"/>
        <w:gridCol w:w="2388"/>
        <w:gridCol w:w="2388"/>
      </w:tblGrid>
      <w:tr>
        <w:trPr>
          <w:tblHeader w:val="true"/>
          <w:cantSplit/>
        </w:trPr>
        <w:tc>
          <w:tcPr>
            <w:tcW w:type="dxa" w:w="136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层级</w:t>
            </w:r>
          </w:p>
        </w:tc>
        <w:tc>
          <w:tcPr>
            <w:tcW w:type="dxa" w:w="3855"/>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证据形式</w:t>
            </w:r>
          </w:p>
        </w:tc>
        <w:tc>
          <w:tcPr>
            <w:tcW w:type="dxa" w:w="2835"/>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目的</w:t>
            </w:r>
          </w:p>
        </w:tc>
        <w:tc>
          <w:tcPr>
            <w:tcW w:type="dxa" w:w="1417"/>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项目地位</w:t>
            </w:r>
          </w:p>
        </w:tc>
      </w:tr>
      <w:tr>
        <w:trPr>
          <w:cantSplit/>
        </w:trPr>
        <w:tc>
          <w:tcPr>
            <w:tcW w:type="dxa" w:w="136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L0｜内部稳健性</w:t>
            </w:r>
          </w:p>
        </w:tc>
        <w:tc>
          <w:tcPr>
            <w:tcW w:type="dxa" w:w="385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替代注释、低复杂度屏蔽、不同同源定义、不同系统发育/零模型、留一谱系验证。</w:t>
            </w:r>
          </w:p>
        </w:tc>
        <w:tc>
          <w:tcPr>
            <w:tcW w:type="dxa" w:w="28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排除分析选择造成的假信号。</w:t>
            </w:r>
          </w:p>
        </w:tc>
        <w:tc>
          <w:tcPr>
            <w:tcW w:type="dxa" w:w="141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必需</w:t>
            </w:r>
          </w:p>
        </w:tc>
      </w:tr>
      <w:tr>
        <w:trPr>
          <w:cantSplit/>
        </w:trPr>
        <w:tc>
          <w:tcPr>
            <w:tcW w:type="dxa" w:w="136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L1｜公开正交组学</w:t>
            </w:r>
          </w:p>
        </w:tc>
        <w:tc>
          <w:tcPr>
            <w:tcW w:type="dxa" w:w="385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独立转录组、蛋白组、空间定位、复合物组、tRNA/翻译数据。</w:t>
            </w:r>
          </w:p>
        </w:tc>
        <w:tc>
          <w:tcPr>
            <w:tcW w:type="dxa" w:w="28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证明残差具有生物层面的外部可重复性。</w:t>
            </w:r>
          </w:p>
        </w:tc>
        <w:tc>
          <w:tcPr>
            <w:tcW w:type="dxa" w:w="141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必需，允许物种不齐全</w:t>
            </w:r>
          </w:p>
        </w:tc>
      </w:tr>
      <w:tr>
        <w:trPr>
          <w:cantSplit/>
        </w:trPr>
        <w:tc>
          <w:tcPr>
            <w:tcW w:type="dxa" w:w="136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L2｜自然或既有扰动</w:t>
            </w:r>
          </w:p>
        </w:tc>
        <w:tc>
          <w:tcPr>
            <w:tcW w:type="dxa" w:w="385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群体选择、药物进化、耐药株、营养应激、必需性筛选、自然宿主/阶段对照。</w:t>
            </w:r>
          </w:p>
        </w:tc>
        <w:tc>
          <w:tcPr>
            <w:tcW w:type="dxa" w:w="28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把关联推进到选择或表型。</w:t>
            </w:r>
          </w:p>
        </w:tc>
        <w:tc>
          <w:tcPr>
            <w:tcW w:type="dxa" w:w="141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Nature Microbiology 强烈需要</w:t>
            </w:r>
          </w:p>
        </w:tc>
      </w:tr>
      <w:tr>
        <w:trPr>
          <w:cantSplit/>
        </w:trPr>
        <w:tc>
          <w:tcPr>
            <w:tcW w:type="dxa" w:w="136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L3｜最小新增湿实验</w:t>
            </w:r>
          </w:p>
        </w:tc>
        <w:tc>
          <w:tcPr>
            <w:tcW w:type="dxa" w:w="385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同义重编码、ortholog replacement、目标 tRNA/aaRS/转运节点扰动、营养×药物交互或 reporter。</w:t>
            </w:r>
          </w:p>
        </w:tc>
        <w:tc>
          <w:tcPr>
            <w:tcW w:type="dxa" w:w="28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区分两个具体竞争机制，补足因果链。</w:t>
            </w:r>
          </w:p>
        </w:tc>
        <w:tc>
          <w:tcPr>
            <w:tcW w:type="dxa" w:w="141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仅触发时进行</w:t>
            </w:r>
          </w:p>
        </w:tc>
      </w:tr>
      <w:tr>
        <w:trPr>
          <w:cantSplit/>
        </w:trPr>
        <w:tc>
          <w:tcPr>
            <w:tcW w:type="dxa" w:w="136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L4｜扩展验证</w:t>
            </w:r>
          </w:p>
        </w:tc>
        <w:tc>
          <w:tcPr>
            <w:tcW w:type="dxa" w:w="385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第二物种、体内/传播或野外来源寄生虫。</w:t>
            </w:r>
          </w:p>
        </w:tc>
        <w:tc>
          <w:tcPr>
            <w:tcW w:type="dxa" w:w="28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把单物种机制提升为广泛原则或公共卫生结论。</w:t>
            </w:r>
          </w:p>
        </w:tc>
        <w:tc>
          <w:tcPr>
            <w:tcW w:type="dxa" w:w="141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仅在主结果足够强时</w:t>
            </w:r>
          </w:p>
        </w:tc>
      </w:tr>
    </w:tbl>
    <w:p>
      <w:pPr>
        <w:spacing w:after="0"/>
        <w:keepLines/>
      </w:pPr>
    </w:p>
    <w:p>
      <w:pPr>
        <w:pStyle w:val="Heading2"/>
        <w:spacing w:before="180" w:after="100"/>
        <w:keepNext/>
        <w:keepLines/>
      </w:pPr>
      <w:r>
        <w:rPr>
          <w:rFonts w:ascii="Noto Sans CJK SC" w:hAnsi="Noto Sans CJK SC" w:eastAsia="Noto Sans CJK SC"/>
          <w:b/>
          <w:color w:val="2B6F77"/>
          <w:sz w:val="26"/>
        </w:rPr>
        <w:t>9.2 可选验证类型及触发条件</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215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验证类型</w:t>
            </w:r>
          </w:p>
        </w:tc>
        <w:tc>
          <w:tcPr>
            <w:tcW w:type="dxa" w:w="379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触发条件</w:t>
            </w:r>
          </w:p>
        </w:tc>
        <w:tc>
          <w:tcPr>
            <w:tcW w:type="dxa" w:w="3515"/>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可回答的问题</w:t>
            </w:r>
          </w:p>
        </w:tc>
      </w:tr>
      <w:tr>
        <w:trPr>
          <w:cantSplit/>
        </w:trPr>
        <w:tc>
          <w:tcPr>
            <w:tcW w:type="dxa" w:w="215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同义重编码</w:t>
            </w:r>
          </w:p>
        </w:tc>
        <w:tc>
          <w:tcPr>
            <w:tcW w:type="dxa" w:w="379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同一蛋白、不同密码子背景的预测能显著区分翻译/药物表型。</w:t>
            </w:r>
          </w:p>
        </w:tc>
        <w:tc>
          <w:tcPr>
            <w:tcW w:type="dxa" w:w="351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直接证明 DNA 编码层而非蛋白序列本身造成效应。</w:t>
            </w:r>
          </w:p>
        </w:tc>
      </w:tr>
      <w:tr>
        <w:trPr>
          <w:cantSplit/>
        </w:trPr>
        <w:tc>
          <w:tcPr>
            <w:tcW w:type="dxa" w:w="215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跨物种 ortholog replacement</w:t>
            </w:r>
          </w:p>
        </w:tc>
        <w:tc>
          <w:tcPr>
            <w:tcW w:type="dxa" w:w="379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候选差异集中于可交换的保守蛋白或结构域，且两个物种药敏/适应存在明确反差。</w:t>
            </w:r>
          </w:p>
        </w:tc>
        <w:tc>
          <w:tcPr>
            <w:tcW w:type="dxa" w:w="351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验证谱系序列差异是否具有可迁移的功能。</w:t>
            </w:r>
          </w:p>
        </w:tc>
      </w:tr>
      <w:tr>
        <w:trPr>
          <w:cantSplit/>
        </w:trPr>
        <w:tc>
          <w:tcPr>
            <w:tcW w:type="dxa" w:w="215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tRNA 修饰/aaRS/转运节点扰动</w:t>
            </w:r>
          </w:p>
        </w:tc>
        <w:tc>
          <w:tcPr>
            <w:tcW w:type="dxa" w:w="379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残差与特定解码或营养供给节点形成一致供需模型。</w:t>
            </w:r>
          </w:p>
        </w:tc>
        <w:tc>
          <w:tcPr>
            <w:tcW w:type="dxa" w:w="351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验证翻译供给端是否是必要机制。</w:t>
            </w:r>
          </w:p>
        </w:tc>
      </w:tr>
      <w:tr>
        <w:trPr>
          <w:cantSplit/>
        </w:trPr>
        <w:tc>
          <w:tcPr>
            <w:tcW w:type="dxa" w:w="215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营养×药物应激</w:t>
            </w:r>
          </w:p>
        </w:tc>
        <w:tc>
          <w:tcPr>
            <w:tcW w:type="dxa" w:w="379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候选机制预测营养状态会改变耐药或恢复。</w:t>
            </w:r>
          </w:p>
        </w:tc>
        <w:tc>
          <w:tcPr>
            <w:tcW w:type="dxa" w:w="351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连接组成、代谢与临床相关药物压力。</w:t>
            </w:r>
          </w:p>
        </w:tc>
      </w:tr>
      <w:tr>
        <w:trPr>
          <w:cantSplit/>
        </w:trPr>
        <w:tc>
          <w:tcPr>
            <w:tcW w:type="dxa" w:w="215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起始强度×氨基酸负荷 reporter</w:t>
            </w:r>
          </w:p>
        </w:tc>
        <w:tc>
          <w:tcPr>
            <w:tcW w:type="dxa" w:w="379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模型预测核糖体停顿与碰撞取决于起始/延伸耦合。</w:t>
            </w:r>
          </w:p>
        </w:tc>
        <w:tc>
          <w:tcPr>
            <w:tcW w:type="dxa" w:w="351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区分“停顿导致稳定”与“碰撞导致降解”等竞争模型。</w:t>
            </w:r>
          </w:p>
        </w:tc>
      </w:tr>
      <w:tr>
        <w:trPr>
          <w:cantSplit/>
        </w:trPr>
        <w:tc>
          <w:tcPr>
            <w:tcW w:type="dxa" w:w="215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第二物种验证</w:t>
            </w:r>
          </w:p>
        </w:tc>
        <w:tc>
          <w:tcPr>
            <w:tcW w:type="dxa" w:w="379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主张依赖跨谱系普遍性，而公开数据不能排除单物种特例。</w:t>
            </w:r>
          </w:p>
        </w:tc>
        <w:tc>
          <w:tcPr>
            <w:tcW w:type="dxa" w:w="351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使结论从 P. falciparum 机制升级为 Plasmodium 原则。</w:t>
            </w:r>
          </w:p>
        </w:tc>
      </w:tr>
    </w:tbl>
    <w:p>
      <w:pPr>
        <w:spacing w:after="0"/>
        <w:keepLines/>
      </w:pPr>
    </w:p>
    <w:tbl>
      <w:tblPr>
        <w:tblW w:type="auto" w:w="0"/>
        <w:jc w:val="center"/>
        <w:tblLayout w:type="fixed"/>
        <w:tblLook w:firstColumn="1" w:firstRow="1" w:lastColumn="0" w:lastRow="0" w:noHBand="0" w:noVBand="1" w:val="04A0"/>
      </w:tblPr>
      <w:tblGrid>
        <w:gridCol w:w="181"/>
        <w:gridCol w:w="8787"/>
      </w:tblGrid>
      <w:tr>
        <w:tc>
          <w:tcPr>
            <w:tcW w:type="dxa" w:w="4776"/>
            <w:shd w:fill="A43B3B"/>
            <w:tcMar>
              <w:top w:w="0" w:type="dxa"/>
              <w:start w:w="0" w:type="dxa"/>
              <w:bottom w:w="0" w:type="dxa"/>
              <w:end w:w="0" w:type="dxa"/>
            </w:tcMar>
            <w:tcBorders>
              <w:top w:val="nil"/>
              <w:left w:val="nil"/>
              <w:bottom w:val="nil"/>
              <w:right w:val="nil"/>
            </w:tcBorders>
          </w:tcPr>
          <w:p/>
        </w:tc>
        <w:tc>
          <w:tcPr>
            <w:tcW w:type="dxa" w:w="4776"/>
            <w:shd w:fill="F7ECEC"/>
            <w:tcMar>
              <w:top w:w="160" w:type="dxa"/>
              <w:start w:w="190" w:type="dxa"/>
              <w:bottom w:w="160" w:type="dxa"/>
              <w:end w:w="190" w:type="dxa"/>
            </w:tcMar>
            <w:tcBorders>
              <w:top w:val="nil"/>
              <w:left w:val="nil"/>
              <w:bottom w:val="nil"/>
              <w:right w:val="nil"/>
            </w:tcBorders>
          </w:tcPr>
          <w:p>
            <w:pPr>
              <w:spacing w:after="60"/>
            </w:pPr>
            <w:r>
              <w:rPr>
                <w:rFonts w:ascii="Noto Sans CJK SC" w:hAnsi="Noto Sans CJK SC" w:eastAsia="Noto Sans CJK SC"/>
                <w:b/>
                <w:color w:val="A43B3B"/>
                <w:sz w:val="21"/>
              </w:rPr>
              <w:t>现实判断</w:t>
            </w:r>
          </w:p>
          <w:p>
            <w:pPr>
              <w:spacing w:after="0"/>
              <w:jc w:val="left"/>
            </w:pPr>
            <w:r>
              <w:rPr>
                <w:rFonts w:ascii="Noto Serif CJK SC" w:hAnsi="Noto Serif CJK SC" w:eastAsia="Noto Serif CJK SC"/>
                <w:color w:val="26323B"/>
                <w:sz w:val="19"/>
              </w:rPr>
              <w:t>纯计算结果并非原则上不能进入 Nature Microbiology，但对本课题而言，若最终主张涉及“序列组成造成翻译/耐药功能”，至少一个直接扰动或等价强度的自然实验通常会显著提高可信度。方案将其保留为条件性升级，而不是一开始承诺大规模实验。</w:t>
            </w:r>
          </w:p>
        </w:tc>
      </w:tr>
    </w:tbl>
    <w:p>
      <w:pPr>
        <w:spacing w:after="0"/>
        <w:keepLines/>
      </w:pPr>
    </w:p>
    <w:p>
      <w:pPr>
        <w:pStyle w:val="Heading1"/>
        <w:spacing w:before="240" w:after="140"/>
        <w:pBdr>
          <w:bottom w:val="single" w:sz="12" w:space="4" w:color="A43B3B"/>
        </w:pBdr>
        <w:keepNext/>
        <w:keepLines/>
      </w:pPr>
      <w:r>
        <w:rPr>
          <w:rFonts w:ascii="Noto Sans CJK SC" w:hAnsi="Noto Sans CJK SC" w:eastAsia="Noto Sans CJK SC"/>
          <w:b/>
          <w:color w:val="17324D"/>
          <w:sz w:val="33"/>
        </w:rPr>
        <w:t>10. 推断原则与模型边界</w:t>
      </w:r>
    </w:p>
    <w:tbl>
      <w:tblPr>
        <w:tblW w:type="auto" w:w="0"/>
        <w:jc w:val="center"/>
        <w:tblLayout w:type="fixed"/>
        <w:tblLook w:firstColumn="1" w:firstRow="1" w:lastColumn="0" w:lastRow="0" w:noHBand="0" w:noVBand="1" w:val="04A0"/>
      </w:tblPr>
      <w:tblGrid>
        <w:gridCol w:w="4776"/>
        <w:gridCol w:w="4776"/>
      </w:tblGrid>
      <w:tr>
        <w:trPr>
          <w:tblHeader w:val="true"/>
          <w:cantSplit/>
        </w:trPr>
        <w:tc>
          <w:tcPr>
            <w:tcW w:type="dxa" w:w="232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原则</w:t>
            </w:r>
          </w:p>
        </w:tc>
        <w:tc>
          <w:tcPr>
            <w:tcW w:type="dxa" w:w="6803"/>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要求</w:t>
            </w:r>
          </w:p>
        </w:tc>
      </w:tr>
      <w:tr>
        <w:trPr>
          <w:cantSplit/>
        </w:trPr>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系统发育优先</w:t>
            </w:r>
          </w:p>
        </w:tc>
        <w:tc>
          <w:tcPr>
            <w:tcW w:type="dxa" w:w="6803"/>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物种不是独立重复；所有生态和组成关联必须在谱系结构内解释。</w:t>
            </w:r>
          </w:p>
        </w:tc>
      </w:tr>
      <w:tr>
        <w:trPr>
          <w:cantSplit/>
        </w:trPr>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零模型优先</w:t>
            </w:r>
          </w:p>
        </w:tc>
        <w:tc>
          <w:tcPr>
            <w:tcW w:type="dxa" w:w="6803"/>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每个主张都对应一个保持关键约束的反事实，而不是只报告相关系数。</w:t>
            </w:r>
          </w:p>
        </w:tc>
      </w:tr>
      <w:tr>
        <w:trPr>
          <w:cantSplit/>
        </w:trPr>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组成型数据意识</w:t>
            </w:r>
          </w:p>
        </w:tc>
        <w:tc>
          <w:tcPr>
            <w:tcW w:type="dxa" w:w="6803"/>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碱基、密码子和氨基酸比例总和受限，采用适合组成数据的距离/变换或多项分布模型。</w:t>
            </w:r>
          </w:p>
        </w:tc>
      </w:tr>
      <w:tr>
        <w:trPr>
          <w:cantSplit/>
        </w:trPr>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可解释模型优先</w:t>
            </w:r>
          </w:p>
        </w:tc>
        <w:tc>
          <w:tcPr>
            <w:tcW w:type="dxa" w:w="6803"/>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线性/广义线性混合模型、系统发育比较、祖先重建和位点/密码子模型承担主推断。</w:t>
            </w:r>
          </w:p>
        </w:tc>
      </w:tr>
      <w:tr>
        <w:trPr>
          <w:cantSplit/>
        </w:trPr>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机器学习降级使用</w:t>
            </w:r>
          </w:p>
        </w:tc>
        <w:tc>
          <w:tcPr>
            <w:tcW w:type="dxa" w:w="6803"/>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随机森林或蛋白语言模型只用于非线性探索、候选排序和独立支持；不把特征重要性解释为因果。</w:t>
            </w:r>
          </w:p>
        </w:tc>
      </w:tr>
      <w:tr>
        <w:trPr>
          <w:cantSplit/>
        </w:trPr>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注释不确定性显式化</w:t>
            </w:r>
          </w:p>
        </w:tc>
        <w:tc>
          <w:tcPr>
            <w:tcW w:type="dxa" w:w="6803"/>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通过核心同源基因、替代注释和低复杂度敏感性分析避免数据质量决定生物结论。</w:t>
            </w:r>
          </w:p>
        </w:tc>
      </w:tr>
      <w:tr>
        <w:trPr>
          <w:cantSplit/>
        </w:trPr>
        <w:tc>
          <w:tcPr>
            <w:tcW w:type="dxa" w:w="232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跨层一致性而非单层显著性</w:t>
            </w:r>
          </w:p>
        </w:tc>
        <w:tc>
          <w:tcPr>
            <w:tcW w:type="dxa" w:w="6803"/>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候选需在序列、表达/翻译、蛋白或选择中至少跨两层复现。</w:t>
            </w:r>
          </w:p>
        </w:tc>
      </w:tr>
      <w:tr>
        <w:trPr>
          <w:cantSplit/>
        </w:trPr>
        <w:tc>
          <w:tcPr>
            <w:tcW w:type="dxa" w:w="232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负结果可接受</w:t>
            </w:r>
          </w:p>
        </w:tc>
        <w:tc>
          <w:tcPr>
            <w:tcW w:type="dxa" w:w="6803"/>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若组成偏倚足以解释绝大多数蛋白差异，这本身可修正领域中过度适应性叙事，但期刊目标需相应调整。</w:t>
            </w:r>
          </w:p>
        </w:tc>
      </w:tr>
    </w:tbl>
    <w:p>
      <w:pPr>
        <w:spacing w:after="0"/>
        <w:keepLines/>
      </w:pPr>
    </w:p>
    <w:p>
      <w:pPr>
        <w:pStyle w:val="Heading2"/>
        <w:spacing w:before="180" w:after="100"/>
        <w:keepNext/>
        <w:keepLines/>
      </w:pPr>
      <w:r>
        <w:rPr>
          <w:rFonts w:ascii="Noto Sans CJK SC" w:hAnsi="Noto Sans CJK SC" w:eastAsia="Noto Sans CJK SC"/>
          <w:b/>
          <w:color w:val="2B6F77"/>
          <w:sz w:val="26"/>
        </w:rPr>
        <w:t>10.1 传统密码子分析的定位</w:t>
      </w:r>
    </w:p>
    <w:p>
      <w:pPr>
        <w:pStyle w:val="Body"/>
        <w:spacing w:after="100"/>
        <w:ind w:firstLine="420"/>
        <w:jc w:val="both"/>
        <w:keepLines/>
      </w:pPr>
      <w:r>
        <w:rPr>
          <w:rFonts w:ascii="Noto Serif CJK SC" w:hAnsi="Noto Serif CJK SC" w:eastAsia="Noto Serif CJK SC"/>
          <w:i w:val="0"/>
          <w:color w:val="26323B"/>
          <w:sz w:val="21"/>
        </w:rPr>
        <w:t>RSCU、ENC、CAI、GC3、neutrality plot、PR2 plot、对应分析或 PCA 仍有价值：它们适合做质量控制、现象展示和与旧文献对齐。但它们无法独立区分突变、系统发育、表达和蛋白约束，也无法把相关性升级为自然选择。方案中这些指标属于“描述层”，不承担论文标题级结论。</w:t>
      </w:r>
    </w:p>
    <w:p>
      <w:pPr>
        <w:pStyle w:val="Heading2"/>
        <w:spacing w:before="180" w:after="100"/>
        <w:keepNext/>
        <w:keepLines/>
      </w:pPr>
      <w:r>
        <w:rPr>
          <w:rFonts w:ascii="Noto Sans CJK SC" w:hAnsi="Noto Sans CJK SC" w:eastAsia="Noto Sans CJK SC"/>
          <w:b/>
          <w:color w:val="2B6F77"/>
          <w:sz w:val="26"/>
        </w:rPr>
        <w:t>10.2 现代工具的适度引入</w:t>
      </w:r>
    </w:p>
    <w:p>
      <w:pPr>
        <w:pStyle w:val="Body"/>
        <w:spacing w:after="100"/>
        <w:ind w:firstLine="420"/>
        <w:jc w:val="both"/>
        <w:keepLines/>
      </w:pPr>
      <w:r>
        <w:rPr>
          <w:rFonts w:ascii="Noto Serif CJK SC" w:hAnsi="Noto Serif CJK SC" w:eastAsia="Noto Serif CJK SC"/>
          <w:i w:val="0"/>
          <w:color w:val="26323B"/>
          <w:sz w:val="21"/>
        </w:rPr>
        <w:t>蛋白结构预测、空间蛋白组、复合物组、蛋白语言模型和跨物种单细胞映射可用于回答传统序列统计不能回答的问题，例如残差是否位于活性位点、无序区、宿主界面或动态复合物亚基[23–25,39]。但工具必须由科学问题牵引：能明确增加一个证据维度才使用，不能把“使用了新模型”本身当作现代化。</w:t>
      </w:r>
    </w:p>
    <w:p>
      <w:pPr>
        <w:pStyle w:val="Heading1"/>
        <w:spacing w:before="240" w:after="140"/>
        <w:pBdr>
          <w:bottom w:val="single" w:sz="12" w:space="4" w:color="A43B3B"/>
        </w:pBdr>
        <w:keepNext/>
        <w:keepLines/>
      </w:pPr>
      <w:r>
        <w:rPr>
          <w:rFonts w:ascii="Noto Sans CJK SC" w:hAnsi="Noto Sans CJK SC" w:eastAsia="Noto Sans CJK SC"/>
          <w:b/>
          <w:color w:val="17324D"/>
          <w:sz w:val="33"/>
        </w:rPr>
        <w:t>11. 创新性与预期学术贡献</w:t>
      </w:r>
    </w:p>
    <w:tbl>
      <w:tblPr>
        <w:tblW w:type="auto" w:w="0"/>
        <w:jc w:val="center"/>
        <w:tblLayout w:type="fixed"/>
        <w:tblLook w:firstColumn="1" w:firstRow="1" w:lastColumn="0" w:lastRow="0" w:noHBand="0" w:noVBand="1" w:val="04A0"/>
      </w:tblPr>
      <w:tblGrid>
        <w:gridCol w:w="4776"/>
        <w:gridCol w:w="4776"/>
      </w:tblGrid>
      <w:tr>
        <w:trPr>
          <w:tblHeader w:val="true"/>
          <w:cantSplit/>
        </w:trPr>
        <w:tc>
          <w:tcPr>
            <w:tcW w:type="dxa" w:w="187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维度</w:t>
            </w:r>
          </w:p>
        </w:tc>
        <w:tc>
          <w:tcPr>
            <w:tcW w:type="dxa" w:w="7257"/>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具体增量</w:t>
            </w:r>
          </w:p>
        </w:tc>
      </w:tr>
      <w:tr>
        <w:trPr>
          <w:cantSplit/>
        </w:trPr>
        <w:tc>
          <w:tcPr>
            <w:tcW w:type="dxa" w:w="187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概念创新</w:t>
            </w:r>
          </w:p>
        </w:tc>
        <w:tc>
          <w:tcPr>
            <w:tcW w:type="dxa" w:w="72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把“碱基偏倚—密码子偏好—氨基酸偏好”从三组并列描述，改写为可量化的跨层级传导和反事实分解。</w:t>
            </w:r>
          </w:p>
        </w:tc>
      </w:tr>
      <w:tr>
        <w:trPr>
          <w:cantSplit/>
        </w:trPr>
        <w:tc>
          <w:tcPr>
            <w:tcW w:type="dxa" w:w="187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进化创新</w:t>
            </w:r>
          </w:p>
        </w:tc>
        <w:tc>
          <w:tcPr>
            <w:tcW w:type="dxa" w:w="72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利用疟原虫谱系间巨大组成差异构建自然实验，识别独立谱系中的趋同残差，而不是以单一物种推断普遍机制。</w:t>
            </w:r>
          </w:p>
        </w:tc>
      </w:tr>
      <w:tr>
        <w:trPr>
          <w:cantSplit/>
        </w:trPr>
        <w:tc>
          <w:tcPr>
            <w:tcW w:type="dxa" w:w="187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机制创新</w:t>
            </w:r>
          </w:p>
        </w:tc>
        <w:tc>
          <w:tcPr>
            <w:tcW w:type="dxa" w:w="72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检验长期组成演化是否预设了可调用的翻译应激程序，并将突变历史与耐药/休眠/阶段适应连接起来。</w:t>
            </w:r>
          </w:p>
        </w:tc>
      </w:tr>
      <w:tr>
        <w:trPr>
          <w:cantSplit/>
        </w:trPr>
        <w:tc>
          <w:tcPr>
            <w:tcW w:type="dxa" w:w="187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数据创新</w:t>
            </w:r>
          </w:p>
        </w:tc>
        <w:tc>
          <w:tcPr>
            <w:tcW w:type="dxa" w:w="72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把参考基因组、群体变异、阶段组学、tRNA/翻译、必需性、体外进化和空间/结构信息纳入同一证据梯子。</w:t>
            </w:r>
          </w:p>
        </w:tc>
      </w:tr>
      <w:tr>
        <w:trPr>
          <w:cantSplit/>
        </w:trPr>
        <w:tc>
          <w:tcPr>
            <w:tcW w:type="dxa" w:w="187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方法创新</w:t>
            </w:r>
          </w:p>
        </w:tc>
        <w:tc>
          <w:tcPr>
            <w:tcW w:type="dxa" w:w="72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强调保持氨基酸、局部组成、同源位点和结构环境的反事实；创新在问题分解和零模型，而非复杂算法。</w:t>
            </w:r>
          </w:p>
        </w:tc>
      </w:tr>
      <w:tr>
        <w:trPr>
          <w:cantSplit/>
        </w:trPr>
        <w:tc>
          <w:tcPr>
            <w:tcW w:type="dxa" w:w="187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转化创新</w:t>
            </w:r>
          </w:p>
        </w:tc>
        <w:tc>
          <w:tcPr>
            <w:tcW w:type="dxa" w:w="7257"/>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从“可药性”进一步评估候选机制的条件依赖和进化逃逸路径，优先识别不易通过常见突变逃逸的脆弱性。</w:t>
            </w:r>
          </w:p>
        </w:tc>
      </w:tr>
      <w:tr>
        <w:trPr>
          <w:cantSplit/>
        </w:trPr>
        <w:tc>
          <w:tcPr>
            <w:tcW w:type="dxa" w:w="187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项目管理创新</w:t>
            </w:r>
          </w:p>
        </w:tc>
        <w:tc>
          <w:tcPr>
            <w:tcW w:type="dxa" w:w="7257"/>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湿实验按证据门升级，避免在科学假设尚未稳定时扩大合作和成本。</w:t>
            </w:r>
          </w:p>
        </w:tc>
      </w:tr>
    </w:tbl>
    <w:p>
      <w:pPr>
        <w:spacing w:after="0"/>
        <w:keepLines/>
      </w:pPr>
    </w:p>
    <w:p>
      <w:pPr>
        <w:pStyle w:val="Heading2"/>
        <w:spacing w:before="180" w:after="100"/>
        <w:keepNext/>
        <w:keepLines/>
      </w:pPr>
      <w:r>
        <w:rPr>
          <w:rFonts w:ascii="Noto Sans CJK SC" w:hAnsi="Noto Sans CJK SC" w:eastAsia="Noto Sans CJK SC"/>
          <w:b/>
          <w:color w:val="2B6F77"/>
          <w:sz w:val="26"/>
        </w:rPr>
        <w:t>11.1 对疟原虫生物学的潜在贡献</w:t>
      </w:r>
    </w:p>
    <w:p>
      <w:pPr>
        <w:pStyle w:val="Bullet1"/>
        <w:spacing w:after="80"/>
        <w:ind w:left="425" w:hanging="215"/>
        <w:jc w:val="both"/>
        <w:keepLines/>
      </w:pPr>
      <w:r>
        <w:rPr>
          <w:rFonts w:ascii="Noto Serif CJK SC" w:hAnsi="Noto Serif CJK SC" w:eastAsia="Noto Serif CJK SC"/>
          <w:color w:val="26323B"/>
          <w:sz w:val="20"/>
        </w:rPr>
        <w:t>解释不同疟原虫物种为何具有显著不同的蛋白质组组成，而不把所有差异归因于 AT/GC。</w:t>
      </w:r>
    </w:p>
    <w:p>
      <w:pPr>
        <w:pStyle w:val="Bullet1"/>
        <w:spacing w:after="80"/>
        <w:ind w:left="425" w:hanging="215"/>
        <w:jc w:val="both"/>
        <w:keepLines/>
      </w:pPr>
      <w:r>
        <w:rPr>
          <w:rFonts w:ascii="Noto Serif CJK SC" w:hAnsi="Noto Serif CJK SC" w:eastAsia="Noto Serif CJK SC"/>
          <w:color w:val="26323B"/>
          <w:sz w:val="20"/>
        </w:rPr>
        <w:t>确定氨基酸组成在何种条件下参与翻译调控，而不仅是蛋白结构的被动属性。</w:t>
      </w:r>
    </w:p>
    <w:p>
      <w:pPr>
        <w:pStyle w:val="Bullet1"/>
        <w:spacing w:after="80"/>
        <w:ind w:left="425" w:hanging="215"/>
        <w:jc w:val="both"/>
        <w:keepLines/>
      </w:pPr>
      <w:r>
        <w:rPr>
          <w:rFonts w:ascii="Noto Serif CJK SC" w:hAnsi="Noto Serif CJK SC" w:eastAsia="Noto Serif CJK SC"/>
          <w:color w:val="26323B"/>
          <w:sz w:val="20"/>
        </w:rPr>
        <w:t>建立从长期基因组演化到短期药物/营养应激反应的理论桥梁。</w:t>
      </w:r>
    </w:p>
    <w:p>
      <w:pPr>
        <w:pStyle w:val="Bullet1"/>
        <w:spacing w:after="80"/>
        <w:ind w:left="425" w:hanging="215"/>
        <w:jc w:val="both"/>
        <w:keepLines/>
      </w:pPr>
      <w:r>
        <w:rPr>
          <w:rFonts w:ascii="Noto Serif CJK SC" w:hAnsi="Noto Serif CJK SC" w:eastAsia="Noto Serif CJK SC"/>
          <w:color w:val="26323B"/>
          <w:sz w:val="20"/>
        </w:rPr>
        <w:t>区分跨 Plasmodium 保守机制与 P. falciparum 极端基因组特有机制。</w:t>
      </w:r>
    </w:p>
    <w:p>
      <w:pPr>
        <w:pStyle w:val="Bullet1"/>
        <w:spacing w:after="80"/>
        <w:ind w:left="425" w:hanging="215"/>
        <w:jc w:val="both"/>
        <w:keepLines/>
      </w:pPr>
      <w:r>
        <w:rPr>
          <w:rFonts w:ascii="Noto Serif CJK SC" w:hAnsi="Noto Serif CJK SC" w:eastAsia="Noto Serif CJK SC"/>
          <w:color w:val="26323B"/>
          <w:sz w:val="20"/>
        </w:rPr>
        <w:t>为稀缺物种数据提供“跨物种发现—可培养物种验证”的可迁移框架。</w:t>
      </w:r>
    </w:p>
    <w:p>
      <w:pPr>
        <w:pStyle w:val="Heading1"/>
        <w:spacing w:before="240" w:after="140"/>
        <w:pBdr>
          <w:bottom w:val="single" w:sz="12" w:space="4" w:color="A43B3B"/>
        </w:pBdr>
        <w:keepNext/>
        <w:keepLines/>
      </w:pPr>
      <w:r>
        <w:rPr>
          <w:rFonts w:ascii="Noto Sans CJK SC" w:hAnsi="Noto Sans CJK SC" w:eastAsia="Noto Sans CJK SC"/>
          <w:b/>
          <w:color w:val="17324D"/>
          <w:sz w:val="33"/>
        </w:rPr>
        <w:t>12. Nature Microbiology 级证据标准与论文架构</w:t>
      </w:r>
    </w:p>
    <w:p>
      <w:pPr>
        <w:pStyle w:val="Heading2"/>
        <w:spacing w:before="180" w:after="100"/>
        <w:keepNext/>
        <w:keepLines/>
      </w:pPr>
      <w:r>
        <w:rPr>
          <w:rFonts w:ascii="Noto Sans CJK SC" w:hAnsi="Noto Sans CJK SC" w:eastAsia="Noto Sans CJK SC"/>
          <w:b/>
          <w:color w:val="2B6F77"/>
          <w:sz w:val="26"/>
        </w:rPr>
        <w:t>12.1 最低充分证据</w:t>
      </w:r>
    </w:p>
    <w:p>
      <w:pPr>
        <w:pStyle w:val="Bullet1"/>
        <w:spacing w:after="80"/>
        <w:ind w:left="425" w:hanging="215"/>
        <w:jc w:val="both"/>
        <w:keepLines/>
      </w:pPr>
      <w:r>
        <w:rPr>
          <w:rFonts w:ascii="Noto Serif CJK SC" w:hAnsi="Noto Serif CJK SC" w:eastAsia="Noto Serif CJK SC"/>
          <w:color w:val="26323B"/>
          <w:sz w:val="20"/>
        </w:rPr>
        <w:t>一个非平凡、可推广的生物学原则：不是“高 AT 物种偏好 AT-rich 密码子”，而是组成转换在控制背景后形成可解释的功能残差。</w:t>
      </w:r>
    </w:p>
    <w:p>
      <w:pPr>
        <w:pStyle w:val="Bullet1"/>
        <w:spacing w:after="80"/>
        <w:ind w:left="425" w:hanging="215"/>
        <w:jc w:val="both"/>
        <w:keepLines/>
      </w:pPr>
      <w:r>
        <w:rPr>
          <w:rFonts w:ascii="Noto Serif CJK SC" w:hAnsi="Noto Serif CJK SC" w:eastAsia="Noto Serif CJK SC"/>
          <w:color w:val="26323B"/>
          <w:sz w:val="20"/>
        </w:rPr>
        <w:t>至少两个相对独立谱系或一个强对照体系支持同一方向的结论，避免单物种特例。</w:t>
      </w:r>
    </w:p>
    <w:p>
      <w:pPr>
        <w:pStyle w:val="Bullet1"/>
        <w:spacing w:after="80"/>
        <w:ind w:left="425" w:hanging="215"/>
        <w:jc w:val="both"/>
        <w:keepLines/>
      </w:pPr>
      <w:r>
        <w:rPr>
          <w:rFonts w:ascii="Noto Serif CJK SC" w:hAnsi="Noto Serif CJK SC" w:eastAsia="Noto Serif CJK SC"/>
          <w:color w:val="26323B"/>
          <w:sz w:val="20"/>
        </w:rPr>
        <w:t>系统发育、低复杂度、注释和蛋白约束的严格反事实控制。</w:t>
      </w:r>
    </w:p>
    <w:p>
      <w:pPr>
        <w:pStyle w:val="Bullet1"/>
        <w:spacing w:after="80"/>
        <w:ind w:left="425" w:hanging="215"/>
        <w:jc w:val="both"/>
        <w:keepLines/>
      </w:pPr>
      <w:r>
        <w:rPr>
          <w:rFonts w:ascii="Noto Serif CJK SC" w:hAnsi="Noto Serif CJK SC" w:eastAsia="Noto Serif CJK SC"/>
          <w:color w:val="26323B"/>
          <w:sz w:val="20"/>
        </w:rPr>
        <w:t>至少两类正交功能证据，例如翻译/tRNA + 蛋白，或扰动 + 自然选择。</w:t>
      </w:r>
    </w:p>
    <w:p>
      <w:pPr>
        <w:pStyle w:val="Bullet1"/>
        <w:spacing w:after="80"/>
        <w:ind w:left="425" w:hanging="215"/>
        <w:jc w:val="both"/>
        <w:keepLines/>
      </w:pPr>
      <w:r>
        <w:rPr>
          <w:rFonts w:ascii="Noto Serif CJK SC" w:hAnsi="Noto Serif CJK SC" w:eastAsia="Noto Serif CJK SC"/>
          <w:color w:val="26323B"/>
          <w:sz w:val="20"/>
        </w:rPr>
        <w:t>与领域核心问题直接相连：耐药、休眠、增殖、侵袭、性发育或传播中的至少一个。</w:t>
      </w:r>
    </w:p>
    <w:p>
      <w:pPr>
        <w:pStyle w:val="Bullet1"/>
        <w:spacing w:after="80"/>
        <w:ind w:left="425" w:hanging="215"/>
        <w:jc w:val="both"/>
        <w:keepLines/>
      </w:pPr>
      <w:r>
        <w:rPr>
          <w:rFonts w:ascii="Noto Serif CJK SC" w:hAnsi="Noto Serif CJK SC" w:eastAsia="Noto Serif CJK SC"/>
          <w:color w:val="26323B"/>
          <w:sz w:val="20"/>
        </w:rPr>
        <w:t>一个可证伪机制模型，以及能够区分竞争机制的验证或强自然实验。</w:t>
      </w:r>
    </w:p>
    <w:p>
      <w:pPr>
        <w:pStyle w:val="Heading2"/>
        <w:spacing w:before="180" w:after="100"/>
        <w:keepNext/>
        <w:keepLines/>
      </w:pPr>
      <w:r>
        <w:rPr>
          <w:rFonts w:ascii="Noto Sans CJK SC" w:hAnsi="Noto Sans CJK SC" w:eastAsia="Noto Sans CJK SC"/>
          <w:b/>
          <w:color w:val="2B6F77"/>
          <w:sz w:val="26"/>
        </w:rPr>
        <w:t>12.2 不足以支撑目标期刊的结果</w:t>
      </w:r>
    </w:p>
    <w:p>
      <w:pPr>
        <w:pStyle w:val="Bullet1"/>
        <w:spacing w:after="80"/>
        <w:ind w:left="425" w:hanging="215"/>
        <w:jc w:val="both"/>
        <w:keepLines/>
      </w:pPr>
      <w:r>
        <w:rPr>
          <w:rFonts w:ascii="Noto Serif CJK SC" w:hAnsi="Noto Serif CJK SC" w:eastAsia="Noto Serif CJK SC"/>
          <w:color w:val="26323B"/>
          <w:sz w:val="20"/>
        </w:rPr>
        <w:t>不同物种的 GC、RSCU、ENC、氨基酸比例、PCA 和聚类图，即使物种数很多。</w:t>
      </w:r>
    </w:p>
    <w:p>
      <w:pPr>
        <w:pStyle w:val="Bullet1"/>
        <w:spacing w:after="80"/>
        <w:ind w:left="425" w:hanging="215"/>
        <w:jc w:val="both"/>
        <w:keepLines/>
      </w:pPr>
      <w:r>
        <w:rPr>
          <w:rFonts w:ascii="Noto Serif CJK SC" w:hAnsi="Noto Serif CJK SC" w:eastAsia="Noto Serif CJK SC"/>
          <w:color w:val="26323B"/>
          <w:sz w:val="20"/>
        </w:rPr>
        <w:t>仅凭相关性将血红蛋白组成解释为宿主营养适应。</w:t>
      </w:r>
    </w:p>
    <w:p>
      <w:pPr>
        <w:pStyle w:val="Bullet1"/>
        <w:spacing w:after="80"/>
        <w:ind w:left="425" w:hanging="215"/>
        <w:jc w:val="both"/>
        <w:keepLines/>
      </w:pPr>
      <w:r>
        <w:rPr>
          <w:rFonts w:ascii="Noto Serif CJK SC" w:hAnsi="Noto Serif CJK SC" w:eastAsia="Noto Serif CJK SC"/>
          <w:color w:val="26323B"/>
          <w:sz w:val="20"/>
        </w:rPr>
        <w:t>仅有 GO 富集、AlphaFold 结构和分子对接的靶点清单。</w:t>
      </w:r>
    </w:p>
    <w:p>
      <w:pPr>
        <w:pStyle w:val="Bullet1"/>
        <w:spacing w:after="80"/>
        <w:ind w:left="425" w:hanging="215"/>
        <w:jc w:val="both"/>
        <w:keepLines/>
      </w:pPr>
      <w:r>
        <w:rPr>
          <w:rFonts w:ascii="Noto Serif CJK SC" w:hAnsi="Noto Serif CJK SC" w:eastAsia="Noto Serif CJK SC"/>
          <w:color w:val="26323B"/>
          <w:sz w:val="20"/>
        </w:rPr>
        <w:t>随机拆分基因得到的高 AUC，但没有 leave-one-species/leave-one-clade 验证。</w:t>
      </w:r>
    </w:p>
    <w:p>
      <w:pPr>
        <w:pStyle w:val="Bullet1"/>
        <w:spacing w:after="80"/>
        <w:ind w:left="425" w:hanging="215"/>
        <w:jc w:val="both"/>
        <w:keepLines/>
      </w:pPr>
      <w:r>
        <w:rPr>
          <w:rFonts w:ascii="Noto Serif CJK SC" w:hAnsi="Noto Serif CJK SC" w:eastAsia="Noto Serif CJK SC"/>
          <w:color w:val="26323B"/>
          <w:sz w:val="20"/>
        </w:rPr>
        <w:t>以 P. falciparum 的已知 Ile 机制直接外推所有物种。</w:t>
      </w:r>
    </w:p>
    <w:p>
      <w:pPr>
        <w:pStyle w:val="Bullet1"/>
        <w:spacing w:after="80"/>
        <w:ind w:left="425" w:hanging="215"/>
        <w:jc w:val="both"/>
        <w:keepLines/>
      </w:pPr>
      <w:r>
        <w:rPr>
          <w:rFonts w:ascii="Noto Serif CJK SC" w:hAnsi="Noto Serif CJK SC" w:eastAsia="Noto Serif CJK SC"/>
          <w:color w:val="26323B"/>
          <w:sz w:val="20"/>
        </w:rPr>
        <w:t>新增大量组学但没有明确竞争假设。</w:t>
      </w:r>
    </w:p>
    <w:p>
      <w:pPr>
        <w:pStyle w:val="Heading2"/>
        <w:spacing w:before="180" w:after="100"/>
        <w:keepNext/>
        <w:keepLines/>
      </w:pPr>
      <w:r>
        <w:rPr>
          <w:rFonts w:ascii="Noto Sans CJK SC" w:hAnsi="Noto Sans CJK SC" w:eastAsia="Noto Sans CJK SC"/>
          <w:b/>
          <w:color w:val="2B6F77"/>
          <w:sz w:val="26"/>
        </w:rPr>
        <w:t>12.3 预期主图架构</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30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图件</w:t>
            </w:r>
          </w:p>
        </w:tc>
        <w:tc>
          <w:tcPr>
            <w:tcW w:type="dxa" w:w="2835"/>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主题</w:t>
            </w:r>
          </w:p>
        </w:tc>
        <w:tc>
          <w:tcPr>
            <w:tcW w:type="dxa" w:w="5102"/>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核心信息</w:t>
            </w:r>
          </w:p>
        </w:tc>
      </w:tr>
      <w:tr>
        <w:trPr>
          <w:cantSplit/>
        </w:trPr>
        <w:tc>
          <w:tcPr>
            <w:tcW w:type="dxa" w:w="130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Figure 1</w:t>
            </w:r>
          </w:p>
        </w:tc>
        <w:tc>
          <w:tcPr>
            <w:tcW w:type="dxa" w:w="28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疟原虫组成演化与自然实验设计</w:t>
            </w:r>
          </w:p>
        </w:tc>
        <w:tc>
          <w:tcPr>
            <w:tcW w:type="dxa" w:w="510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物种树、基因组区室、组成转换、数据质量和生态对照；建立问题而非堆叠物种。</w:t>
            </w:r>
          </w:p>
        </w:tc>
      </w:tr>
      <w:tr>
        <w:trPr>
          <w:cantSplit/>
        </w:trPr>
        <w:tc>
          <w:tcPr>
            <w:tcW w:type="dxa" w:w="130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Figure 2</w:t>
            </w:r>
          </w:p>
        </w:tc>
        <w:tc>
          <w:tcPr>
            <w:tcW w:type="dxa" w:w="28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碱基到密码子/氨基酸的定量传导</w:t>
            </w:r>
          </w:p>
        </w:tc>
        <w:tc>
          <w:tcPr>
            <w:tcW w:type="dxa" w:w="510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同义反事实、同源位点/结构控制、可解释方差和低复杂度敏感性。</w:t>
            </w:r>
          </w:p>
        </w:tc>
      </w:tr>
      <w:tr>
        <w:trPr>
          <w:cantSplit/>
        </w:trPr>
        <w:tc>
          <w:tcPr>
            <w:tcW w:type="dxa" w:w="130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Figure 3</w:t>
            </w:r>
          </w:p>
        </w:tc>
        <w:tc>
          <w:tcPr>
            <w:tcW w:type="dxa" w:w="28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跨谱系稳定残差与功能趋同</w:t>
            </w:r>
          </w:p>
        </w:tc>
        <w:tc>
          <w:tcPr>
            <w:tcW w:type="dxa" w:w="510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核心候选基因/通路、生态对照、独立谱系趋同及负结果。</w:t>
            </w:r>
          </w:p>
        </w:tc>
      </w:tr>
      <w:tr>
        <w:trPr>
          <w:cantSplit/>
        </w:trPr>
        <w:tc>
          <w:tcPr>
            <w:tcW w:type="dxa" w:w="130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Figure 4</w:t>
            </w:r>
          </w:p>
        </w:tc>
        <w:tc>
          <w:tcPr>
            <w:tcW w:type="dxa" w:w="28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阶段特异翻译供需与蛋白输出</w:t>
            </w:r>
          </w:p>
        </w:tc>
        <w:tc>
          <w:tcPr>
            <w:tcW w:type="dxa" w:w="510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表达加权需求、tRNA/翻译证据、RNA—蛋白偏离、阶段与应激响应。</w:t>
            </w:r>
          </w:p>
        </w:tc>
      </w:tr>
      <w:tr>
        <w:trPr>
          <w:cantSplit/>
        </w:trPr>
        <w:tc>
          <w:tcPr>
            <w:tcW w:type="dxa" w:w="130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Figure 5</w:t>
            </w:r>
          </w:p>
        </w:tc>
        <w:tc>
          <w:tcPr>
            <w:tcW w:type="dxa" w:w="28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机制模型与条件性验证</w:t>
            </w:r>
          </w:p>
        </w:tc>
        <w:tc>
          <w:tcPr>
            <w:tcW w:type="dxa" w:w="510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耐药/营养/传播表型、候选节点、逃逸边界；若新增实验，仅放决定性结果。</w:t>
            </w:r>
          </w:p>
        </w:tc>
      </w:tr>
      <w:tr>
        <w:trPr>
          <w:cantSplit/>
        </w:trPr>
        <w:tc>
          <w:tcPr>
            <w:tcW w:type="dxa" w:w="130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Extended Data</w:t>
            </w:r>
          </w:p>
        </w:tc>
        <w:tc>
          <w:tcPr>
            <w:tcW w:type="dxa" w:w="28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稳健性、替代注释、外群、结构区室和完整候选表</w:t>
            </w:r>
          </w:p>
        </w:tc>
        <w:tc>
          <w:tcPr>
            <w:tcW w:type="dxa" w:w="510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将传统指标和大规模资源放入扩展数据，避免主稿被描述性结果淹没。</w:t>
            </w:r>
          </w:p>
        </w:tc>
      </w:tr>
    </w:tbl>
    <w:p>
      <w:pPr>
        <w:spacing w:after="0"/>
        <w:keepLines/>
      </w:pPr>
    </w:p>
    <w:p>
      <w:pPr>
        <w:pStyle w:val="Heading2"/>
        <w:spacing w:before="180" w:after="100"/>
        <w:keepNext/>
        <w:keepLines/>
      </w:pPr>
      <w:r>
        <w:rPr>
          <w:rFonts w:ascii="Noto Sans CJK SC" w:hAnsi="Noto Sans CJK SC" w:eastAsia="Noto Sans CJK SC"/>
          <w:b/>
          <w:color w:val="2B6F77"/>
          <w:sz w:val="26"/>
        </w:rPr>
        <w:t>12.4 三种可能的论文故事</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70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场景</w:t>
            </w:r>
          </w:p>
        </w:tc>
        <w:tc>
          <w:tcPr>
            <w:tcW w:type="dxa" w:w="4932"/>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结果结构</w:t>
            </w:r>
          </w:p>
        </w:tc>
        <w:tc>
          <w:tcPr>
            <w:tcW w:type="dxa" w:w="260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合理定位</w:t>
            </w:r>
          </w:p>
        </w:tc>
      </w:tr>
      <w:tr>
        <w:trPr>
          <w:cantSplit/>
        </w:trPr>
        <w:tc>
          <w:tcPr>
            <w:tcW w:type="dxa" w:w="170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A｜目标故事</w:t>
            </w:r>
          </w:p>
        </w:tc>
        <w:tc>
          <w:tcPr>
            <w:tcW w:type="dxa" w:w="493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跨谱系组成残差预测翻译应激，并连接耐药或阶段表型；有强自然扰动或最小实验。</w:t>
            </w:r>
          </w:p>
        </w:tc>
        <w:tc>
          <w:tcPr>
            <w:tcW w:type="dxa" w:w="260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Nature Microbiology 具有合理竞争力。</w:t>
            </w:r>
          </w:p>
        </w:tc>
      </w:tr>
      <w:tr>
        <w:trPr>
          <w:cantSplit/>
        </w:trPr>
        <w:tc>
          <w:tcPr>
            <w:tcW w:type="dxa" w:w="170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B｜机制较弱但资源完整</w:t>
            </w:r>
          </w:p>
        </w:tc>
        <w:tc>
          <w:tcPr>
            <w:tcW w:type="dxa" w:w="493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系统发育反事实明确、跨物种数据资源独特、出现一个聚焦功能桥接。</w:t>
            </w:r>
          </w:p>
        </w:tc>
        <w:tc>
          <w:tcPr>
            <w:tcW w:type="dxa" w:w="260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Nature Communications / PLoS Pathogens / iScience。</w:t>
            </w:r>
          </w:p>
        </w:tc>
      </w:tr>
      <w:tr>
        <w:trPr>
          <w:cantSplit/>
        </w:trPr>
        <w:tc>
          <w:tcPr>
            <w:tcW w:type="dxa" w:w="170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C｜主要是中性传导</w:t>
            </w:r>
          </w:p>
        </w:tc>
        <w:tc>
          <w:tcPr>
            <w:tcW w:type="dxa" w:w="4932"/>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绝大多数密码子/氨基酸差异由碱基背景解释，适应性证据不足。</w:t>
            </w:r>
          </w:p>
        </w:tc>
        <w:tc>
          <w:tcPr>
            <w:tcW w:type="dxa" w:w="260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可形成严谨的比较进化论文，但不应继续宣称 Nature Microbiology 级机制。</w:t>
            </w:r>
          </w:p>
        </w:tc>
      </w:tr>
      <w:tr>
        <w:trPr>
          <w:cantSplit/>
        </w:trPr>
        <w:tc>
          <w:tcPr>
            <w:tcW w:type="dxa" w:w="170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D｜可塑性转向</w:t>
            </w:r>
          </w:p>
        </w:tc>
        <w:tc>
          <w:tcPr>
            <w:tcW w:type="dxa" w:w="4932"/>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翻译残差弱，但重复—indel/CNV—抗原/耐药逃逸证据强。</w:t>
            </w:r>
          </w:p>
        </w:tc>
        <w:tc>
          <w:tcPr>
            <w:tcW w:type="dxa" w:w="260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转为基因组可塑性主线；若有自然选择/功能验证，仍可保持高目标。</w:t>
            </w:r>
          </w:p>
        </w:tc>
      </w:tr>
    </w:tbl>
    <w:p>
      <w:pPr>
        <w:spacing w:after="0"/>
        <w:keepLines/>
      </w:pPr>
    </w:p>
    <w:p>
      <w:pPr>
        <w:pStyle w:val="Heading1"/>
        <w:spacing w:before="240" w:after="140"/>
        <w:pBdr>
          <w:bottom w:val="single" w:sz="12" w:space="4" w:color="A43B3B"/>
        </w:pBdr>
        <w:keepNext/>
        <w:keepLines/>
      </w:pPr>
      <w:r>
        <w:rPr>
          <w:rFonts w:ascii="Noto Sans CJK SC" w:hAnsi="Noto Sans CJK SC" w:eastAsia="Noto Sans CJK SC"/>
          <w:b/>
          <w:color w:val="17324D"/>
          <w:sz w:val="33"/>
        </w:rPr>
        <w:t>13. 风险、转向与项目边界控制</w:t>
      </w:r>
    </w:p>
    <w:tbl>
      <w:tblPr>
        <w:tblW w:type="auto" w:w="0"/>
        <w:jc w:val="center"/>
        <w:tblLayout w:type="fixed"/>
        <w:tblLook w:firstColumn="1" w:firstRow="1" w:lastColumn="0" w:lastRow="0" w:noHBand="0" w:noVBand="1" w:val="04A0"/>
      </w:tblPr>
      <w:tblGrid>
        <w:gridCol w:w="2388"/>
        <w:gridCol w:w="2388"/>
        <w:gridCol w:w="2388"/>
        <w:gridCol w:w="2388"/>
      </w:tblGrid>
      <w:tr>
        <w:trPr>
          <w:tblHeader w:val="true"/>
          <w:cantSplit/>
        </w:trPr>
        <w:tc>
          <w:tcPr>
            <w:tcW w:type="dxa" w:w="181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风险</w:t>
            </w:r>
          </w:p>
        </w:tc>
        <w:tc>
          <w:tcPr>
            <w:tcW w:type="dxa" w:w="238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表现</w:t>
            </w:r>
          </w:p>
        </w:tc>
        <w:tc>
          <w:tcPr>
            <w:tcW w:type="dxa" w:w="4195"/>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控制策略</w:t>
            </w:r>
          </w:p>
        </w:tc>
        <w:tc>
          <w:tcPr>
            <w:tcW w:type="dxa" w:w="850"/>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优先级</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注释异质性制造伪差异</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不同物种 CDS 起止、假基因和低复杂度注释不一致。</w:t>
            </w:r>
          </w:p>
        </w:tc>
        <w:tc>
          <w:tcPr>
            <w:tcW w:type="dxa" w:w="419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核心同源基因优先；统一审计；替代注释和成熟蛋白/结构域分层。</w:t>
            </w:r>
          </w:p>
        </w:tc>
        <w:tc>
          <w:tcPr>
            <w:tcW w:type="dxa" w:w="85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高</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把组成误称为突变</w:t>
            </w:r>
          </w:p>
        </w:tc>
        <w:tc>
          <w:tcPr>
            <w:tcW w:type="dxa" w:w="238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多数物种缺乏 de novo 突变数据。</w:t>
            </w:r>
          </w:p>
        </w:tc>
        <w:tc>
          <w:tcPr>
            <w:tcW w:type="dxa" w:w="419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建立证据等级；无直接数据只讨论组成/替换，避免机制越界。</w:t>
            </w:r>
          </w:p>
        </w:tc>
        <w:tc>
          <w:tcPr>
            <w:tcW w:type="dxa" w:w="85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高</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系统发育伪重复</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基因多但独立物种/生态转换少。</w:t>
            </w:r>
          </w:p>
        </w:tc>
        <w:tc>
          <w:tcPr>
            <w:tcW w:type="dxa" w:w="419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以谱系转换为统计单位；系统发育比较；leave-one-clade-out。</w:t>
            </w:r>
          </w:p>
        </w:tc>
        <w:tc>
          <w:tcPr>
            <w:tcW w:type="dxa" w:w="85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高</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低复杂度主导全部信号</w:t>
            </w:r>
          </w:p>
        </w:tc>
        <w:tc>
          <w:tcPr>
            <w:tcW w:type="dxa" w:w="238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Asn/Lys 重复可产生强烈但非通用模式。</w:t>
            </w:r>
          </w:p>
        </w:tc>
        <w:tc>
          <w:tcPr>
            <w:tcW w:type="dxa" w:w="419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保留/屏蔽并行；核心结构域单独分析；将重复轴分离。</w:t>
            </w:r>
          </w:p>
        </w:tc>
        <w:tc>
          <w:tcPr>
            <w:tcW w:type="dxa" w:w="85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高</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宿主生态过度解释</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血红蛋白相似性不等于真实营养通量。</w:t>
            </w:r>
          </w:p>
        </w:tc>
        <w:tc>
          <w:tcPr>
            <w:tcW w:type="dxa" w:w="419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宿主仅作注释；以寄生虫阶段/翻译证据为主；避免要求完整宿主组学。</w:t>
            </w:r>
          </w:p>
        </w:tc>
        <w:tc>
          <w:tcPr>
            <w:tcW w:type="dxa" w:w="85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中高</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数据丰富度不对称</w:t>
            </w:r>
          </w:p>
        </w:tc>
        <w:tc>
          <w:tcPr>
            <w:tcW w:type="dxa" w:w="238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只有 P. falciparum 拥有完整翻译数据。</w:t>
            </w:r>
          </w:p>
        </w:tc>
        <w:tc>
          <w:tcPr>
            <w:tcW w:type="dxa" w:w="419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发现层与深挖层分开；跨物种结论要求至少第二谱系的独立证据。</w:t>
            </w:r>
          </w:p>
        </w:tc>
        <w:tc>
          <w:tcPr>
            <w:tcW w:type="dxa" w:w="85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高</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项目快速膨胀</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阶段、宿主、结构、耐药和靶点均可无限扩展。</w:t>
            </w:r>
          </w:p>
        </w:tc>
        <w:tc>
          <w:tcPr>
            <w:tcW w:type="dxa" w:w="419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证据门后只保留一条主线；每个新增模态必须解决一个明确问题。</w:t>
            </w:r>
          </w:p>
        </w:tc>
        <w:tc>
          <w:tcPr>
            <w:tcW w:type="dxa" w:w="85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高</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机制链缺乏因果性</w:t>
            </w:r>
          </w:p>
        </w:tc>
        <w:tc>
          <w:tcPr>
            <w:tcW w:type="dxa" w:w="238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公共数据只能支持关联。</w:t>
            </w:r>
          </w:p>
        </w:tc>
        <w:tc>
          <w:tcPr>
            <w:tcW w:type="dxa" w:w="419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优先自然扰动；仅在关键歧义存在时设计最小实验。</w:t>
            </w:r>
          </w:p>
        </w:tc>
        <w:tc>
          <w:tcPr>
            <w:tcW w:type="dxa" w:w="85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中高</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6"/>
              </w:rPr>
              <w:t>靶点叙事喧宾夺主</w:t>
            </w:r>
          </w:p>
        </w:tc>
        <w:tc>
          <w:tcPr>
            <w:tcW w:type="dxa" w:w="238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候选数量大但机制不新。</w:t>
            </w:r>
          </w:p>
        </w:tc>
        <w:tc>
          <w:tcPr>
            <w:tcW w:type="dxa" w:w="419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先形成机制，再评估脆弱性；不做泛化 docking 竞赛。</w:t>
            </w:r>
          </w:p>
        </w:tc>
        <w:tc>
          <w:tcPr>
            <w:tcW w:type="dxa" w:w="85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6"/>
              </w:rPr>
              <w:t>中</w:t>
            </w:r>
          </w:p>
        </w:tc>
      </w:tr>
    </w:tbl>
    <w:p>
      <w:pPr>
        <w:spacing w:after="0"/>
        <w:keepLines/>
      </w:pPr>
    </w:p>
    <w:p>
      <w:pPr>
        <w:pStyle w:val="Heading2"/>
        <w:spacing w:before="180" w:after="100"/>
        <w:keepNext/>
        <w:keepLines/>
      </w:pPr>
      <w:r>
        <w:rPr>
          <w:rFonts w:ascii="Noto Sans CJK SC" w:hAnsi="Noto Sans CJK SC" w:eastAsia="Noto Sans CJK SC"/>
          <w:b/>
          <w:color w:val="2B6F77"/>
          <w:sz w:val="26"/>
        </w:rPr>
        <w:t>13.1 明确的停止条件</w:t>
      </w:r>
    </w:p>
    <w:p>
      <w:pPr>
        <w:pStyle w:val="Bullet1"/>
        <w:spacing w:after="80"/>
        <w:ind w:left="425" w:hanging="215"/>
        <w:jc w:val="both"/>
        <w:keepLines/>
      </w:pPr>
      <w:r>
        <w:rPr>
          <w:rFonts w:ascii="Noto Serif CJK SC" w:hAnsi="Noto Serif CJK SC" w:eastAsia="Noto Serif CJK SC"/>
          <w:color w:val="26323B"/>
          <w:sz w:val="20"/>
        </w:rPr>
        <w:t>核心组成结果无法在高质量注释和多个代表物种中复现。</w:t>
      </w:r>
    </w:p>
    <w:p>
      <w:pPr>
        <w:pStyle w:val="Bullet1"/>
        <w:spacing w:after="80"/>
        <w:ind w:left="425" w:hanging="215"/>
        <w:jc w:val="both"/>
        <w:keepLines/>
      </w:pPr>
      <w:r>
        <w:rPr>
          <w:rFonts w:ascii="Noto Serif CJK SC" w:hAnsi="Noto Serif CJK SC" w:eastAsia="Noto Serif CJK SC"/>
          <w:color w:val="26323B"/>
          <w:sz w:val="20"/>
        </w:rPr>
        <w:t>所有候选残差都由低复杂度、蛋白长度或单一谱系解释。</w:t>
      </w:r>
    </w:p>
    <w:p>
      <w:pPr>
        <w:pStyle w:val="Bullet1"/>
        <w:spacing w:after="80"/>
        <w:ind w:left="425" w:hanging="215"/>
        <w:jc w:val="both"/>
        <w:keepLines/>
      </w:pPr>
      <w:r>
        <w:rPr>
          <w:rFonts w:ascii="Noto Serif CJK SC" w:hAnsi="Noto Serif CJK SC" w:eastAsia="Noto Serif CJK SC"/>
          <w:color w:val="26323B"/>
          <w:sz w:val="20"/>
        </w:rPr>
        <w:t>深挖物种中残差不预测任何独立翻译/蛋白/应激证据。</w:t>
      </w:r>
    </w:p>
    <w:p>
      <w:pPr>
        <w:pStyle w:val="Bullet1"/>
        <w:spacing w:after="80"/>
        <w:ind w:left="425" w:hanging="215"/>
        <w:jc w:val="both"/>
        <w:keepLines/>
      </w:pPr>
      <w:r>
        <w:rPr>
          <w:rFonts w:ascii="Noto Serif CJK SC" w:hAnsi="Noto Serif CJK SC" w:eastAsia="Noto Serif CJK SC"/>
          <w:color w:val="26323B"/>
          <w:sz w:val="20"/>
        </w:rPr>
        <w:t>候选机制与既有文献完全重合，且跨物种分析不提供新的边界或预测。</w:t>
      </w:r>
    </w:p>
    <w:p>
      <w:pPr>
        <w:pStyle w:val="Bullet1"/>
        <w:spacing w:after="80"/>
        <w:ind w:left="425" w:hanging="215"/>
        <w:jc w:val="both"/>
        <w:keepLines/>
      </w:pPr>
      <w:r>
        <w:rPr>
          <w:rFonts w:ascii="Noto Serif CJK SC" w:hAnsi="Noto Serif CJK SC" w:eastAsia="Noto Serif CJK SC"/>
          <w:color w:val="26323B"/>
          <w:sz w:val="20"/>
        </w:rPr>
        <w:t>需要大规模新宿主组学或多物种湿实验才能维持主张，超出合作资源与论文最小充分证据。</w:t>
      </w:r>
    </w:p>
    <w:p>
      <w:pPr>
        <w:pStyle w:val="Heading1"/>
        <w:spacing w:before="240" w:after="140"/>
        <w:pBdr>
          <w:bottom w:val="single" w:sz="12" w:space="4" w:color="A43B3B"/>
        </w:pBdr>
        <w:keepNext/>
        <w:keepLines/>
      </w:pPr>
      <w:r>
        <w:rPr>
          <w:rFonts w:ascii="Noto Sans CJK SC" w:hAnsi="Noto Sans CJK SC" w:eastAsia="Noto Sans CJK SC"/>
          <w:b/>
          <w:color w:val="17324D"/>
          <w:sz w:val="33"/>
        </w:rPr>
        <w:t>14. 阶段性产出与协作结构</w:t>
      </w:r>
    </w:p>
    <w:p>
      <w:pPr>
        <w:pStyle w:val="Heading2"/>
        <w:spacing w:before="180" w:after="100"/>
        <w:keepNext/>
        <w:keepLines/>
      </w:pPr>
      <w:r>
        <w:rPr>
          <w:rFonts w:ascii="Noto Sans CJK SC" w:hAnsi="Noto Sans CJK SC" w:eastAsia="Noto Sans CJK SC"/>
          <w:b/>
          <w:color w:val="2B6F77"/>
          <w:sz w:val="26"/>
        </w:rPr>
        <w:t>14.1 决策里程碑（不绑定具体工期）</w:t>
      </w:r>
    </w:p>
    <w:tbl>
      <w:tblPr>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814"/>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里程碑</w:t>
            </w:r>
          </w:p>
        </w:tc>
        <w:tc>
          <w:tcPr>
            <w:tcW w:type="dxa" w:w="4535"/>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交付物</w:t>
            </w:r>
          </w:p>
        </w:tc>
        <w:tc>
          <w:tcPr>
            <w:tcW w:type="dxa" w:w="2891"/>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关键决策</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M0｜立项对齐</w:t>
            </w:r>
          </w:p>
        </w:tc>
        <w:tc>
          <w:tcPr>
            <w:tcW w:type="dxa" w:w="45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完成物种—数据—问题矩阵和名词边界；确定目标主线与 fallback。</w:t>
            </w:r>
          </w:p>
        </w:tc>
        <w:tc>
          <w:tcPr>
            <w:tcW w:type="dxa" w:w="289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是否存在足够的独立谱系对照？</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M1｜组成图谱</w:t>
            </w:r>
          </w:p>
        </w:tc>
        <w:tc>
          <w:tcPr>
            <w:tcW w:type="dxa" w:w="45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完成高可信组成转换与区室差异。</w:t>
            </w:r>
          </w:p>
        </w:tc>
        <w:tc>
          <w:tcPr>
            <w:tcW w:type="dxa" w:w="289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证据门 A：能否进入跨谱系比较？</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M2｜反事实分解</w:t>
            </w:r>
          </w:p>
        </w:tc>
        <w:tc>
          <w:tcPr>
            <w:tcW w:type="dxa" w:w="45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得到背景可解释部分和候选残差。</w:t>
            </w:r>
          </w:p>
        </w:tc>
        <w:tc>
          <w:tcPr>
            <w:tcW w:type="dxa" w:w="289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证据门 B：翻译轴还是可塑性轴？</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M3｜功能整合</w:t>
            </w:r>
          </w:p>
        </w:tc>
        <w:tc>
          <w:tcPr>
            <w:tcW w:type="dxa" w:w="45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残差与阶段、翻译、蛋白和扰动证据交叉。</w:t>
            </w:r>
          </w:p>
        </w:tc>
        <w:tc>
          <w:tcPr>
            <w:tcW w:type="dxa" w:w="289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证据门 C：是否形成机制故事？</w:t>
            </w:r>
          </w:p>
        </w:tc>
      </w:tr>
      <w:tr>
        <w:trPr>
          <w:cantSplit/>
        </w:trPr>
        <w:tc>
          <w:tcPr>
            <w:tcW w:type="dxa" w:w="1814"/>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M4｜投稿级聚焦</w:t>
            </w:r>
          </w:p>
        </w:tc>
        <w:tc>
          <w:tcPr>
            <w:tcW w:type="dxa" w:w="4535"/>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锁定 1 个主机制、主要图件和可证伪预测。</w:t>
            </w:r>
          </w:p>
        </w:tc>
        <w:tc>
          <w:tcPr>
            <w:tcW w:type="dxa" w:w="2891"/>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证据门 D：是否需要最小新增实验？</w:t>
            </w:r>
          </w:p>
        </w:tc>
      </w:tr>
      <w:tr>
        <w:trPr>
          <w:cantSplit/>
        </w:trPr>
        <w:tc>
          <w:tcPr>
            <w:tcW w:type="dxa" w:w="1814"/>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7"/>
              </w:rPr>
              <w:t>M5｜升级或收口</w:t>
            </w:r>
          </w:p>
        </w:tc>
        <w:tc>
          <w:tcPr>
            <w:tcW w:type="dxa" w:w="4535"/>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执行条件性验证，或以公开数据闭环并完成主稿。</w:t>
            </w:r>
          </w:p>
        </w:tc>
        <w:tc>
          <w:tcPr>
            <w:tcW w:type="dxa" w:w="2891"/>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7"/>
              </w:rPr>
              <w:t>维持 Nature Microbiology，或诚实调整期刊。</w:t>
            </w:r>
          </w:p>
        </w:tc>
      </w:tr>
    </w:tbl>
    <w:p>
      <w:pPr>
        <w:spacing w:after="0"/>
        <w:keepLines/>
      </w:pPr>
    </w:p>
    <w:p>
      <w:pPr>
        <w:pStyle w:val="Heading2"/>
        <w:spacing w:before="180" w:after="100"/>
        <w:keepNext/>
        <w:keepLines/>
      </w:pPr>
      <w:r>
        <w:rPr>
          <w:rFonts w:ascii="Noto Sans CJK SC" w:hAnsi="Noto Sans CJK SC" w:eastAsia="Noto Sans CJK SC"/>
          <w:b/>
          <w:color w:val="2B6F77"/>
          <w:sz w:val="26"/>
        </w:rPr>
        <w:t>14.2 合作分工原则</w:t>
      </w:r>
    </w:p>
    <w:tbl>
      <w:tblPr>
        <w:tblW w:type="auto" w:w="0"/>
        <w:jc w:val="center"/>
        <w:tblLayout w:type="fixed"/>
        <w:tblLook w:firstColumn="1" w:firstRow="1" w:lastColumn="0" w:lastRow="0" w:noHBand="0" w:noVBand="1" w:val="04A0"/>
      </w:tblPr>
      <w:tblGrid>
        <w:gridCol w:w="4776"/>
        <w:gridCol w:w="4776"/>
      </w:tblGrid>
      <w:tr>
        <w:trPr>
          <w:tblHeader w:val="true"/>
          <w:cantSplit/>
        </w:trPr>
        <w:tc>
          <w:tcPr>
            <w:tcW w:type="dxa" w:w="2268"/>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角色</w:t>
            </w:r>
          </w:p>
        </w:tc>
        <w:tc>
          <w:tcPr>
            <w:tcW w:type="dxa" w:w="6860"/>
            <w:shd w:fill="17324D"/>
            <w:tcMar>
              <w:top w:w="110" w:type="dxa"/>
              <w:start w:w="120" w:type="dxa"/>
              <w:bottom w:w="110" w:type="dxa"/>
              <w:end w:w="120" w:type="dxa"/>
            </w:tcMar>
            <w:vAlign w:val="center"/>
            <w:tcBorders>
              <w:top w:val="single" w:sz="3" w:color="D5DCE2"/>
              <w:left w:val="single" w:sz="3" w:color="D5DCE2"/>
              <w:bottom w:val="single" w:sz="3" w:color="D5DCE2"/>
              <w:right w:val="single" w:sz="3" w:color="D5DCE2"/>
            </w:tcBorders>
          </w:tcPr>
          <w:p>
            <w:pPr>
              <w:jc w:val="center"/>
            </w:pPr>
            <w:r>
              <w:rPr>
                <w:rFonts w:ascii="Noto Sans CJK SC" w:hAnsi="Noto Sans CJK SC" w:eastAsia="Noto Sans CJK SC"/>
                <w:b/>
                <w:color w:val="FFFFFF"/>
                <w:sz w:val="18"/>
              </w:rPr>
              <w:t>责任</w:t>
            </w:r>
          </w:p>
        </w:tc>
      </w:tr>
      <w:tr>
        <w:trPr>
          <w:cantSplit/>
        </w:trPr>
        <w:tc>
          <w:tcPr>
            <w:tcW w:type="dxa" w:w="226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生物信息学/计算侧</w:t>
            </w:r>
          </w:p>
        </w:tc>
        <w:tc>
          <w:tcPr>
            <w:tcW w:type="dxa" w:w="686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比较设计、数据审计、系统发育与反事实模型、公共组学整合、可重复资源和主图构建。</w:t>
            </w:r>
          </w:p>
        </w:tc>
      </w:tr>
      <w:tr>
        <w:trPr>
          <w:cantSplit/>
        </w:trPr>
        <w:tc>
          <w:tcPr>
            <w:tcW w:type="dxa" w:w="2268"/>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寄生虫专家侧</w:t>
            </w:r>
          </w:p>
        </w:tc>
        <w:tc>
          <w:tcPr>
            <w:tcW w:type="dxa" w:w="6860"/>
            <w:shd w:fill="F7F9FB"/>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物种与生命周期解释、注释/培养可行性判断、候选机制筛选、实验选择与生物学边界把关。</w:t>
            </w:r>
          </w:p>
        </w:tc>
      </w:tr>
      <w:tr>
        <w:trPr>
          <w:cantSplit/>
        </w:trPr>
        <w:tc>
          <w:tcPr>
            <w:tcW w:type="dxa" w:w="2268"/>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ans CJK SC" w:hAnsi="Noto Sans CJK SC" w:eastAsia="Noto Sans CJK SC"/>
                <w:b/>
                <w:color w:val="17324D"/>
                <w:sz w:val="18"/>
              </w:rPr>
              <w:t>共同责任</w:t>
            </w:r>
          </w:p>
        </w:tc>
        <w:tc>
          <w:tcPr>
            <w:tcW w:type="dxa" w:w="6860"/>
            <w:shd w:fill="FFFFFF"/>
            <w:tcMar>
              <w:top w:w="90" w:type="dxa"/>
              <w:start w:w="110" w:type="dxa"/>
              <w:bottom w:w="90" w:type="dxa"/>
              <w:end w:w="110" w:type="dxa"/>
            </w:tcMar>
            <w:vAlign w:val="center"/>
            <w:tcBorders>
              <w:top w:val="single" w:sz="3" w:color="D5DCE2"/>
              <w:left w:val="single" w:sz="3" w:color="D5DCE2"/>
              <w:bottom w:val="single" w:sz="3" w:color="D5DCE2"/>
              <w:right w:val="single" w:sz="3" w:color="D5DCE2"/>
            </w:tcBorders>
          </w:tcPr>
          <w:p>
            <w:pPr>
              <w:jc w:val="left"/>
            </w:pPr>
            <w:r>
              <w:rPr>
                <w:rFonts w:ascii="Noto Serif CJK SC" w:hAnsi="Noto Serif CJK SC" w:eastAsia="Noto Serif CJK SC"/>
                <w:b w:val="0"/>
                <w:color w:val="26323B"/>
                <w:sz w:val="18"/>
              </w:rPr>
              <w:t>每个证据门的 go/pivot/stop 决策；避免在统计信号尚不稳健时提前进入实验或转化宣传。</w:t>
            </w:r>
          </w:p>
        </w:tc>
      </w:tr>
    </w:tbl>
    <w:p>
      <w:pPr>
        <w:spacing w:after="0"/>
        <w:keepLines/>
      </w:pPr>
    </w:p>
    <w:p>
      <w:pPr>
        <w:pStyle w:val="Heading2"/>
        <w:spacing w:before="180" w:after="100"/>
        <w:keepNext/>
        <w:keepLines/>
      </w:pPr>
      <w:r>
        <w:rPr>
          <w:rFonts w:ascii="Noto Sans CJK SC" w:hAnsi="Noto Sans CJK SC" w:eastAsia="Noto Sans CJK SC"/>
          <w:b/>
          <w:color w:val="2B6F77"/>
          <w:sz w:val="26"/>
        </w:rPr>
        <w:t>14.3 预期交付物</w:t>
      </w:r>
    </w:p>
    <w:p>
      <w:pPr>
        <w:pStyle w:val="Bullet1"/>
        <w:spacing w:after="80"/>
        <w:ind w:left="425" w:hanging="215"/>
        <w:jc w:val="both"/>
        <w:keepLines/>
      </w:pPr>
      <w:r>
        <w:rPr>
          <w:rFonts w:ascii="Noto Serif CJK SC" w:hAnsi="Noto Serif CJK SC" w:eastAsia="Noto Serif CJK SC"/>
          <w:color w:val="26323B"/>
          <w:sz w:val="20"/>
        </w:rPr>
        <w:t>一个经过审计的跨物种基因组、蛋白组、同源关系和元数据资源。</w:t>
      </w:r>
    </w:p>
    <w:p>
      <w:pPr>
        <w:pStyle w:val="Bullet1"/>
        <w:spacing w:after="80"/>
        <w:ind w:left="425" w:hanging="215"/>
        <w:jc w:val="both"/>
        <w:keepLines/>
      </w:pPr>
      <w:r>
        <w:rPr>
          <w:rFonts w:ascii="Noto Serif CJK SC" w:hAnsi="Noto Serif CJK SC" w:eastAsia="Noto Serif CJK SC"/>
          <w:color w:val="26323B"/>
          <w:sz w:val="20"/>
        </w:rPr>
        <w:t>一套明确区分组成、突变、替换和选择的比较框架。</w:t>
      </w:r>
    </w:p>
    <w:p>
      <w:pPr>
        <w:pStyle w:val="Bullet1"/>
        <w:spacing w:after="80"/>
        <w:ind w:left="425" w:hanging="215"/>
        <w:jc w:val="both"/>
        <w:keepLines/>
      </w:pPr>
      <w:r>
        <w:rPr>
          <w:rFonts w:ascii="Noto Serif CJK SC" w:hAnsi="Noto Serif CJK SC" w:eastAsia="Noto Serif CJK SC"/>
          <w:color w:val="26323B"/>
          <w:sz w:val="20"/>
        </w:rPr>
        <w:t>跨层级碱基—密码子—氨基酸—蛋白残差图谱。</w:t>
      </w:r>
    </w:p>
    <w:p>
      <w:pPr>
        <w:pStyle w:val="Bullet1"/>
        <w:spacing w:after="80"/>
        <w:ind w:left="425" w:hanging="215"/>
        <w:jc w:val="both"/>
        <w:keepLines/>
      </w:pPr>
      <w:r>
        <w:rPr>
          <w:rFonts w:ascii="Noto Serif CJK SC" w:hAnsi="Noto Serif CJK SC" w:eastAsia="Noto Serif CJK SC"/>
          <w:color w:val="26323B"/>
          <w:sz w:val="20"/>
        </w:rPr>
        <w:t>数据丰富物种中的阶段翻译供需与应激整合结果。</w:t>
      </w:r>
    </w:p>
    <w:p>
      <w:pPr>
        <w:pStyle w:val="Bullet1"/>
        <w:spacing w:after="80"/>
        <w:ind w:left="425" w:hanging="215"/>
        <w:jc w:val="both"/>
        <w:keepLines/>
      </w:pPr>
      <w:r>
        <w:rPr>
          <w:rFonts w:ascii="Noto Serif CJK SC" w:hAnsi="Noto Serif CJK SC" w:eastAsia="Noto Serif CJK SC"/>
          <w:color w:val="26323B"/>
          <w:sz w:val="20"/>
        </w:rPr>
        <w:t>1–3 个可证伪机制模型及其条件性验证建议。</w:t>
      </w:r>
    </w:p>
    <w:p>
      <w:pPr>
        <w:pStyle w:val="Bullet1"/>
        <w:spacing w:after="80"/>
        <w:ind w:left="425" w:hanging="215"/>
        <w:jc w:val="both"/>
        <w:keepLines/>
      </w:pPr>
      <w:r>
        <w:rPr>
          <w:rFonts w:ascii="Noto Serif CJK SC" w:hAnsi="Noto Serif CJK SC" w:eastAsia="Noto Serif CJK SC"/>
          <w:color w:val="26323B"/>
          <w:sz w:val="20"/>
        </w:rPr>
        <w:t>面向 Nature Microbiology 的主图架构、补充资源与转向策略。</w:t>
      </w:r>
    </w:p>
    <w:p>
      <w:pPr>
        <w:pStyle w:val="Heading2"/>
        <w:spacing w:before="180" w:after="100"/>
        <w:keepNext/>
        <w:keepLines/>
      </w:pPr>
      <w:r>
        <w:rPr>
          <w:rFonts w:ascii="Noto Sans CJK SC" w:hAnsi="Noto Sans CJK SC" w:eastAsia="Noto Sans CJK SC"/>
          <w:b/>
          <w:color w:val="2B6F77"/>
          <w:sz w:val="26"/>
        </w:rPr>
        <w:t>14.4 最终判断</w:t>
      </w:r>
    </w:p>
    <w:p>
      <w:pPr>
        <w:pStyle w:val="Body"/>
        <w:spacing w:after="100"/>
        <w:ind w:firstLine="420"/>
        <w:jc w:val="both"/>
        <w:keepLines/>
      </w:pPr>
      <w:r>
        <w:rPr>
          <w:rFonts w:ascii="Noto Serif CJK SC" w:hAnsi="Noto Serif CJK SC" w:eastAsia="Noto Serif CJK SC"/>
          <w:i w:val="0"/>
          <w:color w:val="26323B"/>
          <w:sz w:val="21"/>
        </w:rPr>
        <w:t>这个课题的上限不取决于是否使用复杂模型，而取决于能否完成一次干净的科学分解：先证明不同谱系的组成历史，再测量它向编码层传导了多少，最后只对无法由背景解释且得到功能支持的部分讨论适应。若成功，本项目可以把 P. falciparum 中已知的突变偏倚、营养调控和 tRNA/耐药机制统一为一个跨物种原则，符合 Nature Microbiology 对“寄生虫特异机制 + 广泛微生物学意义 + 功能证据”的品位。</w:t>
      </w:r>
    </w:p>
    <w:p>
      <w:pPr>
        <w:pStyle w:val="Body"/>
        <w:spacing w:after="100"/>
        <w:ind w:firstLine="420"/>
        <w:jc w:val="both"/>
        <w:keepLines/>
      </w:pPr>
      <w:r>
        <w:rPr>
          <w:rFonts w:ascii="Noto Serif CJK SC" w:hAnsi="Noto Serif CJK SC" w:eastAsia="Noto Serif CJK SC"/>
          <w:i w:val="0"/>
          <w:color w:val="26323B"/>
          <w:sz w:val="21"/>
        </w:rPr>
        <w:t>相反，如果结果表明大部分氨基酸偏好只是 AT/GC 的机械后果，这也不是失败，而是对领域中过度适应性解释的必要校正；只是届时期刊和叙事需要降级。项目设计的价值正在于：它允许高影响力正结果，也允许高质量否证，而不依赖事后增加算法或实验来制造故事。</w:t>
      </w:r>
    </w:p>
    <w:p>
      <w:pPr>
        <w:pStyle w:val="Heading1"/>
        <w:spacing w:before="240" w:after="140"/>
        <w:pBdr>
          <w:bottom w:val="single" w:sz="12" w:space="4" w:color="A43B3B"/>
        </w:pBdr>
        <w:keepNext/>
        <w:keepLines/>
      </w:pPr>
      <w:r>
        <w:rPr>
          <w:rFonts w:ascii="Noto Sans CJK SC" w:hAnsi="Noto Sans CJK SC" w:eastAsia="Noto Sans CJK SC"/>
          <w:b/>
          <w:color w:val="17324D"/>
          <w:sz w:val="33"/>
        </w:rPr>
        <w:t>15. 参考文献</w:t>
      </w:r>
    </w:p>
    <w:tbl>
      <w:tblPr>
        <w:tblW w:type="auto" w:w="0"/>
        <w:jc w:val="center"/>
        <w:tblLayout w:type="autofit"/>
        <w:tblLook w:firstColumn="1" w:firstRow="1" w:lastColumn="0" w:lastRow="0" w:noHBand="0" w:noVBand="1" w:val="04A0"/>
      </w:tblPr>
      <w:tblGrid>
        <w:gridCol w:w="9553"/>
      </w:tblGrid>
      <w:tr>
        <w:tc>
          <w:tcPr>
            <w:tcW w:type="dxa" w:w="9553"/>
            <w:shd w:fill="F7F8FA"/>
            <w:tcMar>
              <w:top w:w="120" w:type="dxa"/>
              <w:start w:w="160" w:type="dxa"/>
              <w:bottom w:w="120" w:type="dxa"/>
              <w:end w:w="160" w:type="dxa"/>
            </w:tcMar>
            <w:tcBorders>
              <w:top w:val="single" w:sz="4" w:color="D6DDE3"/>
              <w:left w:val="single" w:sz="4" w:color="D6DDE3"/>
              <w:bottom w:val="single" w:sz="4" w:color="D6DDE3"/>
              <w:right w:val="single" w:sz="4" w:color="D6DDE3"/>
            </w:tcBorders>
          </w:tcPr>
          <w:p>
            <w:pPr>
              <w:spacing w:after="120"/>
              <w:jc w:val="both"/>
            </w:pPr>
            <w:r>
              <w:rPr>
                <w:rFonts w:ascii="Noto Sans CJK SC" w:hAnsi="Noto Sans CJK SC" w:eastAsia="Noto Sans CJK SC"/>
                <w:i w:val="0"/>
                <w:color w:val="6C7883"/>
                <w:sz w:val="18"/>
              </w:rPr>
              <w:t>以下文献以方案论证所需的代表性高水平研究为主，覆盖 Nature、Science、Cell、Nature Microbiology、Nature Communications 及关键基础工作。具体实施阶段应再进行系统检索与引用更新。</w:t>
            </w:r>
          </w:p>
        </w:tc>
      </w:tr>
    </w:tbl>
    <w:p>
      <w:pPr>
        <w:pStyle w:val="Reference"/>
        <w:spacing w:after="50"/>
        <w:ind w:left="397" w:hanging="397"/>
        <w:keepLines/>
      </w:pPr>
      <w:r>
        <w:rPr>
          <w:rFonts w:ascii="Noto Sans CJK SC" w:hAnsi="Noto Sans CJK SC" w:eastAsia="Noto Sans CJK SC"/>
          <w:color w:val="26323B"/>
          <w:sz w:val="17"/>
        </w:rPr>
        <w:t>1. World Health Organization. World malaria report 2025. Geneva: WHO (2025).</w:t>
      </w:r>
    </w:p>
    <w:p>
      <w:pPr>
        <w:pStyle w:val="Reference"/>
        <w:spacing w:after="50"/>
        <w:ind w:left="397" w:hanging="397"/>
        <w:keepLines/>
      </w:pPr>
      <w:r>
        <w:rPr>
          <w:rFonts w:ascii="Noto Sans CJK SC" w:hAnsi="Noto Sans CJK SC" w:eastAsia="Noto Sans CJK SC"/>
          <w:color w:val="26323B"/>
          <w:sz w:val="17"/>
        </w:rPr>
        <w:t>2. Gardner, M. J. et al. Genome sequence of the human malaria parasite Plasmodium falciparum. Nature 419, 498–511 (2002).</w:t>
      </w:r>
      <w:r>
        <w:t xml:space="preserve"> </w:t>
      </w:r>
      <w:hyperlink r:id="rId13">
        <w:r>
          <w:rPr>
            <w:color w:val="2B6F77"/>
            <w:rFonts w:ascii="Noto Sans CJK SC" w:hAnsi="Noto Sans CJK SC" w:eastAsia="Noto Sans CJK SC"/>
            <w:sz w:val="17"/>
          </w:rPr>
          <w:t>doi:10.1038/nature01097</w:t>
        </w:r>
      </w:hyperlink>
    </w:p>
    <w:p>
      <w:pPr>
        <w:pStyle w:val="Reference"/>
        <w:spacing w:after="50"/>
        <w:ind w:left="397" w:hanging="397"/>
        <w:keepLines/>
      </w:pPr>
      <w:r>
        <w:rPr>
          <w:rFonts w:ascii="Noto Sans CJK SC" w:hAnsi="Noto Sans CJK SC" w:eastAsia="Noto Sans CJK SC"/>
          <w:color w:val="26323B"/>
          <w:sz w:val="17"/>
        </w:rPr>
        <w:t>3. Manske, M. et al. Analysis of Plasmodium falciparum diversity in natural infections by deep sequencing. Nature 487, 375–379 (2012).</w:t>
      </w:r>
      <w:r>
        <w:t xml:space="preserve"> </w:t>
      </w:r>
      <w:hyperlink r:id="rId14">
        <w:r>
          <w:rPr>
            <w:color w:val="2B6F77"/>
            <w:rFonts w:ascii="Noto Sans CJK SC" w:hAnsi="Noto Sans CJK SC" w:eastAsia="Noto Sans CJK SC"/>
            <w:sz w:val="17"/>
          </w:rPr>
          <w:t>doi:10.1038/nature11174</w:t>
        </w:r>
      </w:hyperlink>
    </w:p>
    <w:p>
      <w:pPr>
        <w:pStyle w:val="Reference"/>
        <w:spacing w:after="50"/>
        <w:ind w:left="397" w:hanging="397"/>
        <w:keepLines/>
      </w:pPr>
      <w:r>
        <w:rPr>
          <w:rFonts w:ascii="Noto Sans CJK SC" w:hAnsi="Noto Sans CJK SC" w:eastAsia="Noto Sans CJK SC"/>
          <w:color w:val="26323B"/>
          <w:sz w:val="17"/>
        </w:rPr>
        <w:t>4. Hamilton, W. L. et al. Extreme mutation bias and high AT content in Plasmodium falciparum. Nucleic Acids Research 45, 1889–1901 (2017).</w:t>
      </w:r>
      <w:r>
        <w:t xml:space="preserve"> </w:t>
      </w:r>
      <w:hyperlink r:id="rId15">
        <w:r>
          <w:rPr>
            <w:color w:val="2B6F77"/>
            <w:rFonts w:ascii="Noto Sans CJK SC" w:hAnsi="Noto Sans CJK SC" w:eastAsia="Noto Sans CJK SC"/>
            <w:sz w:val="17"/>
          </w:rPr>
          <w:t>doi:10.1093/nar/gkw1259</w:t>
        </w:r>
      </w:hyperlink>
    </w:p>
    <w:p>
      <w:pPr>
        <w:pStyle w:val="Reference"/>
        <w:spacing w:after="50"/>
        <w:ind w:left="397" w:hanging="397"/>
        <w:keepLines/>
      </w:pPr>
      <w:r>
        <w:rPr>
          <w:rFonts w:ascii="Noto Sans CJK SC" w:hAnsi="Noto Sans CJK SC" w:eastAsia="Noto Sans CJK SC"/>
          <w:color w:val="26323B"/>
          <w:sz w:val="17"/>
        </w:rPr>
        <w:t>5. Miles, A. et al. Indels, structural variation, and recombination drive genomic diversity in Plasmodium falciparum. Genome Research 26, 1288–1299 (2016).</w:t>
      </w:r>
    </w:p>
    <w:p>
      <w:pPr>
        <w:pStyle w:val="Reference"/>
        <w:spacing w:after="50"/>
        <w:ind w:left="397" w:hanging="397"/>
        <w:keepLines/>
      </w:pPr>
      <w:r>
        <w:rPr>
          <w:rFonts w:ascii="Noto Sans CJK SC" w:hAnsi="Noto Sans CJK SC" w:eastAsia="Noto Sans CJK SC"/>
          <w:color w:val="26323B"/>
          <w:sz w:val="17"/>
        </w:rPr>
        <w:t>6. Michel, M. et al. Ancient Plasmodium genomes shed light on the history of human malaria. Nature 631, 125–133 (2024).</w:t>
      </w:r>
      <w:r>
        <w:t xml:space="preserve"> </w:t>
      </w:r>
      <w:hyperlink r:id="rId16">
        <w:r>
          <w:rPr>
            <w:color w:val="2B6F77"/>
            <w:rFonts w:ascii="Noto Sans CJK SC" w:hAnsi="Noto Sans CJK SC" w:eastAsia="Noto Sans CJK SC"/>
            <w:sz w:val="17"/>
          </w:rPr>
          <w:t>doi:10.1038/s41586-024-07546-2</w:t>
        </w:r>
      </w:hyperlink>
    </w:p>
    <w:p>
      <w:pPr>
        <w:pStyle w:val="Reference"/>
        <w:spacing w:after="50"/>
        <w:ind w:left="397" w:hanging="397"/>
        <w:keepLines/>
      </w:pPr>
      <w:r>
        <w:rPr>
          <w:rFonts w:ascii="Noto Sans CJK SC" w:hAnsi="Noto Sans CJK SC" w:eastAsia="Noto Sans CJK SC"/>
          <w:color w:val="26323B"/>
          <w:sz w:val="17"/>
        </w:rPr>
        <w:t>7. Liu, W. et al. Origin of the human malaria parasite Plasmodium falciparum in gorillas. Nature 467, 420–425 (2010).</w:t>
      </w:r>
      <w:r>
        <w:t xml:space="preserve"> </w:t>
      </w:r>
      <w:hyperlink r:id="rId17">
        <w:r>
          <w:rPr>
            <w:color w:val="2B6F77"/>
            <w:rFonts w:ascii="Noto Sans CJK SC" w:hAnsi="Noto Sans CJK SC" w:eastAsia="Noto Sans CJK SC"/>
            <w:sz w:val="17"/>
          </w:rPr>
          <w:t>doi:10.1038/nature09442</w:t>
        </w:r>
      </w:hyperlink>
    </w:p>
    <w:p>
      <w:pPr>
        <w:pStyle w:val="Reference"/>
        <w:spacing w:after="50"/>
        <w:ind w:left="397" w:hanging="397"/>
        <w:keepLines/>
      </w:pPr>
      <w:r>
        <w:rPr>
          <w:rFonts w:ascii="Noto Sans CJK SC" w:hAnsi="Noto Sans CJK SC" w:eastAsia="Noto Sans CJK SC"/>
          <w:color w:val="26323B"/>
          <w:sz w:val="17"/>
        </w:rPr>
        <w:t>8. Otto, T. D. et al. Genome sequencing of chimpanzee malaria parasites reveals possible pathways of adaptation to human hosts. Nature Communications 5, 4754 (2014).</w:t>
      </w:r>
      <w:r>
        <w:t xml:space="preserve"> </w:t>
      </w:r>
      <w:hyperlink r:id="rId18">
        <w:r>
          <w:rPr>
            <w:color w:val="2B6F77"/>
            <w:rFonts w:ascii="Noto Sans CJK SC" w:hAnsi="Noto Sans CJK SC" w:eastAsia="Noto Sans CJK SC"/>
            <w:sz w:val="17"/>
          </w:rPr>
          <w:t>doi:10.1038/ncomms5754</w:t>
        </w:r>
      </w:hyperlink>
    </w:p>
    <w:p>
      <w:pPr>
        <w:pStyle w:val="Reference"/>
        <w:spacing w:after="50"/>
        <w:ind w:left="397" w:hanging="397"/>
        <w:keepLines/>
      </w:pPr>
      <w:r>
        <w:rPr>
          <w:rFonts w:ascii="Noto Sans CJK SC" w:hAnsi="Noto Sans CJK SC" w:eastAsia="Noto Sans CJK SC"/>
          <w:color w:val="26323B"/>
          <w:sz w:val="17"/>
        </w:rPr>
        <w:t>9. Sundararaman, S. A. et al. Genomes of cryptic chimpanzee Plasmodium species reveal key evolutionary events leading to human malaria. Nature Communications 7, 11078 (2016).</w:t>
      </w:r>
      <w:r>
        <w:t xml:space="preserve"> </w:t>
      </w:r>
      <w:hyperlink r:id="rId19">
        <w:r>
          <w:rPr>
            <w:color w:val="2B6F77"/>
            <w:rFonts w:ascii="Noto Sans CJK SC" w:hAnsi="Noto Sans CJK SC" w:eastAsia="Noto Sans CJK SC"/>
            <w:sz w:val="17"/>
          </w:rPr>
          <w:t>doi:10.1038/ncomms11078</w:t>
        </w:r>
      </w:hyperlink>
    </w:p>
    <w:p>
      <w:pPr>
        <w:pStyle w:val="Reference"/>
        <w:spacing w:after="50"/>
        <w:ind w:left="397" w:hanging="397"/>
        <w:keepLines/>
      </w:pPr>
      <w:r>
        <w:rPr>
          <w:rFonts w:ascii="Noto Sans CJK SC" w:hAnsi="Noto Sans CJK SC" w:eastAsia="Noto Sans CJK SC"/>
          <w:color w:val="26323B"/>
          <w:sz w:val="17"/>
        </w:rPr>
        <w:t>10. Carey-Ewend, K. et al. Population genomics of Plasmodium ovale species in sub-Saharan Africa. Nature Communications (2024).</w:t>
      </w:r>
      <w:r>
        <w:t xml:space="preserve"> </w:t>
      </w:r>
      <w:hyperlink r:id="rId20">
        <w:r>
          <w:rPr>
            <w:color w:val="2B6F77"/>
            <w:rFonts w:ascii="Noto Sans CJK SC" w:hAnsi="Noto Sans CJK SC" w:eastAsia="Noto Sans CJK SC"/>
            <w:sz w:val="17"/>
          </w:rPr>
          <w:t>doi:10.1038/s41467-024-54667-3</w:t>
        </w:r>
      </w:hyperlink>
    </w:p>
    <w:p>
      <w:pPr>
        <w:pStyle w:val="Reference"/>
        <w:spacing w:after="50"/>
        <w:ind w:left="397" w:hanging="397"/>
        <w:keepLines/>
      </w:pPr>
      <w:r>
        <w:rPr>
          <w:rFonts w:ascii="Noto Sans CJK SC" w:hAnsi="Noto Sans CJK SC" w:eastAsia="Noto Sans CJK SC"/>
          <w:color w:val="26323B"/>
          <w:sz w:val="17"/>
        </w:rPr>
        <w:t>11. Ibrahim, A. et al. Genome sequencing of Plasmodium malariae identifies continental segregation and mutations associated with reduced pyrimethamine susceptibility. Nature Communications (2024).</w:t>
      </w:r>
      <w:r>
        <w:t xml:space="preserve"> </w:t>
      </w:r>
      <w:hyperlink r:id="rId21">
        <w:r>
          <w:rPr>
            <w:color w:val="2B6F77"/>
            <w:rFonts w:ascii="Noto Sans CJK SC" w:hAnsi="Noto Sans CJK SC" w:eastAsia="Noto Sans CJK SC"/>
            <w:sz w:val="17"/>
          </w:rPr>
          <w:t>doi:10.1038/s41467-024-55102-3</w:t>
        </w:r>
      </w:hyperlink>
    </w:p>
    <w:p>
      <w:pPr>
        <w:pStyle w:val="Reference"/>
        <w:spacing w:after="50"/>
        <w:ind w:left="397" w:hanging="397"/>
        <w:keepLines/>
      </w:pPr>
      <w:r>
        <w:rPr>
          <w:rFonts w:ascii="Noto Sans CJK SC" w:hAnsi="Noto Sans CJK SC" w:eastAsia="Noto Sans CJK SC"/>
          <w:color w:val="26323B"/>
          <w:sz w:val="17"/>
        </w:rPr>
        <w:t>12. Billows, N. et al. Global-scale population genetic analysis of Plasmodium falciparum identifies region-specific patterns of malaria parasite adaptation. Nature Communications (2026).</w:t>
      </w:r>
      <w:r>
        <w:t xml:space="preserve"> </w:t>
      </w:r>
      <w:hyperlink r:id="rId22">
        <w:r>
          <w:rPr>
            <w:color w:val="2B6F77"/>
            <w:rFonts w:ascii="Noto Sans CJK SC" w:hAnsi="Noto Sans CJK SC" w:eastAsia="Noto Sans CJK SC"/>
            <w:sz w:val="17"/>
          </w:rPr>
          <w:t>doi:10.1038/s41467-026-73006-2</w:t>
        </w:r>
      </w:hyperlink>
    </w:p>
    <w:p>
      <w:pPr>
        <w:pStyle w:val="Reference"/>
        <w:spacing w:after="50"/>
        <w:ind w:left="397" w:hanging="397"/>
        <w:keepLines/>
      </w:pPr>
      <w:r>
        <w:rPr>
          <w:rFonts w:ascii="Noto Sans CJK SC" w:hAnsi="Noto Sans CJK SC" w:eastAsia="Noto Sans CJK SC"/>
          <w:color w:val="26323B"/>
          <w:sz w:val="17"/>
        </w:rPr>
        <w:t>13. Li, Q. et al. tRNA regulation and amino acid usage bias reflect a coordinated metabolic adaptation in Plasmodium falciparum. iScience 27, 111167 (2024).</w:t>
      </w:r>
      <w:r>
        <w:t xml:space="preserve"> </w:t>
      </w:r>
      <w:hyperlink r:id="rId23">
        <w:r>
          <w:rPr>
            <w:color w:val="2B6F77"/>
            <w:rFonts w:ascii="Noto Sans CJK SC" w:hAnsi="Noto Sans CJK SC" w:eastAsia="Noto Sans CJK SC"/>
            <w:sz w:val="17"/>
          </w:rPr>
          <w:t>doi:10.1016/j.isci.2024.111167</w:t>
        </w:r>
      </w:hyperlink>
    </w:p>
    <w:p>
      <w:pPr>
        <w:pStyle w:val="Reference"/>
        <w:spacing w:after="50"/>
        <w:ind w:left="397" w:hanging="397"/>
        <w:keepLines/>
      </w:pPr>
      <w:r>
        <w:rPr>
          <w:rFonts w:ascii="Noto Sans CJK SC" w:hAnsi="Noto Sans CJK SC" w:eastAsia="Noto Sans CJK SC"/>
          <w:color w:val="26323B"/>
          <w:sz w:val="17"/>
        </w:rPr>
        <w:t>14. Ng, C. S. et al. tRNA epitranscriptomics and biased codon are linked to proteome expression in Plasmodium falciparum. Molecular Systems Biology 14, e8009 (2018).</w:t>
      </w:r>
      <w:r>
        <w:t xml:space="preserve"> </w:t>
      </w:r>
      <w:hyperlink r:id="rId24">
        <w:r>
          <w:rPr>
            <w:color w:val="2B6F77"/>
            <w:rFonts w:ascii="Noto Sans CJK SC" w:hAnsi="Noto Sans CJK SC" w:eastAsia="Noto Sans CJK SC"/>
            <w:sz w:val="17"/>
          </w:rPr>
          <w:t>doi:10.15252/msb.20178009</w:t>
        </w:r>
      </w:hyperlink>
    </w:p>
    <w:p>
      <w:pPr>
        <w:pStyle w:val="Reference"/>
        <w:spacing w:after="50"/>
        <w:ind w:left="397" w:hanging="397"/>
        <w:keepLines/>
      </w:pPr>
      <w:r>
        <w:rPr>
          <w:rFonts w:ascii="Noto Sans CJK SC" w:hAnsi="Noto Sans CJK SC" w:eastAsia="Noto Sans CJK SC"/>
          <w:color w:val="26323B"/>
          <w:sz w:val="17"/>
        </w:rPr>
        <w:t>15. Small-Saunders, J. L. et al. tRNA modification reprogramming contributes to artemisinin resistance in Plasmodium falciparum. Nature Microbiology 9, 1483–1498 (2024).</w:t>
      </w:r>
      <w:r>
        <w:t xml:space="preserve"> </w:t>
      </w:r>
      <w:hyperlink r:id="rId25">
        <w:r>
          <w:rPr>
            <w:color w:val="2B6F77"/>
            <w:rFonts w:ascii="Noto Sans CJK SC" w:hAnsi="Noto Sans CJK SC" w:eastAsia="Noto Sans CJK SC"/>
            <w:sz w:val="17"/>
          </w:rPr>
          <w:t>doi:10.1038/s41564-024-01664-3</w:t>
        </w:r>
      </w:hyperlink>
    </w:p>
    <w:p>
      <w:pPr>
        <w:pStyle w:val="Reference"/>
        <w:spacing w:after="50"/>
        <w:ind w:left="397" w:hanging="397"/>
        <w:keepLines/>
      </w:pPr>
      <w:r>
        <w:rPr>
          <w:rFonts w:ascii="Noto Sans CJK SC" w:hAnsi="Noto Sans CJK SC" w:eastAsia="Noto Sans CJK SC"/>
          <w:color w:val="26323B"/>
          <w:sz w:val="17"/>
        </w:rPr>
        <w:t>16. Baumgarten, S. et al. Transcriptome-wide dynamics of extensive m6A mRNA methylation during Plasmodium falciparum blood-stage development. Nature Microbiology 4, 2246–2259 (2019).</w:t>
      </w:r>
      <w:r>
        <w:t xml:space="preserve"> </w:t>
      </w:r>
      <w:hyperlink r:id="rId26">
        <w:r>
          <w:rPr>
            <w:color w:val="2B6F77"/>
            <w:rFonts w:ascii="Noto Sans CJK SC" w:hAnsi="Noto Sans CJK SC" w:eastAsia="Noto Sans CJK SC"/>
            <w:sz w:val="17"/>
          </w:rPr>
          <w:t>doi:10.1038/s41564-019-0521-7</w:t>
        </w:r>
      </w:hyperlink>
    </w:p>
    <w:p>
      <w:pPr>
        <w:pStyle w:val="Reference"/>
        <w:spacing w:after="50"/>
        <w:ind w:left="397" w:hanging="397"/>
        <w:keepLines/>
      </w:pPr>
      <w:r>
        <w:rPr>
          <w:rFonts w:ascii="Noto Sans CJK SC" w:hAnsi="Noto Sans CJK SC" w:eastAsia="Noto Sans CJK SC"/>
          <w:color w:val="26323B"/>
          <w:sz w:val="17"/>
        </w:rPr>
        <w:t>17. Lindner, S. E. et al. Transcriptomics and proteomics reveal two waves of translational repression during the maturation of malaria parasite sporozoites. Nature Communications 10, 4964 (2019).</w:t>
      </w:r>
      <w:r>
        <w:t xml:space="preserve"> </w:t>
      </w:r>
      <w:hyperlink r:id="rId27">
        <w:r>
          <w:rPr>
            <w:color w:val="2B6F77"/>
            <w:rFonts w:ascii="Noto Sans CJK SC" w:hAnsi="Noto Sans CJK SC" w:eastAsia="Noto Sans CJK SC"/>
            <w:sz w:val="17"/>
          </w:rPr>
          <w:t>doi:10.1038/s41467-019-12936-6</w:t>
        </w:r>
      </w:hyperlink>
    </w:p>
    <w:p>
      <w:pPr>
        <w:pStyle w:val="Reference"/>
        <w:spacing w:after="50"/>
        <w:ind w:left="397" w:hanging="397"/>
        <w:keepLines/>
      </w:pPr>
      <w:r>
        <w:rPr>
          <w:rFonts w:ascii="Noto Sans CJK SC" w:hAnsi="Noto Sans CJK SC" w:eastAsia="Noto Sans CJK SC"/>
          <w:color w:val="26323B"/>
          <w:sz w:val="17"/>
        </w:rPr>
        <w:t>18. Howick, V. M. et al. The Malaria Cell Atlas: single parasite transcriptomes across the complete Plasmodium life cycle. Science 365, eaaw2619 (2019).</w:t>
      </w:r>
      <w:r>
        <w:t xml:space="preserve"> </w:t>
      </w:r>
      <w:hyperlink r:id="rId28">
        <w:r>
          <w:rPr>
            <w:color w:val="2B6F77"/>
            <w:rFonts w:ascii="Noto Sans CJK SC" w:hAnsi="Noto Sans CJK SC" w:eastAsia="Noto Sans CJK SC"/>
            <w:sz w:val="17"/>
          </w:rPr>
          <w:t>doi:10.1126/science.aaw2619</w:t>
        </w:r>
      </w:hyperlink>
    </w:p>
    <w:p>
      <w:pPr>
        <w:pStyle w:val="Reference"/>
        <w:spacing w:after="50"/>
        <w:ind w:left="397" w:hanging="397"/>
        <w:keepLines/>
      </w:pPr>
      <w:r>
        <w:rPr>
          <w:rFonts w:ascii="Noto Sans CJK SC" w:hAnsi="Noto Sans CJK SC" w:eastAsia="Noto Sans CJK SC"/>
          <w:color w:val="26323B"/>
          <w:sz w:val="17"/>
        </w:rPr>
        <w:t>19. Real, E. et al. A single-cell atlas of Plasmodium falciparum transmission through the mosquito. Nature Communications 12, 3196 (2021).</w:t>
      </w:r>
      <w:r>
        <w:t xml:space="preserve"> </w:t>
      </w:r>
      <w:hyperlink r:id="rId29">
        <w:r>
          <w:rPr>
            <w:color w:val="2B6F77"/>
            <w:rFonts w:ascii="Noto Sans CJK SC" w:hAnsi="Noto Sans CJK SC" w:eastAsia="Noto Sans CJK SC"/>
            <w:sz w:val="17"/>
          </w:rPr>
          <w:t>doi:10.1038/s41467-021-23434-z</w:t>
        </w:r>
      </w:hyperlink>
    </w:p>
    <w:p>
      <w:pPr>
        <w:pStyle w:val="Reference"/>
        <w:spacing w:after="50"/>
        <w:ind w:left="397" w:hanging="397"/>
        <w:keepLines/>
      </w:pPr>
      <w:r>
        <w:rPr>
          <w:rFonts w:ascii="Noto Sans CJK SC" w:hAnsi="Noto Sans CJK SC" w:eastAsia="Noto Sans CJK SC"/>
          <w:color w:val="26323B"/>
          <w:sz w:val="17"/>
        </w:rPr>
        <w:t>20. Dogga, S. K. et al. A single cell atlas of sexual development in Plasmodium falciparum. Science 384, eadj4088 (2024).</w:t>
      </w:r>
      <w:r>
        <w:t xml:space="preserve"> </w:t>
      </w:r>
      <w:hyperlink r:id="rId30">
        <w:r>
          <w:rPr>
            <w:color w:val="2B6F77"/>
            <w:rFonts w:ascii="Noto Sans CJK SC" w:hAnsi="Noto Sans CJK SC" w:eastAsia="Noto Sans CJK SC"/>
            <w:sz w:val="17"/>
          </w:rPr>
          <w:t>doi:10.1126/science.adj4088</w:t>
        </w:r>
      </w:hyperlink>
    </w:p>
    <w:p>
      <w:pPr>
        <w:pStyle w:val="Reference"/>
        <w:spacing w:after="50"/>
        <w:ind w:left="397" w:hanging="397"/>
        <w:keepLines/>
      </w:pPr>
      <w:r>
        <w:rPr>
          <w:rFonts w:ascii="Noto Sans CJK SC" w:hAnsi="Noto Sans CJK SC" w:eastAsia="Noto Sans CJK SC"/>
          <w:color w:val="26323B"/>
          <w:sz w:val="17"/>
        </w:rPr>
        <w:t>21. Afriat, A. et al. A spatiotemporally resolved single-cell atlas of the Plasmodium liver stage. Nature 611, 563–569 (2022).</w:t>
      </w:r>
      <w:r>
        <w:t xml:space="preserve"> </w:t>
      </w:r>
      <w:hyperlink r:id="rId31">
        <w:r>
          <w:rPr>
            <w:color w:val="2B6F77"/>
            <w:rFonts w:ascii="Noto Sans CJK SC" w:hAnsi="Noto Sans CJK SC" w:eastAsia="Noto Sans CJK SC"/>
            <w:sz w:val="17"/>
          </w:rPr>
          <w:t>doi:10.1038/s41586-022-05480-z</w:t>
        </w:r>
      </w:hyperlink>
    </w:p>
    <w:p>
      <w:pPr>
        <w:pStyle w:val="Reference"/>
        <w:spacing w:after="50"/>
        <w:ind w:left="397" w:hanging="397"/>
        <w:keepLines/>
      </w:pPr>
      <w:r>
        <w:rPr>
          <w:rFonts w:ascii="Noto Sans CJK SC" w:hAnsi="Noto Sans CJK SC" w:eastAsia="Noto Sans CJK SC"/>
          <w:color w:val="26323B"/>
          <w:sz w:val="17"/>
        </w:rPr>
        <w:t>22. Zanghí, G. et al. Genome-wide gene expression profiles throughout human malaria parasite liver stage development in humanized mice. Nature Microbiology 10, 569–584 (2025).</w:t>
      </w:r>
      <w:r>
        <w:t xml:space="preserve"> </w:t>
      </w:r>
      <w:hyperlink r:id="rId32">
        <w:r>
          <w:rPr>
            <w:color w:val="2B6F77"/>
            <w:rFonts w:ascii="Noto Sans CJK SC" w:hAnsi="Noto Sans CJK SC" w:eastAsia="Noto Sans CJK SC"/>
            <w:sz w:val="17"/>
          </w:rPr>
          <w:t>doi:10.1038/s41564-024-01905-5</w:t>
        </w:r>
      </w:hyperlink>
    </w:p>
    <w:p>
      <w:pPr>
        <w:pStyle w:val="Reference"/>
        <w:spacing w:after="50"/>
        <w:ind w:left="397" w:hanging="397"/>
        <w:keepLines/>
      </w:pPr>
      <w:r>
        <w:rPr>
          <w:rFonts w:ascii="Noto Sans CJK SC" w:hAnsi="Noto Sans CJK SC" w:eastAsia="Noto Sans CJK SC"/>
          <w:color w:val="26323B"/>
          <w:sz w:val="17"/>
        </w:rPr>
        <w:t>23. Singh, P. et al. High-resolution map of the Plasmodium falciparum genome reveals MORC/ApiAP2-mediated links between distant, functionally related genes. Nature Microbiology 10, 1665–1683 (2025).</w:t>
      </w:r>
      <w:r>
        <w:t xml:space="preserve"> </w:t>
      </w:r>
      <w:hyperlink r:id="rId33">
        <w:r>
          <w:rPr>
            <w:color w:val="2B6F77"/>
            <w:rFonts w:ascii="Noto Sans CJK SC" w:hAnsi="Noto Sans CJK SC" w:eastAsia="Noto Sans CJK SC"/>
            <w:sz w:val="17"/>
          </w:rPr>
          <w:t>doi:10.1038/s41564-025-02038-z</w:t>
        </w:r>
      </w:hyperlink>
    </w:p>
    <w:p>
      <w:pPr>
        <w:pStyle w:val="Reference"/>
        <w:spacing w:after="50"/>
        <w:ind w:left="397" w:hanging="397"/>
        <w:keepLines/>
      </w:pPr>
      <w:r>
        <w:rPr>
          <w:rFonts w:ascii="Noto Sans CJK SC" w:hAnsi="Noto Sans CJK SC" w:eastAsia="Noto Sans CJK SC"/>
          <w:color w:val="26323B"/>
          <w:sz w:val="17"/>
        </w:rPr>
        <w:t>24. Pazicky, S. et al. MAP-X reveals distinct protein complex dynamics across Plasmodium falciparum blood stages. Nature Microbiology 10, 3229–3244 (2025).</w:t>
      </w:r>
      <w:r>
        <w:t xml:space="preserve"> </w:t>
      </w:r>
      <w:hyperlink r:id="rId34">
        <w:r>
          <w:rPr>
            <w:color w:val="2B6F77"/>
            <w:rFonts w:ascii="Noto Sans CJK SC" w:hAnsi="Noto Sans CJK SC" w:eastAsia="Noto Sans CJK SC"/>
            <w:sz w:val="17"/>
          </w:rPr>
          <w:t>doi:10.1038/s41564-025-02173-7</w:t>
        </w:r>
      </w:hyperlink>
    </w:p>
    <w:p>
      <w:pPr>
        <w:pStyle w:val="Reference"/>
        <w:spacing w:after="50"/>
        <w:ind w:left="397" w:hanging="397"/>
        <w:keepLines/>
      </w:pPr>
      <w:r>
        <w:rPr>
          <w:rFonts w:ascii="Noto Sans CJK SC" w:hAnsi="Noto Sans CJK SC" w:eastAsia="Noto Sans CJK SC"/>
          <w:color w:val="26323B"/>
          <w:sz w:val="17"/>
        </w:rPr>
        <w:t>25. Chisholm, S. A. et al. The spatial proteome of the Plasmodium falciparum schizont illuminates the composition and evolutionary trajectories of its organelles. Nature Communications 17, 6192 (2026).</w:t>
      </w:r>
      <w:r>
        <w:t xml:space="preserve"> </w:t>
      </w:r>
      <w:hyperlink r:id="rId35">
        <w:r>
          <w:rPr>
            <w:color w:val="2B6F77"/>
            <w:rFonts w:ascii="Noto Sans CJK SC" w:hAnsi="Noto Sans CJK SC" w:eastAsia="Noto Sans CJK SC"/>
            <w:sz w:val="17"/>
          </w:rPr>
          <w:t>doi:10.1038/s41467-026-73664-2</w:t>
        </w:r>
      </w:hyperlink>
    </w:p>
    <w:p>
      <w:pPr>
        <w:pStyle w:val="Reference"/>
        <w:spacing w:after="50"/>
        <w:ind w:left="397" w:hanging="397"/>
        <w:keepLines/>
      </w:pPr>
      <w:r>
        <w:rPr>
          <w:rFonts w:ascii="Noto Sans CJK SC" w:hAnsi="Noto Sans CJK SC" w:eastAsia="Noto Sans CJK SC"/>
          <w:color w:val="26323B"/>
          <w:sz w:val="17"/>
        </w:rPr>
        <w:t>26. Hentzschel, F. et al. An atypical Arp2/3 complex is required for Plasmodium DNA segregation and malaria transmission. Nature Microbiology 10, 1775–1790 (2025).</w:t>
      </w:r>
      <w:r>
        <w:t xml:space="preserve"> </w:t>
      </w:r>
      <w:hyperlink r:id="rId36">
        <w:r>
          <w:rPr>
            <w:color w:val="2B6F77"/>
            <w:rFonts w:ascii="Noto Sans CJK SC" w:hAnsi="Noto Sans CJK SC" w:eastAsia="Noto Sans CJK SC"/>
            <w:sz w:val="17"/>
          </w:rPr>
          <w:t>doi:10.1038/s41564-025-02023-6</w:t>
        </w:r>
      </w:hyperlink>
    </w:p>
    <w:p>
      <w:pPr>
        <w:pStyle w:val="Reference"/>
        <w:spacing w:after="50"/>
        <w:ind w:left="397" w:hanging="397"/>
        <w:keepLines/>
      </w:pPr>
      <w:r>
        <w:rPr>
          <w:rFonts w:ascii="Noto Sans CJK SC" w:hAnsi="Noto Sans CJK SC" w:eastAsia="Noto Sans CJK SC"/>
          <w:color w:val="26323B"/>
          <w:sz w:val="17"/>
        </w:rPr>
        <w:t>27. Luth, M. R. et al. Systematic in vitro evolution in Plasmodium falciparum reveals key determinants of drug resistance. Science 386, eadk9893 (2024).</w:t>
      </w:r>
      <w:r>
        <w:t xml:space="preserve"> </w:t>
      </w:r>
      <w:hyperlink r:id="rId37">
        <w:r>
          <w:rPr>
            <w:color w:val="2B6F77"/>
            <w:rFonts w:ascii="Noto Sans CJK SC" w:hAnsi="Noto Sans CJK SC" w:eastAsia="Noto Sans CJK SC"/>
            <w:sz w:val="17"/>
          </w:rPr>
          <w:t>doi:10.1126/science.adk9893</w:t>
        </w:r>
      </w:hyperlink>
    </w:p>
    <w:p>
      <w:pPr>
        <w:pStyle w:val="Reference"/>
        <w:spacing w:after="50"/>
        <w:ind w:left="397" w:hanging="397"/>
        <w:keepLines/>
      </w:pPr>
      <w:r>
        <w:rPr>
          <w:rFonts w:ascii="Noto Sans CJK SC" w:hAnsi="Noto Sans CJK SC" w:eastAsia="Noto Sans CJK SC"/>
          <w:color w:val="26323B"/>
          <w:sz w:val="17"/>
        </w:rPr>
        <w:t>28. Elsworth, B. et al. The essential genome of Plasmodium knowlesi reveals determinants of antimalarial susceptibility. Science 387, eadq6241 (2025).</w:t>
      </w:r>
      <w:r>
        <w:t xml:space="preserve"> </w:t>
      </w:r>
      <w:hyperlink r:id="rId38">
        <w:r>
          <w:rPr>
            <w:color w:val="2B6F77"/>
            <w:rFonts w:ascii="Noto Sans CJK SC" w:hAnsi="Noto Sans CJK SC" w:eastAsia="Noto Sans CJK SC"/>
            <w:sz w:val="17"/>
          </w:rPr>
          <w:t>doi:10.1126/science.adq6241</w:t>
        </w:r>
      </w:hyperlink>
    </w:p>
    <w:p>
      <w:pPr>
        <w:pStyle w:val="Reference"/>
        <w:spacing w:after="50"/>
        <w:ind w:left="397" w:hanging="397"/>
        <w:keepLines/>
      </w:pPr>
      <w:r>
        <w:rPr>
          <w:rFonts w:ascii="Noto Sans CJK SC" w:hAnsi="Noto Sans CJK SC" w:eastAsia="Noto Sans CJK SC"/>
          <w:color w:val="26323B"/>
          <w:sz w:val="17"/>
        </w:rPr>
        <w:t>29. Oberstaller, J. et al. Supersaturation mutagenesis reveals adaptive rewiring of essential genes among malaria parasites. Science 387, eadq7347 (2025).</w:t>
      </w:r>
      <w:r>
        <w:t xml:space="preserve"> </w:t>
      </w:r>
      <w:hyperlink r:id="rId39">
        <w:r>
          <w:rPr>
            <w:color w:val="2B6F77"/>
            <w:rFonts w:ascii="Noto Sans CJK SC" w:hAnsi="Noto Sans CJK SC" w:eastAsia="Noto Sans CJK SC"/>
            <w:sz w:val="17"/>
          </w:rPr>
          <w:t>doi:10.1126/science.adq7347</w:t>
        </w:r>
      </w:hyperlink>
    </w:p>
    <w:p>
      <w:pPr>
        <w:pStyle w:val="Reference"/>
        <w:spacing w:after="50"/>
        <w:ind w:left="397" w:hanging="397"/>
        <w:keepLines/>
      </w:pPr>
      <w:r>
        <w:rPr>
          <w:rFonts w:ascii="Noto Sans CJK SC" w:hAnsi="Noto Sans CJK SC" w:eastAsia="Noto Sans CJK SC"/>
          <w:color w:val="26323B"/>
          <w:sz w:val="17"/>
        </w:rPr>
        <w:t>30. Zhang, M. et al. Uncovering the essential genes of the human malaria parasite Plasmodium falciparum by saturation mutagenesis. Science 360, eaap7847 (2018).</w:t>
      </w:r>
      <w:r>
        <w:t xml:space="preserve"> </w:t>
      </w:r>
      <w:hyperlink r:id="rId40">
        <w:r>
          <w:rPr>
            <w:color w:val="2B6F77"/>
            <w:rFonts w:ascii="Noto Sans CJK SC" w:hAnsi="Noto Sans CJK SC" w:eastAsia="Noto Sans CJK SC"/>
            <w:sz w:val="17"/>
          </w:rPr>
          <w:t>doi:10.1126/science.aap7847</w:t>
        </w:r>
      </w:hyperlink>
    </w:p>
    <w:p>
      <w:pPr>
        <w:pStyle w:val="Reference"/>
        <w:spacing w:after="50"/>
        <w:ind w:left="397" w:hanging="397"/>
        <w:keepLines/>
      </w:pPr>
      <w:r>
        <w:rPr>
          <w:rFonts w:ascii="Noto Sans CJK SC" w:hAnsi="Noto Sans CJK SC" w:eastAsia="Noto Sans CJK SC"/>
          <w:color w:val="26323B"/>
          <w:sz w:val="17"/>
        </w:rPr>
        <w:t>31. Cowell, A. N. et al. Mapping the malaria parasite druggable genome by using in vitro evolution and chemogenomics. Science 359, 191–199 (2018).</w:t>
      </w:r>
      <w:r>
        <w:t xml:space="preserve"> </w:t>
      </w:r>
      <w:hyperlink r:id="rId41">
        <w:r>
          <w:rPr>
            <w:color w:val="2B6F77"/>
            <w:rFonts w:ascii="Noto Sans CJK SC" w:hAnsi="Noto Sans CJK SC" w:eastAsia="Noto Sans CJK SC"/>
            <w:sz w:val="17"/>
          </w:rPr>
          <w:t>doi:10.1126/science.aan4472</w:t>
        </w:r>
      </w:hyperlink>
    </w:p>
    <w:p>
      <w:pPr>
        <w:pStyle w:val="Reference"/>
        <w:spacing w:after="50"/>
        <w:ind w:left="397" w:hanging="397"/>
        <w:keepLines/>
      </w:pPr>
      <w:r>
        <w:rPr>
          <w:rFonts w:ascii="Noto Sans CJK SC" w:hAnsi="Noto Sans CJK SC" w:eastAsia="Noto Sans CJK SC"/>
          <w:color w:val="26323B"/>
          <w:sz w:val="17"/>
        </w:rPr>
        <w:t>32. Birnbaum, J. et al. A Kelch13-defined endocytosis pathway mediates artemisinin resistance in malaria parasites. Science 367, 51–59 (2020).</w:t>
      </w:r>
      <w:r>
        <w:t xml:space="preserve"> </w:t>
      </w:r>
      <w:hyperlink r:id="rId42">
        <w:r>
          <w:rPr>
            <w:color w:val="2B6F77"/>
            <w:rFonts w:ascii="Noto Sans CJK SC" w:hAnsi="Noto Sans CJK SC" w:eastAsia="Noto Sans CJK SC"/>
            <w:sz w:val="17"/>
          </w:rPr>
          <w:t>doi:10.1126/science.aax4735</w:t>
        </w:r>
      </w:hyperlink>
    </w:p>
    <w:p>
      <w:pPr>
        <w:pStyle w:val="Reference"/>
        <w:spacing w:after="50"/>
        <w:ind w:left="397" w:hanging="397"/>
        <w:keepLines/>
      </w:pPr>
      <w:r>
        <w:rPr>
          <w:rFonts w:ascii="Noto Sans CJK SC" w:hAnsi="Noto Sans CJK SC" w:eastAsia="Noto Sans CJK SC"/>
          <w:color w:val="26323B"/>
          <w:sz w:val="17"/>
        </w:rPr>
        <w:t>33. Mok, S. et al. Population transcriptomics of human malaria parasites reveals the mechanism of artemisinin resistance. Science 347, 431–435 (2015).</w:t>
      </w:r>
      <w:r>
        <w:t xml:space="preserve"> </w:t>
      </w:r>
      <w:hyperlink r:id="rId43">
        <w:r>
          <w:rPr>
            <w:color w:val="2B6F77"/>
            <w:rFonts w:ascii="Noto Sans CJK SC" w:hAnsi="Noto Sans CJK SC" w:eastAsia="Noto Sans CJK SC"/>
            <w:sz w:val="17"/>
          </w:rPr>
          <w:t>doi:10.1126/science.1260403</w:t>
        </w:r>
      </w:hyperlink>
    </w:p>
    <w:p>
      <w:pPr>
        <w:pStyle w:val="Reference"/>
        <w:spacing w:after="50"/>
        <w:ind w:left="397" w:hanging="397"/>
        <w:keepLines/>
      </w:pPr>
      <w:r>
        <w:rPr>
          <w:rFonts w:ascii="Noto Sans CJK SC" w:hAnsi="Noto Sans CJK SC" w:eastAsia="Noto Sans CJK SC"/>
          <w:color w:val="26323B"/>
          <w:sz w:val="17"/>
        </w:rPr>
        <w:t>34. Mok, S. et al. Artemisinin-resistant K13 mutations rewire Plasmodium falciparum’s intra-erythrocytic metabolic program to enhance survival. Nature Communications 12, 530 (2021).</w:t>
      </w:r>
      <w:r>
        <w:t xml:space="preserve"> </w:t>
      </w:r>
      <w:hyperlink r:id="rId44">
        <w:r>
          <w:rPr>
            <w:color w:val="2B6F77"/>
            <w:rFonts w:ascii="Noto Sans CJK SC" w:hAnsi="Noto Sans CJK SC" w:eastAsia="Noto Sans CJK SC"/>
            <w:sz w:val="17"/>
          </w:rPr>
          <w:t>doi:10.1038/s41467-020-20805-w</w:t>
        </w:r>
      </w:hyperlink>
    </w:p>
    <w:p>
      <w:pPr>
        <w:pStyle w:val="Reference"/>
        <w:spacing w:after="50"/>
        <w:ind w:left="397" w:hanging="397"/>
        <w:keepLines/>
      </w:pPr>
      <w:r>
        <w:rPr>
          <w:rFonts w:ascii="Noto Sans CJK SC" w:hAnsi="Noto Sans CJK SC" w:eastAsia="Noto Sans CJK SC"/>
          <w:color w:val="26323B"/>
          <w:sz w:val="17"/>
        </w:rPr>
        <w:t>35. Ariey, F. et al. A molecular marker of artemisinin-resistant Plasmodium falciparum malaria. Nature 505, 50–55 (2014).</w:t>
      </w:r>
      <w:r>
        <w:t xml:space="preserve"> </w:t>
      </w:r>
      <w:hyperlink r:id="rId45">
        <w:r>
          <w:rPr>
            <w:color w:val="2B6F77"/>
            <w:rFonts w:ascii="Noto Sans CJK SC" w:hAnsi="Noto Sans CJK SC" w:eastAsia="Noto Sans CJK SC"/>
            <w:sz w:val="17"/>
          </w:rPr>
          <w:t>doi:10.1038/nature12876</w:t>
        </w:r>
      </w:hyperlink>
    </w:p>
    <w:p>
      <w:pPr>
        <w:pStyle w:val="Reference"/>
        <w:spacing w:after="50"/>
        <w:ind w:left="397" w:hanging="397"/>
        <w:keepLines/>
      </w:pPr>
      <w:r>
        <w:rPr>
          <w:rFonts w:ascii="Noto Sans CJK SC" w:hAnsi="Noto Sans CJK SC" w:eastAsia="Noto Sans CJK SC"/>
          <w:color w:val="26323B"/>
          <w:sz w:val="17"/>
        </w:rPr>
        <w:t>36. Probst, A. S. et al. In vivo screen of Plasmodium targets for mosquito-based malaria control. Nature 643, 785–793 (2025).</w:t>
      </w:r>
      <w:r>
        <w:t xml:space="preserve"> </w:t>
      </w:r>
      <w:hyperlink r:id="rId46">
        <w:r>
          <w:rPr>
            <w:color w:val="2B6F77"/>
            <w:rFonts w:ascii="Noto Sans CJK SC" w:hAnsi="Noto Sans CJK SC" w:eastAsia="Noto Sans CJK SC"/>
            <w:sz w:val="17"/>
          </w:rPr>
          <w:t>doi:10.1038/s41586-025-09039-2</w:t>
        </w:r>
      </w:hyperlink>
    </w:p>
    <w:p>
      <w:pPr>
        <w:pStyle w:val="Reference"/>
        <w:spacing w:after="50"/>
        <w:ind w:left="397" w:hanging="397"/>
        <w:keepLines/>
      </w:pPr>
      <w:r>
        <w:rPr>
          <w:rFonts w:ascii="Noto Sans CJK SC" w:hAnsi="Noto Sans CJK SC" w:eastAsia="Noto Sans CJK SC"/>
          <w:color w:val="26323B"/>
          <w:sz w:val="17"/>
        </w:rPr>
        <w:t>37. Yan, Y. et al. Mapping Plasmodium transitions and interactions in the Anopheles female. Nature 648, 451–458 (2025).</w:t>
      </w:r>
      <w:r>
        <w:t xml:space="preserve"> </w:t>
      </w:r>
      <w:hyperlink r:id="rId47">
        <w:r>
          <w:rPr>
            <w:color w:val="2B6F77"/>
            <w:rFonts w:ascii="Noto Sans CJK SC" w:hAnsi="Noto Sans CJK SC" w:eastAsia="Noto Sans CJK SC"/>
            <w:sz w:val="17"/>
          </w:rPr>
          <w:t>doi:10.1038/s41586-025-09653-0</w:t>
        </w:r>
      </w:hyperlink>
    </w:p>
    <w:p>
      <w:pPr>
        <w:pStyle w:val="Reference"/>
        <w:spacing w:after="50"/>
        <w:ind w:left="397" w:hanging="397"/>
        <w:keepLines/>
      </w:pPr>
      <w:r>
        <w:rPr>
          <w:rFonts w:ascii="Noto Sans CJK SC" w:hAnsi="Noto Sans CJK SC" w:eastAsia="Noto Sans CJK SC"/>
          <w:color w:val="26323B"/>
          <w:sz w:val="17"/>
        </w:rPr>
        <w:t>38. Balakrishnan, A. et al. A CRISPR homing screen finds a chloroquine resistance transporter-like protein of the Plasmodium oocyst essential for mosquito transmission of malaria. Nature Communications (2025).</w:t>
      </w:r>
      <w:r>
        <w:t xml:space="preserve"> </w:t>
      </w:r>
      <w:hyperlink r:id="rId48">
        <w:r>
          <w:rPr>
            <w:color w:val="2B6F77"/>
            <w:rFonts w:ascii="Noto Sans CJK SC" w:hAnsi="Noto Sans CJK SC" w:eastAsia="Noto Sans CJK SC"/>
            <w:sz w:val="17"/>
          </w:rPr>
          <w:t>doi:10.1038/s41467-025-59099-1</w:t>
        </w:r>
      </w:hyperlink>
    </w:p>
    <w:p>
      <w:pPr>
        <w:pStyle w:val="Reference"/>
        <w:spacing w:after="50"/>
        <w:ind w:left="397" w:hanging="397"/>
        <w:keepLines/>
      </w:pPr>
      <w:r>
        <w:rPr>
          <w:rFonts w:ascii="Noto Sans CJK SC" w:hAnsi="Noto Sans CJK SC" w:eastAsia="Noto Sans CJK SC"/>
          <w:color w:val="26323B"/>
          <w:sz w:val="17"/>
        </w:rPr>
        <w:t>39. Haile, M. T. et al. Endogenous structure of antimalarial target PfATP4 reveals an apicomplexan-specific P-type ATPase modulator. Nature Communications (2025).</w:t>
      </w:r>
      <w:r>
        <w:t xml:space="preserve"> </w:t>
      </w:r>
      <w:hyperlink r:id="rId49">
        <w:r>
          <w:rPr>
            <w:color w:val="2B6F77"/>
            <w:rFonts w:ascii="Noto Sans CJK SC" w:hAnsi="Noto Sans CJK SC" w:eastAsia="Noto Sans CJK SC"/>
            <w:sz w:val="17"/>
          </w:rPr>
          <w:t>doi:10.1038/s41467-025-64815-y</w:t>
        </w:r>
      </w:hyperlink>
    </w:p>
    <w:p>
      <w:pPr>
        <w:pStyle w:val="Reference"/>
        <w:spacing w:after="50"/>
        <w:ind w:left="397" w:hanging="397"/>
        <w:keepLines/>
      </w:pPr>
      <w:r>
        <w:rPr>
          <w:rFonts w:ascii="Noto Sans CJK SC" w:hAnsi="Noto Sans CJK SC" w:eastAsia="Noto Sans CJK SC"/>
          <w:color w:val="26323B"/>
          <w:sz w:val="17"/>
        </w:rPr>
        <w:t>40. Barrett, J. R. et al. Analysis of the diverse antigenic landscape of the malaria protein RH5 identifies a potent vaccine-induced human public antibody clonotype. Cell 187, 4964–4980.e21 (2024).</w:t>
      </w:r>
      <w:r>
        <w:t xml:space="preserve"> </w:t>
      </w:r>
      <w:hyperlink r:id="rId50">
        <w:r>
          <w:rPr>
            <w:color w:val="2B6F77"/>
            <w:rFonts w:ascii="Noto Sans CJK SC" w:hAnsi="Noto Sans CJK SC" w:eastAsia="Noto Sans CJK SC"/>
            <w:sz w:val="17"/>
          </w:rPr>
          <w:t>doi:10.1016/j.cell.2024.06.015</w:t>
        </w:r>
      </w:hyperlink>
    </w:p>
    <w:p>
      <w:pPr>
        <w:pStyle w:val="Reference"/>
        <w:spacing w:after="50"/>
        <w:ind w:left="397" w:hanging="397"/>
        <w:keepLines/>
      </w:pPr>
      <w:r>
        <w:rPr>
          <w:rFonts w:ascii="Noto Sans CJK SC" w:hAnsi="Noto Sans CJK SC" w:eastAsia="Noto Sans CJK SC"/>
          <w:color w:val="26323B"/>
          <w:sz w:val="17"/>
        </w:rPr>
        <w:t>41. Wang, L. T. et al. Natural malaria infection elicits rare but potent neutralizing antibodies to the blood-stage antigen RH5. Cell 187, 4981–4995.e14 (2024).</w:t>
      </w:r>
      <w:r>
        <w:t xml:space="preserve"> </w:t>
      </w:r>
      <w:hyperlink r:id="rId51">
        <w:r>
          <w:rPr>
            <w:color w:val="2B6F77"/>
            <w:rFonts w:ascii="Noto Sans CJK SC" w:hAnsi="Noto Sans CJK SC" w:eastAsia="Noto Sans CJK SC"/>
            <w:sz w:val="17"/>
          </w:rPr>
          <w:t>doi:10.1016/j.cell.2024.06.037</w:t>
        </w:r>
      </w:hyperlink>
    </w:p>
    <w:p>
      <w:pPr>
        <w:pStyle w:val="Reference"/>
        <w:spacing w:after="50"/>
        <w:ind w:left="397" w:hanging="397"/>
        <w:keepLines/>
      </w:pPr>
      <w:r>
        <w:rPr>
          <w:rFonts w:ascii="Noto Sans CJK SC" w:hAnsi="Noto Sans CJK SC" w:eastAsia="Noto Sans CJK SC"/>
          <w:color w:val="26323B"/>
          <w:sz w:val="17"/>
        </w:rPr>
        <w:t>42. Kafsack, B. F. C. et al. A transcriptional switch underlies commitment to sexual development in malaria parasites. Nature 507, 248–252 (2014).</w:t>
      </w:r>
      <w:r>
        <w:t xml:space="preserve"> </w:t>
      </w:r>
      <w:hyperlink r:id="rId52">
        <w:r>
          <w:rPr>
            <w:color w:val="2B6F77"/>
            <w:rFonts w:ascii="Noto Sans CJK SC" w:hAnsi="Noto Sans CJK SC" w:eastAsia="Noto Sans CJK SC"/>
            <w:sz w:val="17"/>
          </w:rPr>
          <w:t>doi:10.1038/nature12920</w:t>
        </w:r>
      </w:hyperlink>
    </w:p>
    <w:p>
      <w:pPr>
        <w:pStyle w:val="Reference"/>
        <w:spacing w:after="50"/>
        <w:ind w:left="397" w:hanging="397"/>
        <w:keepLines/>
      </w:pPr>
      <w:r>
        <w:rPr>
          <w:rFonts w:ascii="Noto Sans CJK SC" w:hAnsi="Noto Sans CJK SC" w:eastAsia="Noto Sans CJK SC"/>
          <w:color w:val="26323B"/>
          <w:sz w:val="17"/>
        </w:rPr>
        <w:t>43. Gomes, A. R. et al. A transcriptional switch controls sex determination in Plasmodium falciparum. Nature 612, 528–533 (2022).</w:t>
      </w:r>
      <w:r>
        <w:t xml:space="preserve"> </w:t>
      </w:r>
      <w:hyperlink r:id="rId53">
        <w:r>
          <w:rPr>
            <w:color w:val="2B6F77"/>
            <w:rFonts w:ascii="Noto Sans CJK SC" w:hAnsi="Noto Sans CJK SC" w:eastAsia="Noto Sans CJK SC"/>
            <w:sz w:val="17"/>
          </w:rPr>
          <w:t>doi:10.1038/s41586-022-05509-z</w:t>
        </w:r>
      </w:hyperlink>
    </w:p>
    <w:p>
      <w:pPr>
        <w:pStyle w:val="Reference"/>
        <w:spacing w:after="50"/>
        <w:ind w:left="397" w:hanging="397"/>
        <w:keepLines/>
      </w:pPr>
      <w:r>
        <w:rPr>
          <w:rFonts w:ascii="Noto Sans CJK SC" w:hAnsi="Noto Sans CJK SC" w:eastAsia="Noto Sans CJK SC"/>
          <w:color w:val="26323B"/>
          <w:sz w:val="17"/>
        </w:rPr>
        <w:t>44. Feleke, S. M. et al. Plasmodium falciparum is evolving to escape malaria rapid diagnostic tests in Ethiopia. Nature Microbiology 6, 1289–1299 (2021).</w:t>
      </w:r>
      <w:r>
        <w:t xml:space="preserve"> </w:t>
      </w:r>
      <w:hyperlink r:id="rId54">
        <w:r>
          <w:rPr>
            <w:color w:val="2B6F77"/>
            <w:rFonts w:ascii="Noto Sans CJK SC" w:hAnsi="Noto Sans CJK SC" w:eastAsia="Noto Sans CJK SC"/>
            <w:sz w:val="17"/>
          </w:rPr>
          <w:t>doi:10.1038/s41564-021-00962-4</w:t>
        </w:r>
      </w:hyperlink>
    </w:p>
    <w:p>
      <w:pPr>
        <w:pStyle w:val="Reference"/>
        <w:spacing w:after="50"/>
        <w:ind w:left="397" w:hanging="397"/>
        <w:keepLines/>
      </w:pPr>
      <w:r>
        <w:rPr>
          <w:rFonts w:ascii="Noto Sans CJK SC" w:hAnsi="Noto Sans CJK SC" w:eastAsia="Noto Sans CJK SC"/>
          <w:color w:val="26323B"/>
          <w:sz w:val="17"/>
        </w:rPr>
        <w:t>45. Fola, A. A. et al. Plasmodium falciparum resistant to artemisinin and diagnostics have emerged in Ethiopia. Nature Microbiology 8, 1911–1919 (2023).</w:t>
      </w:r>
      <w:r>
        <w:t xml:space="preserve"> </w:t>
      </w:r>
      <w:hyperlink r:id="rId55">
        <w:r>
          <w:rPr>
            <w:color w:val="2B6F77"/>
            <w:rFonts w:ascii="Noto Sans CJK SC" w:hAnsi="Noto Sans CJK SC" w:eastAsia="Noto Sans CJK SC"/>
            <w:sz w:val="17"/>
          </w:rPr>
          <w:t>doi:10.1038/s41564-023-01461-4</w:t>
        </w:r>
      </w:hyperlink>
    </w:p>
    <w:p>
      <w:pPr>
        <w:pStyle w:val="Reference"/>
        <w:spacing w:after="50"/>
        <w:ind w:left="397" w:hanging="397"/>
        <w:keepLines/>
      </w:pPr>
      <w:r>
        <w:rPr>
          <w:rFonts w:ascii="Noto Sans CJK SC" w:hAnsi="Noto Sans CJK SC" w:eastAsia="Noto Sans CJK SC"/>
          <w:color w:val="26323B"/>
          <w:sz w:val="17"/>
        </w:rPr>
        <w:t>46. Presnyak, V. et al. Codon optimality is a major determinant of mRNA stability. Cell 160, 1111–1124 (2015).</w:t>
      </w:r>
      <w:r>
        <w:t xml:space="preserve"> </w:t>
      </w:r>
      <w:hyperlink r:id="rId56">
        <w:r>
          <w:rPr>
            <w:color w:val="2B6F77"/>
            <w:rFonts w:ascii="Noto Sans CJK SC" w:hAnsi="Noto Sans CJK SC" w:eastAsia="Noto Sans CJK SC"/>
            <w:sz w:val="17"/>
          </w:rPr>
          <w:t>doi:10.1016/j.cell.2015.02.029</w:t>
        </w:r>
      </w:hyperlink>
    </w:p>
    <w:p>
      <w:pPr>
        <w:pStyle w:val="Reference"/>
        <w:spacing w:after="50"/>
        <w:ind w:left="397" w:hanging="397"/>
        <w:keepLines/>
      </w:pPr>
      <w:r>
        <w:rPr>
          <w:rFonts w:ascii="Noto Sans CJK SC" w:hAnsi="Noto Sans CJK SC" w:eastAsia="Noto Sans CJK SC"/>
          <w:color w:val="26323B"/>
          <w:sz w:val="17"/>
        </w:rPr>
        <w:t>47. Burke, P. C., Park, H. &amp; Subramaniam, A. R. A nascent peptide code for translational control of mRNA stability in human cells. Nature Communications 13, 6829 (2022).</w:t>
      </w:r>
      <w:r>
        <w:t xml:space="preserve"> </w:t>
      </w:r>
      <w:hyperlink r:id="rId57">
        <w:r>
          <w:rPr>
            <w:color w:val="2B6F77"/>
            <w:rFonts w:ascii="Noto Sans CJK SC" w:hAnsi="Noto Sans CJK SC" w:eastAsia="Noto Sans CJK SC"/>
            <w:sz w:val="17"/>
          </w:rPr>
          <w:t>doi:10.1038/s41467-022-34664-0</w:t>
        </w:r>
      </w:hyperlink>
    </w:p>
    <w:p>
      <w:pPr>
        <w:pStyle w:val="Reference"/>
        <w:spacing w:after="50"/>
        <w:ind w:left="397" w:hanging="397"/>
        <w:keepLines/>
      </w:pPr>
      <w:r>
        <w:rPr>
          <w:rFonts w:ascii="Noto Sans CJK SC" w:hAnsi="Noto Sans CJK SC" w:eastAsia="Noto Sans CJK SC"/>
          <w:color w:val="26323B"/>
          <w:sz w:val="17"/>
        </w:rPr>
        <w:t>48. Herman, J. D. et al. The cytoplasmic prolyl-tRNA synthetase of the malaria parasite is a dual-stage target of febrifugine and its analogs. Science Translational Medicine 7, 288ra77 (2015).</w:t>
      </w:r>
      <w:r>
        <w:t xml:space="preserve"> </w:t>
      </w:r>
      <w:hyperlink r:id="rId58">
        <w:r>
          <w:rPr>
            <w:color w:val="2B6F77"/>
            <w:rFonts w:ascii="Noto Sans CJK SC" w:hAnsi="Noto Sans CJK SC" w:eastAsia="Noto Sans CJK SC"/>
            <w:sz w:val="17"/>
          </w:rPr>
          <w:t>doi:10.1126/scitranslmed.aaa3575</w:t>
        </w:r>
      </w:hyperlink>
    </w:p>
    <w:p>
      <w:pPr>
        <w:pStyle w:val="Reference"/>
        <w:spacing w:after="50"/>
        <w:ind w:left="397" w:hanging="397"/>
        <w:keepLines/>
      </w:pPr>
      <w:r>
        <w:rPr>
          <w:rFonts w:ascii="Noto Sans CJK SC" w:hAnsi="Noto Sans CJK SC" w:eastAsia="Noto Sans CJK SC"/>
          <w:color w:val="26323B"/>
          <w:sz w:val="17"/>
        </w:rPr>
        <w:t>49. Tye, M. A. et al. Elucidating the path to Plasmodium prolyl-tRNA synthetase inhibitors that overcome halofuginone resistance. Nature Communications (2022).</w:t>
      </w:r>
      <w:r>
        <w:t xml:space="preserve"> </w:t>
      </w:r>
      <w:hyperlink r:id="rId59">
        <w:r>
          <w:rPr>
            <w:color w:val="2B6F77"/>
            <w:rFonts w:ascii="Noto Sans CJK SC" w:hAnsi="Noto Sans CJK SC" w:eastAsia="Noto Sans CJK SC"/>
            <w:sz w:val="17"/>
          </w:rPr>
          <w:t>doi:10.1038/s41467-022-32630-4</w:t>
        </w:r>
      </w:hyperlink>
    </w:p>
    <w:p>
      <w:pPr>
        <w:pStyle w:val="Reference"/>
        <w:spacing w:after="50"/>
        <w:ind w:left="397" w:hanging="397"/>
        <w:keepLines/>
      </w:pPr>
      <w:r>
        <w:rPr>
          <w:rFonts w:ascii="Noto Sans CJK SC" w:hAnsi="Noto Sans CJK SC" w:eastAsia="Noto Sans CJK SC"/>
          <w:color w:val="26323B"/>
          <w:sz w:val="17"/>
        </w:rPr>
        <w:t>50. Xie, S. C. et al. Reaction hijacking inhibition of Plasmodium falciparum asparagine tRNA synthetase. Nature Communications (2024).</w:t>
      </w:r>
      <w:r>
        <w:t xml:space="preserve"> </w:t>
      </w:r>
      <w:hyperlink r:id="rId60">
        <w:r>
          <w:rPr>
            <w:color w:val="2B6F77"/>
            <w:rFonts w:ascii="Noto Sans CJK SC" w:hAnsi="Noto Sans CJK SC" w:eastAsia="Noto Sans CJK SC"/>
            <w:sz w:val="17"/>
          </w:rPr>
          <w:t>doi:10.1038/s41467-024-45224-z</w:t>
        </w:r>
      </w:hyperlink>
    </w:p>
    <w:p>
      <w:pPr>
        <w:spacing w:before="200"/>
        <w:jc w:val="center"/>
        <w:keepLines/>
      </w:pPr>
      <w:r>
        <w:rPr>
          <w:rFonts w:ascii="Noto Sans CJK SC" w:hAnsi="Noto Sans CJK SC" w:eastAsia="Noto Sans CJK SC"/>
          <w:color w:val="6C7883"/>
          <w:sz w:val="18"/>
        </w:rPr>
        <w:t>— 方案书结束 —</w:t>
      </w:r>
    </w:p>
    <w:sectPr w:rsidR="00FC693F" w:rsidRPr="0006063C" w:rsidSect="00034616">
      <w:headerReference w:type="default" r:id="rId9"/>
      <w:footerReference w:type="default" r:id="rId10"/>
      <w:pgSz w:w="11906" w:h="16838"/>
      <w:pgMar w:top="1134" w:right="1134" w:bottom="1020" w:left="1219"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C788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7DEE4"/>
      </w:pBdr>
    </w:pPr>
    <w:r>
      <w:rPr>
        <w:rFonts w:ascii="Noto Sans CJK SC" w:hAnsi="Noto Sans CJK SC" w:eastAsia="Noto Sans CJK SC"/>
        <w:color w:val="6C7883"/>
        <w:sz w:val="15"/>
      </w:rPr>
      <w:t>PLASMODIUM COMPOSITION-TO-FUNCTION PROJECT  |  TARGET: NATURE MICROBIOLOGY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B6F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line="324" w:lineRule="auto" w:after="100"/>
    </w:pPr>
    <w:rPr>
      <w:rFonts w:ascii="Noto Serif CJK SC" w:hAnsi="Noto Serif CJK SC" w:eastAsia="Noto Serif CJK SC"/>
      <w:sz w:val="21"/>
    </w:rPr>
  </w:style>
  <w:style w:type="paragraph" w:customStyle="1" w:styleId="Bullet1">
    <w:name w:val="Bullet 1"/>
    <w:rPr>
      <w:rFonts w:ascii="Noto Serif CJK SC" w:hAnsi="Noto Serif CJK SC" w:eastAsia="Noto Serif CJK SC"/>
      <w:sz w:val="20"/>
    </w:rPr>
  </w:style>
  <w:style w:type="paragraph" w:customStyle="1" w:styleId="Bullet2">
    <w:name w:val="Bullet 2"/>
    <w:rPr>
      <w:rFonts w:ascii="Noto Serif CJK SC" w:hAnsi="Noto Serif CJK SC" w:eastAsia="Noto Serif CJK SC"/>
      <w:sz w:val="20"/>
    </w:rPr>
  </w:style>
  <w:style w:type="paragraph" w:customStyle="1" w:styleId="Numbered">
    <w:name w:val="Numbered"/>
    <w:rPr>
      <w:rFonts w:ascii="Noto Serif CJK SC" w:hAnsi="Noto Serif CJK SC" w:eastAsia="Noto Serif CJK SC"/>
      <w:sz w:val="20"/>
    </w:rPr>
  </w:style>
  <w:style w:type="paragraph" w:customStyle="1" w:styleId="Reference">
    <w:name w:val="Reference"/>
    <w:pPr>
      <w:spacing w:line="259" w:lineRule="auto"/>
    </w:pPr>
    <w:rPr>
      <w:rFonts w:ascii="Noto Sans CJK SC" w:hAnsi="Noto Sans CJK SC"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038/nature01097" TargetMode="External"/><Relationship Id="rId14" Type="http://schemas.openxmlformats.org/officeDocument/2006/relationships/hyperlink" Target="https://doi.org/10.1038/nature11174" TargetMode="External"/><Relationship Id="rId15" Type="http://schemas.openxmlformats.org/officeDocument/2006/relationships/hyperlink" Target="https://doi.org/10.1093/nar/gkw1259" TargetMode="External"/><Relationship Id="rId16" Type="http://schemas.openxmlformats.org/officeDocument/2006/relationships/hyperlink" Target="https://doi.org/10.1038/s41586-024-07546-2" TargetMode="External"/><Relationship Id="rId17" Type="http://schemas.openxmlformats.org/officeDocument/2006/relationships/hyperlink" Target="https://doi.org/10.1038/nature09442" TargetMode="External"/><Relationship Id="rId18" Type="http://schemas.openxmlformats.org/officeDocument/2006/relationships/hyperlink" Target="https://doi.org/10.1038/ncomms5754" TargetMode="External"/><Relationship Id="rId19" Type="http://schemas.openxmlformats.org/officeDocument/2006/relationships/hyperlink" Target="https://doi.org/10.1038/ncomms11078" TargetMode="External"/><Relationship Id="rId20" Type="http://schemas.openxmlformats.org/officeDocument/2006/relationships/hyperlink" Target="https://doi.org/10.1038/s41467-024-54667-3" TargetMode="External"/><Relationship Id="rId21" Type="http://schemas.openxmlformats.org/officeDocument/2006/relationships/hyperlink" Target="https://doi.org/10.1038/s41467-024-55102-3" TargetMode="External"/><Relationship Id="rId22" Type="http://schemas.openxmlformats.org/officeDocument/2006/relationships/hyperlink" Target="https://doi.org/10.1038/s41467-026-73006-2" TargetMode="External"/><Relationship Id="rId23" Type="http://schemas.openxmlformats.org/officeDocument/2006/relationships/hyperlink" Target="https://doi.org/10.1016/j.isci.2024.111167" TargetMode="External"/><Relationship Id="rId24" Type="http://schemas.openxmlformats.org/officeDocument/2006/relationships/hyperlink" Target="https://doi.org/10.15252/msb.20178009" TargetMode="External"/><Relationship Id="rId25" Type="http://schemas.openxmlformats.org/officeDocument/2006/relationships/hyperlink" Target="https://doi.org/10.1038/s41564-024-01664-3" TargetMode="External"/><Relationship Id="rId26" Type="http://schemas.openxmlformats.org/officeDocument/2006/relationships/hyperlink" Target="https://doi.org/10.1038/s41564-019-0521-7" TargetMode="External"/><Relationship Id="rId27" Type="http://schemas.openxmlformats.org/officeDocument/2006/relationships/hyperlink" Target="https://doi.org/10.1038/s41467-019-12936-6" TargetMode="External"/><Relationship Id="rId28" Type="http://schemas.openxmlformats.org/officeDocument/2006/relationships/hyperlink" Target="https://doi.org/10.1126/science.aaw2619" TargetMode="External"/><Relationship Id="rId29" Type="http://schemas.openxmlformats.org/officeDocument/2006/relationships/hyperlink" Target="https://doi.org/10.1038/s41467-021-23434-z" TargetMode="External"/><Relationship Id="rId30" Type="http://schemas.openxmlformats.org/officeDocument/2006/relationships/hyperlink" Target="https://doi.org/10.1126/science.adj4088" TargetMode="External"/><Relationship Id="rId31" Type="http://schemas.openxmlformats.org/officeDocument/2006/relationships/hyperlink" Target="https://doi.org/10.1038/s41586-022-05480-z" TargetMode="External"/><Relationship Id="rId32" Type="http://schemas.openxmlformats.org/officeDocument/2006/relationships/hyperlink" Target="https://doi.org/10.1038/s41564-024-01905-5" TargetMode="External"/><Relationship Id="rId33" Type="http://schemas.openxmlformats.org/officeDocument/2006/relationships/hyperlink" Target="https://doi.org/10.1038/s41564-025-02038-z" TargetMode="External"/><Relationship Id="rId34" Type="http://schemas.openxmlformats.org/officeDocument/2006/relationships/hyperlink" Target="https://doi.org/10.1038/s41564-025-02173-7" TargetMode="External"/><Relationship Id="rId35" Type="http://schemas.openxmlformats.org/officeDocument/2006/relationships/hyperlink" Target="https://doi.org/10.1038/s41467-026-73664-2" TargetMode="External"/><Relationship Id="rId36" Type="http://schemas.openxmlformats.org/officeDocument/2006/relationships/hyperlink" Target="https://doi.org/10.1038/s41564-025-02023-6" TargetMode="External"/><Relationship Id="rId37" Type="http://schemas.openxmlformats.org/officeDocument/2006/relationships/hyperlink" Target="https://doi.org/10.1126/science.adk9893" TargetMode="External"/><Relationship Id="rId38" Type="http://schemas.openxmlformats.org/officeDocument/2006/relationships/hyperlink" Target="https://doi.org/10.1126/science.adq6241" TargetMode="External"/><Relationship Id="rId39" Type="http://schemas.openxmlformats.org/officeDocument/2006/relationships/hyperlink" Target="https://doi.org/10.1126/science.adq7347" TargetMode="External"/><Relationship Id="rId40" Type="http://schemas.openxmlformats.org/officeDocument/2006/relationships/hyperlink" Target="https://doi.org/10.1126/science.aap7847" TargetMode="External"/><Relationship Id="rId41" Type="http://schemas.openxmlformats.org/officeDocument/2006/relationships/hyperlink" Target="https://doi.org/10.1126/science.aan4472" TargetMode="External"/><Relationship Id="rId42" Type="http://schemas.openxmlformats.org/officeDocument/2006/relationships/hyperlink" Target="https://doi.org/10.1126/science.aax4735" TargetMode="External"/><Relationship Id="rId43" Type="http://schemas.openxmlformats.org/officeDocument/2006/relationships/hyperlink" Target="https://doi.org/10.1126/science.1260403" TargetMode="External"/><Relationship Id="rId44" Type="http://schemas.openxmlformats.org/officeDocument/2006/relationships/hyperlink" Target="https://doi.org/10.1038/s41467-020-20805-w" TargetMode="External"/><Relationship Id="rId45" Type="http://schemas.openxmlformats.org/officeDocument/2006/relationships/hyperlink" Target="https://doi.org/10.1038/nature12876" TargetMode="External"/><Relationship Id="rId46" Type="http://schemas.openxmlformats.org/officeDocument/2006/relationships/hyperlink" Target="https://doi.org/10.1038/s41586-025-09039-2" TargetMode="External"/><Relationship Id="rId47" Type="http://schemas.openxmlformats.org/officeDocument/2006/relationships/hyperlink" Target="https://doi.org/10.1038/s41586-025-09653-0" TargetMode="External"/><Relationship Id="rId48" Type="http://schemas.openxmlformats.org/officeDocument/2006/relationships/hyperlink" Target="https://doi.org/10.1038/s41467-025-59099-1" TargetMode="External"/><Relationship Id="rId49" Type="http://schemas.openxmlformats.org/officeDocument/2006/relationships/hyperlink" Target="https://doi.org/10.1038/s41467-025-64815-y" TargetMode="External"/><Relationship Id="rId50" Type="http://schemas.openxmlformats.org/officeDocument/2006/relationships/hyperlink" Target="https://doi.org/10.1016/j.cell.2024.06.015" TargetMode="External"/><Relationship Id="rId51" Type="http://schemas.openxmlformats.org/officeDocument/2006/relationships/hyperlink" Target="https://doi.org/10.1016/j.cell.2024.06.037" TargetMode="External"/><Relationship Id="rId52" Type="http://schemas.openxmlformats.org/officeDocument/2006/relationships/hyperlink" Target="https://doi.org/10.1038/nature12920" TargetMode="External"/><Relationship Id="rId53" Type="http://schemas.openxmlformats.org/officeDocument/2006/relationships/hyperlink" Target="https://doi.org/10.1038/s41586-022-05509-z" TargetMode="External"/><Relationship Id="rId54" Type="http://schemas.openxmlformats.org/officeDocument/2006/relationships/hyperlink" Target="https://doi.org/10.1038/s41564-021-00962-4" TargetMode="External"/><Relationship Id="rId55" Type="http://schemas.openxmlformats.org/officeDocument/2006/relationships/hyperlink" Target="https://doi.org/10.1038/s41564-023-01461-4" TargetMode="External"/><Relationship Id="rId56" Type="http://schemas.openxmlformats.org/officeDocument/2006/relationships/hyperlink" Target="https://doi.org/10.1016/j.cell.2015.02.029" TargetMode="External"/><Relationship Id="rId57" Type="http://schemas.openxmlformats.org/officeDocument/2006/relationships/hyperlink" Target="https://doi.org/10.1038/s41467-022-34664-0" TargetMode="External"/><Relationship Id="rId58" Type="http://schemas.openxmlformats.org/officeDocument/2006/relationships/hyperlink" Target="https://doi.org/10.1126/scitranslmed.aaa3575" TargetMode="External"/><Relationship Id="rId59" Type="http://schemas.openxmlformats.org/officeDocument/2006/relationships/hyperlink" Target="https://doi.org/10.1038/s41467-022-32630-4" TargetMode="External"/><Relationship Id="rId60" Type="http://schemas.openxmlformats.org/officeDocument/2006/relationships/hyperlink" Target="https://doi.org/10.1038/s41467-024-45224-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疟原虫基因组组成偏倚的跨层级进化传导：研究方案书</dc:title>
  <dc:subject>Nature Microbiology target research proposal</dc:subject>
  <dc:creator>OpenAI</dc:creator>
  <cp:keywords>Plasmodium, genome composition, codon bias, amino acid usage, translation, antimalarial resistance</cp:keywords>
  <dc:description>上层科学设计；湿实验为条件性升级验证。</dc:description>
  <cp:lastModifiedBy/>
  <cp:revision>1</cp:revision>
  <dcterms:created xsi:type="dcterms:W3CDTF">2013-12-23T23:15:00Z</dcterms:created>
  <dcterms:modified xsi:type="dcterms:W3CDTF">2013-12-23T23:15:00Z</dcterms:modified>
  <cp:category/>
</cp:coreProperties>
</file>